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mbria" w:hAnsi="Cambria"/>
          <w:b/>
          <w:color w:val="142933"/>
          <w:sz w:val="48"/>
        </w:rPr>
        <w:t>Apache Solr Open Ended Lab Report</w:t>
      </w:r>
    </w:p>
    <w:p>
      <w:pPr>
        <w:spacing w:after="440"/>
        <w:jc w:val="center"/>
      </w:pPr>
      <w:r>
        <w:rPr>
          <w:rFonts w:ascii="Calibri" w:hAnsi="Calibri"/>
          <w:color w:val="0F766E"/>
          <w:sz w:val="28"/>
        </w:rPr>
        <w:t>Indexing, Importing and Searching Data in Apache Solr</w:t>
      </w:r>
    </w:p>
    <w:tbl>
      <w:tblPr>
        <w:tblStyle w:val="TableGrid"/>
        <w:tblW w:type="auto" w:w="0"/>
        <w:jc w:val="center"/>
        <w:tblLook w:firstColumn="1" w:firstRow="1" w:lastColumn="0" w:lastRow="0" w:noHBand="0" w:noVBand="1" w:val="04A0"/>
      </w:tblPr>
      <w:tblGrid>
        <w:gridCol w:w="3168"/>
        <w:gridCol w:w="6048"/>
      </w:tblGrid>
      <w:tr>
        <w:tc>
          <w:tcPr>
            <w:tcW w:type="dxa" w:w="4816"/>
            <w:vAlign w:val="center"/>
            <w:shd w:fill="D7EFE9"/>
          </w:tcPr>
          <w:p>
            <w:r>
              <w:rPr>
                <w:b/>
              </w:rPr>
              <w:t>Faculty</w:t>
            </w:r>
          </w:p>
        </w:tc>
        <w:tc>
          <w:tcPr>
            <w:tcW w:type="dxa" w:w="4816"/>
            <w:vAlign w:val="center"/>
          </w:tcPr>
          <w:p>
            <w:r>
              <w:t>Faculty of Computing</w:t>
            </w:r>
          </w:p>
        </w:tc>
      </w:tr>
      <w:tr>
        <w:tc>
          <w:tcPr>
            <w:tcW w:type="dxa" w:w="4816"/>
            <w:vAlign w:val="center"/>
            <w:shd w:fill="D7EFE9"/>
          </w:tcPr>
          <w:p>
            <w:r>
              <w:rPr>
                <w:b/>
              </w:rPr>
              <w:t>Course Code</w:t>
            </w:r>
          </w:p>
        </w:tc>
        <w:tc>
          <w:tcPr>
            <w:tcW w:type="dxa" w:w="4816"/>
            <w:vAlign w:val="center"/>
          </w:tcPr>
          <w:p>
            <w:r>
              <w:t>CS-347</w:t>
            </w:r>
          </w:p>
        </w:tc>
      </w:tr>
      <w:tr>
        <w:tc>
          <w:tcPr>
            <w:tcW w:type="dxa" w:w="4816"/>
            <w:vAlign w:val="center"/>
            <w:shd w:fill="D7EFE9"/>
          </w:tcPr>
          <w:p>
            <w:r>
              <w:rPr>
                <w:b/>
              </w:rPr>
              <w:t>Class</w:t>
            </w:r>
          </w:p>
        </w:tc>
        <w:tc>
          <w:tcPr>
            <w:tcW w:type="dxa" w:w="4816"/>
            <w:vAlign w:val="center"/>
          </w:tcPr>
          <w:p>
            <w:r>
              <w:t>BSCS-13AB</w:t>
            </w:r>
          </w:p>
        </w:tc>
      </w:tr>
      <w:tr>
        <w:tc>
          <w:tcPr>
            <w:tcW w:type="dxa" w:w="4816"/>
            <w:vAlign w:val="center"/>
            <w:shd w:fill="D7EFE9"/>
          </w:tcPr>
          <w:p>
            <w:r>
              <w:rPr>
                <w:b/>
              </w:rPr>
              <w:t>Lab Title</w:t>
            </w:r>
          </w:p>
        </w:tc>
        <w:tc>
          <w:tcPr>
            <w:tcW w:type="dxa" w:w="4816"/>
            <w:vAlign w:val="center"/>
          </w:tcPr>
          <w:p>
            <w:r>
              <w:t>Lab 13 Open Ended Lab</w:t>
            </w:r>
          </w:p>
        </w:tc>
      </w:tr>
      <w:tr>
        <w:tc>
          <w:tcPr>
            <w:tcW w:type="dxa" w:w="4816"/>
            <w:vAlign w:val="center"/>
            <w:shd w:fill="D7EFE9"/>
          </w:tcPr>
          <w:p>
            <w:r>
              <w:rPr>
                <w:b/>
              </w:rPr>
              <w:t>Prepared On</w:t>
            </w:r>
          </w:p>
        </w:tc>
        <w:tc>
          <w:tcPr>
            <w:tcW w:type="dxa" w:w="4816"/>
            <w:vAlign w:val="center"/>
          </w:tcPr>
          <w:p>
            <w:r>
              <w:t>08 May 2026</w:t>
            </w:r>
          </w:p>
        </w:tc>
      </w:tr>
      <w:tr>
        <w:tc>
          <w:tcPr>
            <w:tcW w:type="dxa" w:w="4816"/>
            <w:vAlign w:val="center"/>
            <w:shd w:fill="D7EFE9"/>
          </w:tcPr>
          <w:p>
            <w:r>
              <w:rPr>
                <w:b/>
              </w:rPr>
              <w:t>Project Folder</w:t>
            </w:r>
          </w:p>
        </w:tc>
        <w:tc>
          <w:tcPr>
            <w:tcW w:type="dxa" w:w="4816"/>
            <w:vAlign w:val="center"/>
          </w:tcPr>
          <w:p>
            <w:r>
              <w:t>C:\Users\hts\Downloads\PDC-OEL</w:t>
            </w:r>
          </w:p>
        </w:tc>
      </w:tr>
    </w:tbl>
    <w:p/>
    <w:p>
      <w:pPr>
        <w:spacing w:after="160" w:line="288" w:lineRule="auto"/>
        <w:jc w:val="both"/>
      </w:pPr>
      <w:r>
        <w:rPr>
          <w:rFonts w:ascii="Calibri" w:hAnsi="Calibri"/>
          <w:sz w:val="22"/>
        </w:rPr>
        <w:t>This report presents a complete Apache Solr implementation built around a research article discovery portal. The work includes SolrCloud collection creation, schema design, dataset indexing, query experimentation, a responsive web search interface, and a final analysis of performance and search quality.</w:t>
      </w:r>
    </w:p>
    <w:p>
      <w:r>
        <w:br w:type="page"/>
      </w:r>
    </w:p>
    <w:p>
      <w:pPr>
        <w:spacing w:before="200" w:after="120"/>
      </w:pPr>
      <w:r>
        <w:rPr>
          <w:rFonts w:ascii="Cambria" w:hAnsi="Cambria"/>
          <w:b/>
          <w:color w:val="0F766E"/>
          <w:sz w:val="30"/>
        </w:rPr>
        <w:t>Problem Statement</w:t>
      </w:r>
    </w:p>
    <w:p>
      <w:pPr>
        <w:spacing w:after="160" w:line="288" w:lineRule="auto"/>
        <w:jc w:val="both"/>
      </w:pPr>
      <w:r>
        <w:rPr>
          <w:rFonts w:ascii="Calibri" w:hAnsi="Calibri"/>
          <w:sz w:val="22"/>
        </w:rPr>
        <w:t>The objective of this lab was to design and implement a practical Solr based search solution using a self selected real world style dataset. The system needed to support indexing, flexible search queries, filtering, sorting, faceted navigation, highlighting, and a web based interface suitable for interactive searching.</w:t>
      </w:r>
    </w:p>
    <w:p>
      <w:pPr>
        <w:spacing w:before="200" w:after="120"/>
      </w:pPr>
      <w:r>
        <w:rPr>
          <w:rFonts w:ascii="Cambria" w:hAnsi="Cambria"/>
          <w:b/>
          <w:color w:val="0F766E"/>
          <w:sz w:val="30"/>
        </w:rPr>
        <w:t>Dataset Description</w:t>
      </w:r>
    </w:p>
    <w:p>
      <w:pPr>
        <w:spacing w:after="160" w:line="288" w:lineRule="auto"/>
        <w:jc w:val="both"/>
      </w:pPr>
      <w:r>
        <w:rPr>
          <w:rFonts w:ascii="Calibri" w:hAnsi="Calibri"/>
          <w:sz w:val="22"/>
        </w:rPr>
        <w:t>A curated dataset of eighteen research articles was created to simulate a university or enterprise research portal. This dataset was selected because it contains both descriptive metadata and meaningful searchable text, making it suitable for demonstrating full text retrieval as well as structured filtering.</w:t>
      </w:r>
    </w:p>
    <w:tbl>
      <w:tblPr>
        <w:tblStyle w:val="TableGrid"/>
        <w:tblW w:type="auto" w:w="0"/>
        <w:jc w:val="center"/>
        <w:tblLook w:firstColumn="1" w:firstRow="1" w:lastColumn="0" w:lastRow="0" w:noHBand="0" w:noVBand="1" w:val="04A0"/>
      </w:tblPr>
      <w:tblGrid>
        <w:gridCol w:w="3211"/>
        <w:gridCol w:w="3211"/>
        <w:gridCol w:w="3211"/>
      </w:tblGrid>
      <w:tr>
        <w:tc>
          <w:tcPr>
            <w:tcW w:type="dxa" w:w="3211"/>
            <w:vAlign w:val="center"/>
            <w:shd w:fill="0F766E"/>
          </w:tcPr>
          <w:p>
            <w:r>
              <w:rPr>
                <w:b/>
                <w:color w:val="FFFFFF"/>
              </w:rPr>
              <w:t>Field</w:t>
            </w:r>
          </w:p>
        </w:tc>
        <w:tc>
          <w:tcPr>
            <w:tcW w:type="dxa" w:w="3211"/>
            <w:vAlign w:val="center"/>
            <w:shd w:fill="0F766E"/>
          </w:tcPr>
          <w:p>
            <w:r>
              <w:rPr>
                <w:b/>
                <w:color w:val="FFFFFF"/>
              </w:rPr>
              <w:t>Type</w:t>
            </w:r>
          </w:p>
        </w:tc>
        <w:tc>
          <w:tcPr>
            <w:tcW w:type="dxa" w:w="3211"/>
            <w:vAlign w:val="center"/>
            <w:shd w:fill="0F766E"/>
          </w:tcPr>
          <w:p>
            <w:r>
              <w:rPr>
                <w:b/>
                <w:color w:val="FFFFFF"/>
              </w:rPr>
              <w:t>Purpose</w:t>
            </w:r>
          </w:p>
        </w:tc>
      </w:tr>
      <w:tr>
        <w:tc>
          <w:tcPr>
            <w:tcW w:type="dxa" w:w="3211"/>
          </w:tcPr>
          <w:p>
            <w:r>
              <w:t>title</w:t>
            </w:r>
          </w:p>
        </w:tc>
        <w:tc>
          <w:tcPr>
            <w:tcW w:type="dxa" w:w="3211"/>
          </w:tcPr>
          <w:p>
            <w:r>
              <w:t>text_general</w:t>
            </w:r>
          </w:p>
        </w:tc>
        <w:tc>
          <w:tcPr>
            <w:tcW w:type="dxa" w:w="3211"/>
          </w:tcPr>
          <w:p>
            <w:r>
              <w:t>Main searchable heading with higher boost during query time</w:t>
            </w:r>
          </w:p>
        </w:tc>
      </w:tr>
      <w:tr>
        <w:tc>
          <w:tcPr>
            <w:tcW w:type="dxa" w:w="3211"/>
          </w:tcPr>
          <w:p>
            <w:r>
              <w:t>abstract</w:t>
            </w:r>
          </w:p>
        </w:tc>
        <w:tc>
          <w:tcPr>
            <w:tcW w:type="dxa" w:w="3211"/>
          </w:tcPr>
          <w:p>
            <w:r>
              <w:t>text_general</w:t>
            </w:r>
          </w:p>
        </w:tc>
        <w:tc>
          <w:tcPr>
            <w:tcW w:type="dxa" w:w="3211"/>
          </w:tcPr>
          <w:p>
            <w:r>
              <w:t>Body text used for contextual matching and highlighting</w:t>
            </w:r>
          </w:p>
        </w:tc>
      </w:tr>
      <w:tr>
        <w:tc>
          <w:tcPr>
            <w:tcW w:type="dxa" w:w="3211"/>
          </w:tcPr>
          <w:p>
            <w:r>
              <w:t>authors</w:t>
            </w:r>
          </w:p>
        </w:tc>
        <w:tc>
          <w:tcPr>
            <w:tcW w:type="dxa" w:w="3211"/>
          </w:tcPr>
          <w:p>
            <w:r>
              <w:t>text_general multivalued</w:t>
            </w:r>
          </w:p>
        </w:tc>
        <w:tc>
          <w:tcPr>
            <w:tcW w:type="dxa" w:w="3211"/>
          </w:tcPr>
          <w:p>
            <w:r>
              <w:t>Author names included in search scope</w:t>
            </w:r>
          </w:p>
        </w:tc>
      </w:tr>
      <w:tr>
        <w:tc>
          <w:tcPr>
            <w:tcW w:type="dxa" w:w="3211"/>
          </w:tcPr>
          <w:p>
            <w:r>
              <w:t>category</w:t>
            </w:r>
          </w:p>
        </w:tc>
        <w:tc>
          <w:tcPr>
            <w:tcW w:type="dxa" w:w="3211"/>
          </w:tcPr>
          <w:p>
            <w:r>
              <w:t>string</w:t>
            </w:r>
          </w:p>
        </w:tc>
        <w:tc>
          <w:tcPr>
            <w:tcW w:type="dxa" w:w="3211"/>
          </w:tcPr>
          <w:p>
            <w:r>
              <w:t>Exact facet and filter field</w:t>
            </w:r>
          </w:p>
        </w:tc>
      </w:tr>
      <w:tr>
        <w:tc>
          <w:tcPr>
            <w:tcW w:type="dxa" w:w="3211"/>
          </w:tcPr>
          <w:p>
            <w:r>
              <w:t>year</w:t>
            </w:r>
          </w:p>
        </w:tc>
        <w:tc>
          <w:tcPr>
            <w:tcW w:type="dxa" w:w="3211"/>
          </w:tcPr>
          <w:p>
            <w:r>
              <w:t>pint</w:t>
            </w:r>
          </w:p>
        </w:tc>
        <w:tc>
          <w:tcPr>
            <w:tcW w:type="dxa" w:w="3211"/>
          </w:tcPr>
          <w:p>
            <w:r>
              <w:t>Numeric sorting and filtering</w:t>
            </w:r>
          </w:p>
        </w:tc>
      </w:tr>
      <w:tr>
        <w:tc>
          <w:tcPr>
            <w:tcW w:type="dxa" w:w="3211"/>
          </w:tcPr>
          <w:p>
            <w:r>
              <w:t>venue</w:t>
            </w:r>
          </w:p>
        </w:tc>
        <w:tc>
          <w:tcPr>
            <w:tcW w:type="dxa" w:w="3211"/>
          </w:tcPr>
          <w:p>
            <w:r>
              <w:t>string</w:t>
            </w:r>
          </w:p>
        </w:tc>
        <w:tc>
          <w:tcPr>
            <w:tcW w:type="dxa" w:w="3211"/>
          </w:tcPr>
          <w:p>
            <w:r>
              <w:t>Exact source or publication venue</w:t>
            </w:r>
          </w:p>
        </w:tc>
      </w:tr>
      <w:tr>
        <w:tc>
          <w:tcPr>
            <w:tcW w:type="dxa" w:w="3211"/>
          </w:tcPr>
          <w:p>
            <w:r>
              <w:t>document_type</w:t>
            </w:r>
          </w:p>
        </w:tc>
        <w:tc>
          <w:tcPr>
            <w:tcW w:type="dxa" w:w="3211"/>
          </w:tcPr>
          <w:p>
            <w:r>
              <w:t>string</w:t>
            </w:r>
          </w:p>
        </w:tc>
        <w:tc>
          <w:tcPr>
            <w:tcW w:type="dxa" w:w="3211"/>
          </w:tcPr>
          <w:p>
            <w:r>
              <w:t>Document classification for filtering</w:t>
            </w:r>
          </w:p>
        </w:tc>
      </w:tr>
      <w:tr>
        <w:tc>
          <w:tcPr>
            <w:tcW w:type="dxa" w:w="3211"/>
          </w:tcPr>
          <w:p>
            <w:r>
              <w:t>keywords</w:t>
            </w:r>
          </w:p>
        </w:tc>
        <w:tc>
          <w:tcPr>
            <w:tcW w:type="dxa" w:w="3211"/>
          </w:tcPr>
          <w:p>
            <w:r>
              <w:t>text_general multivalued</w:t>
            </w:r>
          </w:p>
        </w:tc>
        <w:tc>
          <w:tcPr>
            <w:tcW w:type="dxa" w:w="3211"/>
          </w:tcPr>
          <w:p>
            <w:r>
              <w:t>Supplementary topical vocabulary</w:t>
            </w:r>
          </w:p>
        </w:tc>
      </w:tr>
      <w:tr>
        <w:tc>
          <w:tcPr>
            <w:tcW w:type="dxa" w:w="3211"/>
          </w:tcPr>
          <w:p>
            <w:r>
              <w:t>citations</w:t>
            </w:r>
          </w:p>
        </w:tc>
        <w:tc>
          <w:tcPr>
            <w:tcW w:type="dxa" w:w="3211"/>
          </w:tcPr>
          <w:p>
            <w:r>
              <w:t>pint</w:t>
            </w:r>
          </w:p>
        </w:tc>
        <w:tc>
          <w:tcPr>
            <w:tcW w:type="dxa" w:w="3211"/>
          </w:tcPr>
          <w:p>
            <w:r>
              <w:t>Ranking support for popularity based sorting</w:t>
            </w:r>
          </w:p>
        </w:tc>
      </w:tr>
      <w:tr>
        <w:tc>
          <w:tcPr>
            <w:tcW w:type="dxa" w:w="3211"/>
          </w:tcPr>
          <w:p>
            <w:r>
              <w:t>access_type</w:t>
            </w:r>
          </w:p>
        </w:tc>
        <w:tc>
          <w:tcPr>
            <w:tcW w:type="dxa" w:w="3211"/>
          </w:tcPr>
          <w:p>
            <w:r>
              <w:t>string</w:t>
            </w:r>
          </w:p>
        </w:tc>
        <w:tc>
          <w:tcPr>
            <w:tcW w:type="dxa" w:w="3211"/>
          </w:tcPr>
          <w:p>
            <w:r>
              <w:t>Access control facet such as Open Access or Subscription</w:t>
            </w:r>
          </w:p>
        </w:tc>
      </w:tr>
      <w:tr>
        <w:tc>
          <w:tcPr>
            <w:tcW w:type="dxa" w:w="3211"/>
          </w:tcPr>
          <w:p>
            <w:r>
              <w:t>all_text</w:t>
            </w:r>
          </w:p>
        </w:tc>
        <w:tc>
          <w:tcPr>
            <w:tcW w:type="dxa" w:w="3211"/>
          </w:tcPr>
          <w:p>
            <w:r>
              <w:t>text_general</w:t>
            </w:r>
          </w:p>
        </w:tc>
        <w:tc>
          <w:tcPr>
            <w:tcW w:type="dxa" w:w="3211"/>
          </w:tcPr>
          <w:p>
            <w:r>
              <w:t>Copy field used to improve recall across combined content</w:t>
            </w:r>
          </w:p>
        </w:tc>
      </w:tr>
    </w:tbl>
    <w:p>
      <w:pPr>
        <w:spacing w:before="200" w:after="120"/>
      </w:pPr>
      <w:r>
        <w:rPr>
          <w:rFonts w:ascii="Cambria" w:hAnsi="Cambria"/>
          <w:b/>
          <w:color w:val="0F766E"/>
          <w:sz w:val="30"/>
        </w:rPr>
        <w:t>Configuration Details</w:t>
      </w:r>
    </w:p>
    <w:p>
      <w:pPr>
        <w:spacing w:after="160" w:line="288" w:lineRule="auto"/>
        <w:jc w:val="both"/>
      </w:pPr>
      <w:r>
        <w:rPr>
          <w:rFonts w:ascii="Calibri" w:hAnsi="Calibri"/>
          <w:sz w:val="22"/>
        </w:rPr>
        <w:t>The collection named research_portal was created in SolrCloud mode with 2 logical shards and a replication factor of 1. The default configset was extended through the Schema API so that text fields, exact filter fields, and numeric sort fields were explicitly defined instead of depending on automatic field inference.</w:t>
      </w:r>
    </w:p>
    <w:tbl>
      <w:tblPr>
        <w:tblStyle w:val="TableGrid"/>
        <w:tblW w:type="auto" w:w="0"/>
        <w:jc w:val="center"/>
        <w:tblLook w:firstColumn="1" w:firstRow="1" w:lastColumn="0" w:lastRow="0" w:noHBand="0" w:noVBand="1" w:val="04A0"/>
      </w:tblPr>
      <w:tblGrid>
        <w:gridCol w:w="4816"/>
        <w:gridCol w:w="4816"/>
      </w:tblGrid>
      <w:tr>
        <w:tc>
          <w:tcPr>
            <w:tcW w:type="dxa" w:w="4816"/>
            <w:vAlign w:val="center"/>
            <w:shd w:fill="0F766E"/>
          </w:tcPr>
          <w:p>
            <w:r>
              <w:rPr>
                <w:b/>
                <w:color w:val="FFFFFF"/>
              </w:rPr>
              <w:t>Configuration Item</w:t>
            </w:r>
          </w:p>
        </w:tc>
        <w:tc>
          <w:tcPr>
            <w:tcW w:type="dxa" w:w="4816"/>
            <w:vAlign w:val="center"/>
            <w:shd w:fill="0F766E"/>
          </w:tcPr>
          <w:p>
            <w:r>
              <w:rPr>
                <w:b/>
                <w:color w:val="FFFFFF"/>
              </w:rPr>
              <w:t>Value</w:t>
            </w:r>
          </w:p>
        </w:tc>
      </w:tr>
      <w:tr>
        <w:tc>
          <w:tcPr>
            <w:tcW w:type="dxa" w:w="4816"/>
          </w:tcPr>
          <w:p>
            <w:r>
              <w:t>Collection mode</w:t>
            </w:r>
          </w:p>
        </w:tc>
        <w:tc>
          <w:tcPr>
            <w:tcW w:type="dxa" w:w="4816"/>
          </w:tcPr>
          <w:p>
            <w:r>
              <w:t>SolrCloud on a single local node</w:t>
            </w:r>
          </w:p>
        </w:tc>
      </w:tr>
      <w:tr>
        <w:tc>
          <w:tcPr>
            <w:tcW w:type="dxa" w:w="4816"/>
          </w:tcPr>
          <w:p>
            <w:r>
              <w:t>Shard count</w:t>
            </w:r>
          </w:p>
        </w:tc>
        <w:tc>
          <w:tcPr>
            <w:tcW w:type="dxa" w:w="4816"/>
          </w:tcPr>
          <w:p>
            <w:r>
              <w:t>2</w:t>
            </w:r>
          </w:p>
        </w:tc>
      </w:tr>
      <w:tr>
        <w:tc>
          <w:tcPr>
            <w:tcW w:type="dxa" w:w="4816"/>
          </w:tcPr>
          <w:p>
            <w:r>
              <w:t>Indexed documents</w:t>
            </w:r>
          </w:p>
        </w:tc>
        <w:tc>
          <w:tcPr>
            <w:tcW w:type="dxa" w:w="4816"/>
          </w:tcPr>
          <w:p>
            <w:r>
              <w:t>18</w:t>
            </w:r>
          </w:p>
        </w:tc>
      </w:tr>
      <w:tr>
        <w:tc>
          <w:tcPr>
            <w:tcW w:type="dxa" w:w="4816"/>
          </w:tcPr>
          <w:p>
            <w:r>
              <w:t>Schema strategy</w:t>
            </w:r>
          </w:p>
        </w:tc>
        <w:tc>
          <w:tcPr>
            <w:tcW w:type="dxa" w:w="4816"/>
          </w:tcPr>
          <w:p>
            <w:r>
              <w:t>Explicit fields with copyField into all_text</w:t>
            </w:r>
          </w:p>
        </w:tc>
      </w:tr>
      <w:tr>
        <w:tc>
          <w:tcPr>
            <w:tcW w:type="dxa" w:w="4816"/>
          </w:tcPr>
          <w:p>
            <w:r>
              <w:t>Autocomplete approach</w:t>
            </w:r>
          </w:p>
        </w:tc>
        <w:tc>
          <w:tcPr>
            <w:tcW w:type="dxa" w:w="4816"/>
          </w:tcPr>
          <w:p>
            <w:r>
              <w:t>Terms based title suggestions through the web proxy</w:t>
            </w:r>
          </w:p>
        </w:tc>
      </w:tr>
      <w:tr>
        <w:tc>
          <w:tcPr>
            <w:tcW w:type="dxa" w:w="4816"/>
          </w:tcPr>
          <w:p>
            <w:r>
              <w:t>Frontend stack</w:t>
            </w:r>
          </w:p>
        </w:tc>
        <w:tc>
          <w:tcPr>
            <w:tcW w:type="dxa" w:w="4816"/>
          </w:tcPr>
          <w:p>
            <w:r>
              <w:t>Vanilla HTML, CSS, JavaScript served by a lightweight Node server</w:t>
            </w:r>
          </w:p>
        </w:tc>
      </w:tr>
    </w:tbl>
    <w:p>
      <w:pPr>
        <w:spacing w:before="200" w:after="120"/>
      </w:pPr>
      <w:r>
        <w:rPr>
          <w:rFonts w:ascii="Cambria" w:hAnsi="Cambria"/>
          <w:b/>
          <w:color w:val="0F766E"/>
          <w:sz w:val="30"/>
        </w:rPr>
        <w:t>Implementation Steps</w:t>
      </w:r>
    </w:p>
    <w:p>
      <w:pPr>
        <w:spacing w:after="160" w:line="288" w:lineRule="auto"/>
        <w:jc w:val="both"/>
      </w:pPr>
      <w:r>
        <w:rPr>
          <w:rFonts w:ascii="Calibri" w:hAnsi="Calibri"/>
          <w:sz w:val="22"/>
        </w:rPr>
        <w:t>The implementation was automated through local scripts so the system could be reproduced consistently. The setup script created the collection and schema, the indexing script imported the dataset, the query script saved representative result sets, and the analysis script measured query responsiveness.</w:t>
      </w:r>
    </w:p>
    <w:tbl>
      <w:tblPr>
        <w:tblStyle w:val="TableGrid"/>
        <w:tblW w:type="auto" w:w="0"/>
        <w:jc w:val="center"/>
        <w:tblLook w:firstColumn="1" w:firstRow="1" w:lastColumn="0" w:lastRow="0" w:noHBand="0" w:noVBand="1" w:val="04A0"/>
      </w:tblPr>
      <w:tblGrid>
        <w:gridCol w:w="4816"/>
        <w:gridCol w:w="4816"/>
      </w:tblGrid>
      <w:tr>
        <w:tc>
          <w:tcPr>
            <w:tcW w:type="dxa" w:w="4816"/>
            <w:vAlign w:val="center"/>
            <w:shd w:fill="D7EFE9"/>
          </w:tcPr>
          <w:p>
            <w:r>
              <w:rPr>
                <w:b/>
              </w:rPr>
              <w:t>Step</w:t>
            </w:r>
          </w:p>
        </w:tc>
        <w:tc>
          <w:tcPr>
            <w:tcW w:type="dxa" w:w="4816"/>
            <w:vAlign w:val="center"/>
            <w:shd w:fill="D7EFE9"/>
          </w:tcPr>
          <w:p>
            <w:r>
              <w:rPr>
                <w:b/>
              </w:rPr>
              <w:t>Command or Action</w:t>
            </w:r>
          </w:p>
        </w:tc>
      </w:tr>
      <w:tr>
        <w:tc>
          <w:tcPr>
            <w:tcW w:type="dxa" w:w="4816"/>
          </w:tcPr>
          <w:p>
            <w:r>
              <w:t>Start Solr</w:t>
            </w:r>
          </w:p>
        </w:tc>
        <w:tc>
          <w:tcPr>
            <w:tcW w:type="dxa" w:w="4816"/>
          </w:tcPr>
          <w:p>
            <w:r>
              <w:rPr>
                <w:rFonts w:ascii="Consolas" w:hAnsi="Consolas"/>
                <w:sz w:val="19"/>
              </w:rPr>
              <w:t>solr.cmd start -p 8983</w:t>
            </w:r>
          </w:p>
        </w:tc>
      </w:tr>
      <w:tr>
        <w:tc>
          <w:tcPr>
            <w:tcW w:type="dxa" w:w="4816"/>
          </w:tcPr>
          <w:p>
            <w:r>
              <w:t>Create collection and schema</w:t>
            </w:r>
          </w:p>
        </w:tc>
        <w:tc>
          <w:tcPr>
            <w:tcW w:type="dxa" w:w="4816"/>
          </w:tcPr>
          <w:p>
            <w:r>
              <w:rPr>
                <w:rFonts w:ascii="Consolas" w:hAnsi="Consolas"/>
                <w:sz w:val="19"/>
              </w:rPr>
              <w:t>powershell -ExecutionPolicy Bypass -File scripts\setup_solr.ps1</w:t>
            </w:r>
          </w:p>
        </w:tc>
      </w:tr>
      <w:tr>
        <w:tc>
          <w:tcPr>
            <w:tcW w:type="dxa" w:w="4816"/>
          </w:tcPr>
          <w:p>
            <w:r>
              <w:t>Index research dataset</w:t>
            </w:r>
          </w:p>
        </w:tc>
        <w:tc>
          <w:tcPr>
            <w:tcW w:type="dxa" w:w="4816"/>
          </w:tcPr>
          <w:p>
            <w:r>
              <w:rPr>
                <w:rFonts w:ascii="Consolas" w:hAnsi="Consolas"/>
                <w:sz w:val="19"/>
              </w:rPr>
              <w:t>powershell -ExecutionPolicy Bypass -File scripts\index_data.ps1</w:t>
            </w:r>
          </w:p>
        </w:tc>
      </w:tr>
      <w:tr>
        <w:tc>
          <w:tcPr>
            <w:tcW w:type="dxa" w:w="4816"/>
          </w:tcPr>
          <w:p>
            <w:r>
              <w:t>Export query outputs</w:t>
            </w:r>
          </w:p>
        </w:tc>
        <w:tc>
          <w:tcPr>
            <w:tcW w:type="dxa" w:w="4816"/>
          </w:tcPr>
          <w:p>
            <w:r>
              <w:rPr>
                <w:rFonts w:ascii="Consolas" w:hAnsi="Consolas"/>
                <w:sz w:val="19"/>
              </w:rPr>
              <w:t>powershell -ExecutionPolicy Bypass -File scripts\run_queries.ps1</w:t>
            </w:r>
          </w:p>
        </w:tc>
      </w:tr>
      <w:tr>
        <w:tc>
          <w:tcPr>
            <w:tcW w:type="dxa" w:w="4816"/>
          </w:tcPr>
          <w:p>
            <w:r>
              <w:t>Measure query timings</w:t>
            </w:r>
          </w:p>
        </w:tc>
        <w:tc>
          <w:tcPr>
            <w:tcW w:type="dxa" w:w="4816"/>
          </w:tcPr>
          <w:p>
            <w:r>
              <w:rPr>
                <w:rFonts w:ascii="Consolas" w:hAnsi="Consolas"/>
                <w:sz w:val="19"/>
              </w:rPr>
              <w:t>python scripts\analyze_results.py</w:t>
            </w:r>
          </w:p>
        </w:tc>
      </w:tr>
      <w:tr>
        <w:tc>
          <w:tcPr>
            <w:tcW w:type="dxa" w:w="4816"/>
          </w:tcPr>
          <w:p>
            <w:r>
              <w:t>Launch web interface</w:t>
            </w:r>
          </w:p>
        </w:tc>
        <w:tc>
          <w:tcPr>
            <w:tcW w:type="dxa" w:w="4816"/>
          </w:tcPr>
          <w:p>
            <w:r>
              <w:rPr>
                <w:rFonts w:ascii="Consolas" w:hAnsi="Consolas"/>
                <w:sz w:val="19"/>
              </w:rPr>
              <w:t>node web\server.js</w:t>
            </w:r>
          </w:p>
        </w:tc>
      </w:tr>
    </w:tbl>
    <w:p>
      <w:pPr>
        <w:spacing w:before="200" w:after="120"/>
      </w:pPr>
      <w:r>
        <w:rPr>
          <w:rFonts w:ascii="Cambria" w:hAnsi="Cambria"/>
          <w:b/>
          <w:color w:val="0F766E"/>
          <w:sz w:val="30"/>
        </w:rPr>
        <w:t>Search Experiments and Results</w:t>
      </w:r>
    </w:p>
    <w:p>
      <w:pPr>
        <w:spacing w:after="160" w:line="288" w:lineRule="auto"/>
        <w:jc w:val="both"/>
      </w:pPr>
      <w:r>
        <w:rPr>
          <w:rFonts w:ascii="Calibri" w:hAnsi="Calibri"/>
          <w:sz w:val="22"/>
        </w:rPr>
        <w:t>Several search experiments were executed to demonstrate plain keyword search, filtered retrieval, faceted exploration, sorting by citation count, and visual term highlighting. The responses show that the collection returns meaningful matches for academic search terms and supports exact filtering without sacrificing recall.</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08"/>
            <w:vAlign w:val="center"/>
            <w:shd w:fill="0F766E"/>
          </w:tcPr>
          <w:p>
            <w:r>
              <w:rPr>
                <w:b/>
                <w:color w:val="FFFFFF"/>
              </w:rPr>
              <w:t>Experiment</w:t>
            </w:r>
          </w:p>
        </w:tc>
        <w:tc>
          <w:tcPr>
            <w:tcW w:type="dxa" w:w="2408"/>
            <w:vAlign w:val="center"/>
            <w:shd w:fill="0F766E"/>
          </w:tcPr>
          <w:p>
            <w:r>
              <w:rPr>
                <w:b/>
                <w:color w:val="FFFFFF"/>
              </w:rPr>
              <w:t>Representative Query</w:t>
            </w:r>
          </w:p>
        </w:tc>
        <w:tc>
          <w:tcPr>
            <w:tcW w:type="dxa" w:w="2408"/>
            <w:vAlign w:val="center"/>
            <w:shd w:fill="0F766E"/>
          </w:tcPr>
          <w:p>
            <w:r>
              <w:rPr>
                <w:b/>
                <w:color w:val="FFFFFF"/>
              </w:rPr>
              <w:t>Observed Result</w:t>
            </w:r>
          </w:p>
        </w:tc>
        <w:tc>
          <w:tcPr>
            <w:tcW w:type="dxa" w:w="2408"/>
            <w:vAlign w:val="center"/>
            <w:shd w:fill="0F766E"/>
          </w:tcPr>
          <w:p>
            <w:r>
              <w:rPr>
                <w:b/>
                <w:color w:val="FFFFFF"/>
              </w:rPr>
              <w:t>QTime</w:t>
            </w:r>
          </w:p>
        </w:tc>
      </w:tr>
      <w:tr>
        <w:tc>
          <w:tcPr>
            <w:tcW w:type="dxa" w:w="2408"/>
          </w:tcPr>
          <w:p>
            <w:r>
              <w:t>Full text relevance</w:t>
            </w:r>
          </w:p>
        </w:tc>
        <w:tc>
          <w:tcPr>
            <w:tcW w:type="dxa" w:w="2408"/>
          </w:tcPr>
          <w:p>
            <w:r>
              <w:t>neural search</w:t>
            </w:r>
          </w:p>
        </w:tc>
        <w:tc>
          <w:tcPr>
            <w:tcW w:type="dxa" w:w="2408"/>
          </w:tcPr>
          <w:p>
            <w:r>
              <w:t>Neural Ranking Strategies for Academic Search Portals</w:t>
            </w:r>
          </w:p>
        </w:tc>
        <w:tc>
          <w:tcPr>
            <w:tcW w:type="dxa" w:w="2408"/>
          </w:tcPr>
          <w:p>
            <w:r>
              <w:t>196</w:t>
            </w:r>
          </w:p>
        </w:tc>
      </w:tr>
      <w:tr>
        <w:tc>
          <w:tcPr>
            <w:tcW w:type="dxa" w:w="2408"/>
          </w:tcPr>
          <w:p>
            <w:r>
              <w:t>Filtered open access search</w:t>
            </w:r>
          </w:p>
        </w:tc>
        <w:tc>
          <w:tcPr>
            <w:tcW w:type="dxa" w:w="2408"/>
          </w:tcPr>
          <w:p>
            <w:r>
              <w:t>retrieval with access_type = "Open Access"</w:t>
            </w:r>
          </w:p>
        </w:tc>
        <w:tc>
          <w:tcPr>
            <w:tcW w:type="dxa" w:w="2408"/>
          </w:tcPr>
          <w:p>
            <w:r>
              <w:t>Vector Search and Lexical Search Hybridization in Solr</w:t>
            </w:r>
          </w:p>
        </w:tc>
        <w:tc>
          <w:tcPr>
            <w:tcW w:type="dxa" w:w="2408"/>
          </w:tcPr>
          <w:p>
            <w:r>
              <w:t>59</w:t>
            </w:r>
          </w:p>
        </w:tc>
      </w:tr>
      <w:tr>
        <w:tc>
          <w:tcPr>
            <w:tcW w:type="dxa" w:w="2408"/>
          </w:tcPr>
          <w:p>
            <w:r>
              <w:t>Citation sorted retrieval</w:t>
            </w:r>
          </w:p>
        </w:tc>
        <w:tc>
          <w:tcPr>
            <w:tcW w:type="dxa" w:w="2408"/>
          </w:tcPr>
          <w:p>
            <w:r>
              <w:t>search sorted by citations desc</w:t>
            </w:r>
          </w:p>
        </w:tc>
        <w:tc>
          <w:tcPr>
            <w:tcW w:type="dxa" w:w="2408"/>
          </w:tcPr>
          <w:p>
            <w:r>
              <w:t>Search Personalization with Research Interest Profiles</w:t>
            </w:r>
          </w:p>
        </w:tc>
        <w:tc>
          <w:tcPr>
            <w:tcW w:type="dxa" w:w="2408"/>
          </w:tcPr>
          <w:p>
            <w:r>
              <w:t>35</w:t>
            </w:r>
          </w:p>
        </w:tc>
      </w:tr>
    </w:tbl>
    <w:p>
      <w:pPr>
        <w:jc w:val="center"/>
      </w:pPr>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solr_admin.png"/>
                    <pic:cNvPicPr/>
                  </pic:nvPicPr>
                  <pic:blipFill>
                    <a:blip r:embed="rId9"/>
                    <a:stretch>
                      <a:fillRect/>
                    </a:stretch>
                  </pic:blipFill>
                  <pic:spPr>
                    <a:xfrm>
                      <a:off x="0" y="0"/>
                      <a:ext cx="5486400" cy="4572000"/>
                    </a:xfrm>
                    <a:prstGeom prst="rect"/>
                  </pic:spPr>
                </pic:pic>
              </a:graphicData>
            </a:graphic>
          </wp:inline>
        </w:drawing>
      </w:r>
    </w:p>
    <w:p>
      <w:pPr>
        <w:spacing w:before="80" w:after="200"/>
        <w:jc w:val="center"/>
      </w:pPr>
      <w:r>
        <w:rPr>
          <w:rFonts w:ascii="Calibri" w:hAnsi="Calibri"/>
          <w:i/>
          <w:color w:val="5A5A5A"/>
          <w:sz w:val="20"/>
        </w:rPr>
        <w:t>Figure 1. Solr Admin interface showing the running local Solr instance.</w:t>
      </w:r>
    </w:p>
    <w:p>
      <w:pPr>
        <w:jc w:val="center"/>
      </w:pPr>
      <w:r>
        <w:drawing>
          <wp:inline xmlns:a="http://schemas.openxmlformats.org/drawingml/2006/main" xmlns:pic="http://schemas.openxmlformats.org/drawingml/2006/picture">
            <wp:extent cx="5486400" cy="7688580"/>
            <wp:docPr id="2" name="Picture 2"/>
            <wp:cNvGraphicFramePr>
              <a:graphicFrameLocks noChangeAspect="1"/>
            </wp:cNvGraphicFramePr>
            <a:graphic>
              <a:graphicData uri="http://schemas.openxmlformats.org/drawingml/2006/picture">
                <pic:pic>
                  <pic:nvPicPr>
                    <pic:cNvPr id="0" name="web_home.png"/>
                    <pic:cNvPicPr/>
                  </pic:nvPicPr>
                  <pic:blipFill>
                    <a:blip r:embed="rId10"/>
                    <a:stretch>
                      <a:fillRect/>
                    </a:stretch>
                  </pic:blipFill>
                  <pic:spPr>
                    <a:xfrm>
                      <a:off x="0" y="0"/>
                      <a:ext cx="5486400" cy="7688580"/>
                    </a:xfrm>
                    <a:prstGeom prst="rect"/>
                  </pic:spPr>
                </pic:pic>
              </a:graphicData>
            </a:graphic>
          </wp:inline>
        </w:drawing>
      </w:r>
    </w:p>
    <w:p>
      <w:pPr>
        <w:spacing w:before="80" w:after="200"/>
        <w:jc w:val="center"/>
      </w:pPr>
      <w:r>
        <w:rPr>
          <w:rFonts w:ascii="Calibri" w:hAnsi="Calibri"/>
          <w:i/>
          <w:color w:val="5A5A5A"/>
          <w:sz w:val="20"/>
        </w:rPr>
        <w:t>Figure 2. Responsive research portal homepage integrated with Solr.</w:t>
      </w:r>
    </w:p>
    <w:p>
      <w:r>
        <w:br w:type="page"/>
      </w:r>
    </w:p>
    <w:p>
      <w:pPr>
        <w:spacing w:before="200" w:after="120"/>
      </w:pPr>
      <w:r>
        <w:rPr>
          <w:rFonts w:ascii="Cambria" w:hAnsi="Cambria"/>
          <w:b/>
          <w:color w:val="0F766E"/>
          <w:sz w:val="30"/>
        </w:rPr>
        <w:t>Web Integration</w:t>
      </w:r>
    </w:p>
    <w:p>
      <w:pPr>
        <w:spacing w:after="160" w:line="288" w:lineRule="auto"/>
        <w:jc w:val="both"/>
      </w:pPr>
      <w:r>
        <w:rPr>
          <w:rFonts w:ascii="Calibri" w:hAnsi="Calibri"/>
          <w:sz w:val="22"/>
        </w:rPr>
        <w:t>A lightweight Node based server was created to serve the frontend and proxy search requests to Solr. This design avoids cross origin complications and makes the interface easy to run on any local machine. The frontend supports live query submission, autocomplete suggestions, category facets, access and year filters, sorting options, pagination controls, and highlighted search snippets.</w:t>
      </w:r>
    </w:p>
    <w:p>
      <w:pPr>
        <w:jc w:val="center"/>
      </w:pPr>
      <w:r>
        <w:drawing>
          <wp:inline xmlns:a="http://schemas.openxmlformats.org/drawingml/2006/main" xmlns:pic="http://schemas.openxmlformats.org/drawingml/2006/picture">
            <wp:extent cx="5577840" cy="7816723"/>
            <wp:docPr id="3" name="Picture 3"/>
            <wp:cNvGraphicFramePr>
              <a:graphicFrameLocks noChangeAspect="1"/>
            </wp:cNvGraphicFramePr>
            <a:graphic>
              <a:graphicData uri="http://schemas.openxmlformats.org/drawingml/2006/picture">
                <pic:pic>
                  <pic:nvPicPr>
                    <pic:cNvPr id="0" name="web_search_results.png"/>
                    <pic:cNvPicPr/>
                  </pic:nvPicPr>
                  <pic:blipFill>
                    <a:blip r:embed="rId11"/>
                    <a:stretch>
                      <a:fillRect/>
                    </a:stretch>
                  </pic:blipFill>
                  <pic:spPr>
                    <a:xfrm>
                      <a:off x="0" y="0"/>
                      <a:ext cx="5577840" cy="7816723"/>
                    </a:xfrm>
                    <a:prstGeom prst="rect"/>
                  </pic:spPr>
                </pic:pic>
              </a:graphicData>
            </a:graphic>
          </wp:inline>
        </w:drawing>
      </w:r>
    </w:p>
    <w:p>
      <w:pPr>
        <w:spacing w:before="80" w:after="200"/>
        <w:jc w:val="center"/>
      </w:pPr>
      <w:r>
        <w:rPr>
          <w:rFonts w:ascii="Calibri" w:hAnsi="Calibri"/>
          <w:i/>
          <w:color w:val="5A5A5A"/>
          <w:sz w:val="20"/>
        </w:rPr>
        <w:t>Figure 3. Query results with highlighting, facets, pagination, and metadata pills.</w:t>
      </w:r>
    </w:p>
    <w:p>
      <w:pPr>
        <w:jc w:val="center"/>
      </w:pPr>
      <w:r>
        <w:drawing>
          <wp:inline xmlns:a="http://schemas.openxmlformats.org/drawingml/2006/main" xmlns:pic="http://schemas.openxmlformats.org/drawingml/2006/picture">
            <wp:extent cx="5577840" cy="7816723"/>
            <wp:docPr id="4" name="Picture 4"/>
            <wp:cNvGraphicFramePr>
              <a:graphicFrameLocks noChangeAspect="1"/>
            </wp:cNvGraphicFramePr>
            <a:graphic>
              <a:graphicData uri="http://schemas.openxmlformats.org/drawingml/2006/picture">
                <pic:pic>
                  <pic:nvPicPr>
                    <pic:cNvPr id="0" name="web_filtered_results.png"/>
                    <pic:cNvPicPr/>
                  </pic:nvPicPr>
                  <pic:blipFill>
                    <a:blip r:embed="rId12"/>
                    <a:stretch>
                      <a:fillRect/>
                    </a:stretch>
                  </pic:blipFill>
                  <pic:spPr>
                    <a:xfrm>
                      <a:off x="0" y="0"/>
                      <a:ext cx="5577840" cy="7816723"/>
                    </a:xfrm>
                    <a:prstGeom prst="rect"/>
                  </pic:spPr>
                </pic:pic>
              </a:graphicData>
            </a:graphic>
          </wp:inline>
        </w:drawing>
      </w:r>
    </w:p>
    <w:p>
      <w:pPr>
        <w:spacing w:before="80" w:after="200"/>
        <w:jc w:val="center"/>
      </w:pPr>
      <w:r>
        <w:rPr>
          <w:rFonts w:ascii="Calibri" w:hAnsi="Calibri"/>
          <w:i/>
          <w:color w:val="5A5A5A"/>
          <w:sz w:val="20"/>
        </w:rPr>
        <w:t>Figure 4. Filtered result view using access type controls.</w:t>
      </w:r>
    </w:p>
    <w:p>
      <w:pPr>
        <w:spacing w:before="200" w:after="120"/>
      </w:pPr>
      <w:r>
        <w:rPr>
          <w:rFonts w:ascii="Cambria" w:hAnsi="Cambria"/>
          <w:b/>
          <w:color w:val="0F766E"/>
          <w:sz w:val="30"/>
        </w:rPr>
        <w:t>Performance and Accuracy Analysis</w:t>
      </w:r>
    </w:p>
    <w:p>
      <w:pPr>
        <w:spacing w:after="160" w:line="288" w:lineRule="auto"/>
        <w:jc w:val="both"/>
      </w:pPr>
      <w:r>
        <w:rPr>
          <w:rFonts w:ascii="Calibri" w:hAnsi="Calibri"/>
          <w:sz w:val="22"/>
        </w:rPr>
        <w:t>The generated benchmark summary indicates that Solr handled the dataset comfortably, with low internal query times and consistently relevant top results. The measured wall time from the analysis script includes local request overhead, but the Solr QTime values remain the primary indicator of search engine responsiveness.</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08"/>
            <w:vAlign w:val="center"/>
            <w:shd w:fill="D7EFE9"/>
          </w:tcPr>
          <w:p>
            <w:r>
              <w:rPr>
                <w:b/>
              </w:rPr>
              <w:t>Scenario</w:t>
            </w:r>
          </w:p>
        </w:tc>
        <w:tc>
          <w:tcPr>
            <w:tcW w:type="dxa" w:w="2408"/>
            <w:vAlign w:val="center"/>
            <w:shd w:fill="D7EFE9"/>
          </w:tcPr>
          <w:p>
            <w:r>
              <w:rPr>
                <w:b/>
              </w:rPr>
              <w:t>Average QTime ms</w:t>
            </w:r>
          </w:p>
        </w:tc>
        <w:tc>
          <w:tcPr>
            <w:tcW w:type="dxa" w:w="2408"/>
            <w:vAlign w:val="center"/>
            <w:shd w:fill="D7EFE9"/>
          </w:tcPr>
          <w:p>
            <w:r>
              <w:rPr>
                <w:b/>
              </w:rPr>
              <w:t>Average Wall Time ms</w:t>
            </w:r>
          </w:p>
        </w:tc>
        <w:tc>
          <w:tcPr>
            <w:tcW w:type="dxa" w:w="2408"/>
            <w:vAlign w:val="center"/>
            <w:shd w:fill="D7EFE9"/>
          </w:tcPr>
          <w:p>
            <w:r>
              <w:rPr>
                <w:b/>
              </w:rPr>
              <w:t>Interpretation</w:t>
            </w:r>
          </w:p>
        </w:tc>
      </w:tr>
      <w:tr>
        <w:tc>
          <w:tcPr>
            <w:tcW w:type="dxa" w:w="2408"/>
          </w:tcPr>
          <w:p>
            <w:r>
              <w:t>Neural search relevance query</w:t>
            </w:r>
          </w:p>
        </w:tc>
        <w:tc>
          <w:tcPr>
            <w:tcW w:type="dxa" w:w="2408"/>
          </w:tcPr>
          <w:p>
            <w:r>
              <w:t>72.2</w:t>
            </w:r>
          </w:p>
        </w:tc>
        <w:tc>
          <w:tcPr>
            <w:tcW w:type="dxa" w:w="2408"/>
          </w:tcPr>
          <w:p>
            <w:r>
              <w:t>2117.87</w:t>
            </w:r>
          </w:p>
        </w:tc>
        <w:tc>
          <w:tcPr>
            <w:tcW w:type="dxa" w:w="2408"/>
          </w:tcPr>
          <w:p>
            <w:r>
              <w:t>Field boosting prioritized title evidence and kept the most relevant paper at the top.</w:t>
            </w:r>
          </w:p>
        </w:tc>
      </w:tr>
      <w:tr>
        <w:tc>
          <w:tcPr>
            <w:tcW w:type="dxa" w:w="2408"/>
          </w:tcPr>
          <w:p>
            <w:r>
              <w:t>Open access retrieval query</w:t>
            </w:r>
          </w:p>
        </w:tc>
        <w:tc>
          <w:tcPr>
            <w:tcW w:type="dxa" w:w="2408"/>
          </w:tcPr>
          <w:p>
            <w:r>
              <w:t>34.6</w:t>
            </w:r>
          </w:p>
        </w:tc>
        <w:tc>
          <w:tcPr>
            <w:tcW w:type="dxa" w:w="2408"/>
          </w:tcPr>
          <w:p>
            <w:r>
              <w:t>2085.06</w:t>
            </w:r>
          </w:p>
        </w:tc>
        <w:tc>
          <w:tcPr>
            <w:tcW w:type="dxa" w:w="2408"/>
          </w:tcPr>
          <w:p>
            <w:r>
              <w:t>Exact filtering preserved access constraints while still returning meaningful records.</w:t>
            </w:r>
          </w:p>
        </w:tc>
      </w:tr>
      <w:tr>
        <w:tc>
          <w:tcPr>
            <w:tcW w:type="dxa" w:w="2408"/>
          </w:tcPr>
          <w:p>
            <w:r>
              <w:t>Performance cache query</w:t>
            </w:r>
          </w:p>
        </w:tc>
        <w:tc>
          <w:tcPr>
            <w:tcW w:type="dxa" w:w="2408"/>
          </w:tcPr>
          <w:p>
            <w:r>
              <w:t>31.8</w:t>
            </w:r>
          </w:p>
        </w:tc>
        <w:tc>
          <w:tcPr>
            <w:tcW w:type="dxa" w:w="2408"/>
          </w:tcPr>
          <w:p>
            <w:r>
              <w:t>2070.14</w:t>
            </w:r>
          </w:p>
        </w:tc>
        <w:tc>
          <w:tcPr>
            <w:tcW w:type="dxa" w:w="2408"/>
          </w:tcPr>
          <w:p>
            <w:r>
              <w:t>The combined all_text field improved recall for performance related queries.</w:t>
            </w:r>
          </w:p>
        </w:tc>
      </w:tr>
    </w:tbl>
    <w:p>
      <w:pPr>
        <w:spacing w:after="160" w:line="288" w:lineRule="auto"/>
        <w:jc w:val="both"/>
      </w:pPr>
      <w:r>
        <w:rPr>
          <w:rFonts w:ascii="Calibri" w:hAnsi="Calibri"/>
          <w:sz w:val="22"/>
        </w:rPr>
        <w:t>Accuracy was evaluated qualitatively by reviewing the top returned articles for each scenario. Queries such as neural search and retrieval returned documents whose titles and abstracts directly matched the search intent. Highlighting improved result interpretability because users could identify the matched evidence without opening each record.</w:t>
      </w:r>
    </w:p>
    <w:p>
      <w:pPr>
        <w:spacing w:before="200" w:after="120"/>
      </w:pPr>
      <w:r>
        <w:rPr>
          <w:rFonts w:ascii="Cambria" w:hAnsi="Cambria"/>
          <w:b/>
          <w:color w:val="0F766E"/>
          <w:sz w:val="30"/>
        </w:rPr>
        <w:t>Challenges Faced and Solutions</w:t>
      </w:r>
    </w:p>
    <w:tbl>
      <w:tblPr>
        <w:tblStyle w:val="TableGrid"/>
        <w:tblW w:type="auto" w:w="0"/>
        <w:jc w:val="center"/>
        <w:tblLook w:firstColumn="1" w:firstRow="1" w:lastColumn="0" w:lastRow="0" w:noHBand="0" w:noVBand="1" w:val="04A0"/>
      </w:tblPr>
      <w:tblGrid>
        <w:gridCol w:w="4816"/>
        <w:gridCol w:w="4816"/>
      </w:tblGrid>
      <w:tr>
        <w:tc>
          <w:tcPr>
            <w:tcW w:type="dxa" w:w="4816"/>
            <w:vAlign w:val="center"/>
            <w:shd w:fill="0F766E"/>
          </w:tcPr>
          <w:p>
            <w:r>
              <w:rPr>
                <w:b/>
                <w:color w:val="FFFFFF"/>
              </w:rPr>
              <w:t>Challenge</w:t>
            </w:r>
          </w:p>
        </w:tc>
        <w:tc>
          <w:tcPr>
            <w:tcW w:type="dxa" w:w="4816"/>
            <w:vAlign w:val="center"/>
            <w:shd w:fill="0F766E"/>
          </w:tcPr>
          <w:p>
            <w:r>
              <w:rPr>
                <w:b/>
                <w:color w:val="FFFFFF"/>
              </w:rPr>
              <w:t>Resolution</w:t>
            </w:r>
          </w:p>
        </w:tc>
      </w:tr>
      <w:tr>
        <w:tc>
          <w:tcPr>
            <w:tcW w:type="dxa" w:w="4816"/>
          </w:tcPr>
          <w:p>
            <w:r>
              <w:t>Solr 10 uses newer API entry points that differ from many older online examples.</w:t>
            </w:r>
          </w:p>
        </w:tc>
        <w:tc>
          <w:tcPr>
            <w:tcW w:type="dxa" w:w="4816"/>
          </w:tcPr>
          <w:p>
            <w:r>
              <w:t>The implementation was updated to use the live API paths that worked on the installed Solr version.</w:t>
            </w:r>
          </w:p>
        </w:tc>
      </w:tr>
      <w:tr>
        <w:tc>
          <w:tcPr>
            <w:tcW w:type="dxa" w:w="4816"/>
          </w:tcPr>
          <w:p>
            <w:r>
              <w:t>Execution policy restrictions prevented direct script execution from PowerShell.</w:t>
            </w:r>
          </w:p>
        </w:tc>
        <w:tc>
          <w:tcPr>
            <w:tcW w:type="dxa" w:w="4816"/>
          </w:tcPr>
          <w:p>
            <w:r>
              <w:t>Each project script was run through the Bypass policy option so the workflow stayed reproducible.</w:t>
            </w:r>
          </w:p>
        </w:tc>
      </w:tr>
      <w:tr>
        <w:tc>
          <w:tcPr>
            <w:tcW w:type="dxa" w:w="4816"/>
          </w:tcPr>
          <w:p>
            <w:r>
              <w:t>The first captured UI screenshots exposed low contrast facet buttons.</w:t>
            </w:r>
          </w:p>
        </w:tc>
        <w:tc>
          <w:tcPr>
            <w:tcW w:type="dxa" w:w="4816"/>
          </w:tcPr>
          <w:p>
            <w:r>
              <w:t>The CSS was refined and the screenshots were regenerated so the submission remained visually professional.</w:t>
            </w:r>
          </w:p>
        </w:tc>
      </w:tr>
    </w:tbl>
    <w:p>
      <w:pPr>
        <w:spacing w:before="200" w:after="120"/>
      </w:pPr>
      <w:r>
        <w:rPr>
          <w:rFonts w:ascii="Cambria" w:hAnsi="Cambria"/>
          <w:b/>
          <w:color w:val="0F766E"/>
          <w:sz w:val="30"/>
        </w:rPr>
        <w:t>Conclusion</w:t>
      </w:r>
    </w:p>
    <w:p>
      <w:pPr>
        <w:spacing w:after="160" w:line="288" w:lineRule="auto"/>
        <w:jc w:val="both"/>
      </w:pPr>
      <w:r>
        <w:rPr>
          <w:rFonts w:ascii="Calibri" w:hAnsi="Calibri"/>
          <w:sz w:val="22"/>
        </w:rPr>
        <w:t>The final system demonstrates a complete Solr search workflow from collection setup to user facing web integration. The project successfully indexed a custom dataset, supported advanced retrieval features, and produced a polished interface suitable for search driven applications such as digital libraries, repositories, and knowledge portals.</w:t>
      </w:r>
    </w:p>
    <w:p>
      <w:pPr>
        <w:spacing w:before="200" w:after="120"/>
      </w:pPr>
      <w:r>
        <w:rPr>
          <w:rFonts w:ascii="Cambria" w:hAnsi="Cambria"/>
          <w:b/>
          <w:color w:val="0F766E"/>
          <w:sz w:val="30"/>
        </w:rPr>
        <w:t>GitHub Repository Note</w:t>
      </w:r>
    </w:p>
    <w:p>
      <w:pPr>
        <w:spacing w:after="160" w:line="288" w:lineRule="auto"/>
        <w:jc w:val="both"/>
      </w:pPr>
      <w:r>
        <w:rPr>
          <w:rFonts w:ascii="Calibri" w:hAnsi="Calibri"/>
          <w:sz w:val="22"/>
        </w:rPr>
        <w:t>The full source code is organized inside the local project folder and is ready to be pushed to a personal GitHub repository. A final GitHub URL cannot be generated automatically without user account credentials, so the repository link should be added after publishing this folder to GitHub.</w:t>
      </w:r>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