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A5F"/>
          <w:sz w:val="44"/>
        </w:rPr>
        <w:t>Desain: Reorientasi SIDESA-CM menjadi Layanan Janji Temu + Antrean Berbasis ZKP</w:t>
      </w:r>
    </w:p>
    <w:p>
      <w:pPr>
        <w:pStyle w:val="ListBullet"/>
      </w:pPr>
      <w:r>
        <w:rPr>
          <w:b/>
        </w:rPr>
        <w:t>Tanggal:</w:t>
      </w:r>
      <w:r>
        <w:t xml:space="preserve"> 2026-07-26</w:t>
      </w:r>
    </w:p>
    <w:p>
      <w:pPr>
        <w:pStyle w:val="ListBullet"/>
      </w:pPr>
      <w:r>
        <w:rPr>
          <w:b/>
        </w:rPr>
        <w:t>Status:</w:t>
      </w:r>
      <w:r>
        <w:t xml:space="preserve"> Disetujui pada tahap gambaran; menunggu tinjauan spec (dan validasi ke dosen pembimbing)</w:t>
      </w:r>
    </w:p>
    <w:p>
      <w:pPr>
        <w:pStyle w:val="ListBullet"/>
      </w:pPr>
      <w:r>
        <w:rPr>
          <w:b/>
        </w:rPr>
        <w:t>Pemicu:</w:t>
      </w:r>
      <w:r>
        <w:t xml:space="preserve"> Masukan dosen pembimbing agar implementasi kriptografi difokuskan pada </w:t>
      </w:r>
      <w:r>
        <w:rPr>
          <w:i/>
        </w:rPr>
        <w:t>zero-knowledge proof</w:t>
      </w:r>
      <w:r>
        <w:t xml:space="preserve"> (ZKP) dan tidak lagi menerapkan tanda tangan digital ECDSA.</w:t>
      </w:r>
    </w:p>
    <w:p>
      <w:pPr>
        <w:pStyle w:val="ListBullet"/>
      </w:pPr>
      <w:r>
        <w:rPr>
          <w:b/>
        </w:rPr>
        <w:t>Sifat perubahan:</w:t>
      </w:r>
      <w:r>
        <w:t xml:space="preserve"> Perubahan konsep produk yang besar, bukan penambahan fitur. Fitur penerbitan/penandatanganan surat digital dihapus; aplikasi menjadi layanan janji temu berbasis slot waktu beserta tampilan status pelayanan.</w:t>
      </w:r>
    </w:p>
    <w:p>
      <w:pPr>
        <w:pStyle w:val="Heading1"/>
      </w:pPr>
      <w:r>
        <w:t>1. Latar dan Motivasi</w:t>
      </w:r>
    </w:p>
    <w:p>
      <w:pPr>
        <w:jc w:val="both"/>
      </w:pPr>
      <w:r>
        <w:t xml:space="preserve">Versi terdahulu SIDESA-CM menerbitkan surat keterangan yang ditandatangani secara digital oleh Kepala Desa (ECDSA P-384) beserta verifikasi kelayakan warga. Berdasarkan masukan dosen pembimbing, ruang lingkup diarahkan ulang: penandatanganan dokumen resmi dikembalikan ke proses </w:t>
      </w:r>
      <w:r>
        <w:rPr>
          <w:b/>
        </w:rPr>
        <w:t>tatap muka langsung</w:t>
      </w:r>
      <w:r>
        <w:t xml:space="preserve">, dan aplikasi tidak lagi memproduksi tanda tangan digital. Aplikasi berfokus menyelesaikan satu masalah nyata warga, yaitu </w:t>
      </w:r>
      <w:r>
        <w:rPr>
          <w:b/>
        </w:rPr>
        <w:t>ketidakpastian waktu bertemu Kepala Desa</w:t>
      </w:r>
      <w:r>
        <w:t xml:space="preserve">: warga harus datang fisik tanpa kepastian giliran. Aplikasi menyediakan </w:t>
      </w:r>
      <w:r>
        <w:rPr>
          <w:b/>
        </w:rPr>
        <w:t>janji temu terjadwal dan nomor antrean</w:t>
      </w:r>
      <w:r>
        <w:t>, dengan model rujukan fitur Antrean pada aplikasi Mobile JKN.</w:t>
      </w:r>
    </w:p>
    <w:p>
      <w:pPr>
        <w:jc w:val="both"/>
      </w:pPr>
      <w:r>
        <w:t xml:space="preserve">Konsekuensinya, satu-satunya inti kriptografi yang tersisa adalah </w:t>
      </w:r>
      <w:r>
        <w:rPr>
          <w:b/>
        </w:rPr>
        <w:t>verifikasi kelayakan yang menjaga privasi</w:t>
      </w:r>
      <w:r>
        <w:t>: sebelum warga memesan antrean, ia membuktikan dirinya penduduk terdaftar yang berhak, tanpa mengungkap NIK. Ini justru lebih selaras dengan ZKP dibandingkan aplikasi surat sebelumnya, dan sejalan dengan kajian pustaka sistematis penulis mengenai ZKP untuk verifikasi kelayakan di e-government.</w:t>
      </w:r>
    </w:p>
    <w:p>
      <w:pPr>
        <w:pStyle w:val="Heading2"/>
      </w:pPr>
      <w:r>
        <w:t xml:space="preserve"> 1.1 Ironi metodologis yang menguntungkan</w:t>
      </w:r>
    </w:p>
    <w:p>
      <w:pPr>
        <w:pStyle w:val="Heading1"/>
      </w:pPr>
      <w:r>
        <w:t>1.2 Keputusan yang sudah ditetapkan (27 Juli 2026)</w:t>
      </w:r>
    </w:p>
    <w:p>
      <w:pPr>
        <w:jc w:val="both"/>
      </w:pPr>
      <w:r>
        <w:t>Keputusan berikut menggantikan asumsi yang sebelumnya dipakai dalam dokumen ini. Sumbernya adalah arahan pembimbing (R-1, R-2) dan jawaban perangkat desa atas empat butir penentu pada kuesioner kebutuhan.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899"/>
            <w:shd w:val="clear" w:fill="1F3A5F"/>
            <w:tcMar>
              <w:top w:w="40" w:type="dxa"/>
              <w:bottom w:w="40" w:type="dxa"/>
              <w:start w:w="80" w:type="dxa"/>
              <w:end w:w="80" w:type="dxa"/>
            </w:tcMar>
          </w:tcPr>
          <w:p>
            <w:r>
              <w:rPr>
                <w:b/>
                <w:color w:val="FFFFFF"/>
                <w:sz w:val="20"/>
              </w:rPr>
            </w:r>
            <w:r>
              <w:rPr>
                <w:b/>
                <w:color w:val="FFFFFF"/>
                <w:sz w:val="20"/>
              </w:rPr>
              <w:t>Butir</w:t>
            </w:r>
          </w:p>
        </w:tc>
        <w:tc>
          <w:tcPr>
            <w:tcW w:type="dxa" w:w="4856"/>
            <w:shd w:val="clear" w:fill="1F3A5F"/>
            <w:tcMar>
              <w:top w:w="40" w:type="dxa"/>
              <w:bottom w:w="40" w:type="dxa"/>
              <w:start w:w="80" w:type="dxa"/>
              <w:end w:w="80" w:type="dxa"/>
            </w:tcMar>
          </w:tcPr>
          <w:p>
            <w:r>
              <w:rPr>
                <w:b/>
                <w:color w:val="FFFFFF"/>
                <w:sz w:val="20"/>
              </w:rPr>
            </w:r>
            <w:r>
              <w:rPr>
                <w:b/>
                <w:color w:val="FFFFFF"/>
                <w:sz w:val="20"/>
              </w:rPr>
              <w:t>Keputusan</w:t>
            </w:r>
          </w:p>
        </w:tc>
        <w:tc>
          <w:tcPr>
            <w:tcW w:type="dxa" w:w="3599"/>
            <w:shd w:val="clear" w:fill="1F3A5F"/>
            <w:tcMar>
              <w:top w:w="40" w:type="dxa"/>
              <w:bottom w:w="40" w:type="dxa"/>
              <w:start w:w="80" w:type="dxa"/>
              <w:end w:w="80" w:type="dxa"/>
            </w:tcMar>
          </w:tcPr>
          <w:p>
            <w:r>
              <w:rPr>
                <w:b/>
                <w:color w:val="FFFFFF"/>
                <w:sz w:val="20"/>
              </w:rPr>
            </w:r>
            <w:r>
              <w:rPr>
                <w:b/>
                <w:color w:val="FFFFFF"/>
                <w:sz w:val="20"/>
              </w:rPr>
              <w:t>Konsekuensi rancangan</w:t>
            </w:r>
          </w:p>
        </w:tc>
      </w:tr>
      <w:tr>
        <w:tc>
          <w:tcPr>
            <w:tcW w:type="dxa" w:w="899"/>
            <w:tcMar>
              <w:top w:w="40" w:type="dxa"/>
              <w:bottom w:w="40" w:type="dxa"/>
              <w:start w:w="80" w:type="dxa"/>
              <w:end w:w="80" w:type="dxa"/>
            </w:tcMar>
          </w:tcPr>
          <w:p>
            <w:r>
              <w:rPr>
                <w:sz w:val="19"/>
              </w:rPr>
            </w:r>
            <w:r>
              <w:rPr>
                <w:sz w:val="19"/>
              </w:rPr>
              <w:t>R-1 Kepatuhan algoritma</w:t>
            </w:r>
          </w:p>
        </w:tc>
        <w:tc>
          <w:tcPr>
            <w:tcW w:type="dxa" w:w="4856"/>
            <w:tcMar>
              <w:top w:w="40" w:type="dxa"/>
              <w:bottom w:w="40" w:type="dxa"/>
              <w:start w:w="80" w:type="dxa"/>
              <w:end w:w="80" w:type="dxa"/>
            </w:tcMar>
          </w:tcPr>
          <w:p>
            <w:r>
              <w:rPr>
                <w:sz w:val="19"/>
              </w:rPr>
            </w:r>
            <w:r>
              <w:rPr>
                <w:sz w:val="19"/>
              </w:rPr>
              <w:t xml:space="preserve">Kepka 443 tetap dipakai sebagai dasar </w:t>
            </w:r>
            <w:r>
              <w:rPr>
                <w:b/>
                <w:sz w:val="19"/>
              </w:rPr>
              <w:t>pemilihan algoritma</w:t>
            </w:r>
            <w:r>
              <w:rPr>
                <w:sz w:val="19"/>
              </w:rPr>
              <w:t>, bukan sebagai klaim tanda tangan elektronik teregulasi</w:t>
            </w:r>
          </w:p>
        </w:tc>
        <w:tc>
          <w:tcPr>
            <w:tcW w:type="dxa" w:w="3599"/>
            <w:tcMar>
              <w:top w:w="40" w:type="dxa"/>
              <w:bottom w:w="40" w:type="dxa"/>
              <w:start w:w="80" w:type="dxa"/>
              <w:end w:w="80" w:type="dxa"/>
            </w:tcMar>
          </w:tcPr>
          <w:p>
            <w:r>
              <w:rPr>
                <w:sz w:val="19"/>
              </w:rPr>
            </w:r>
            <w:r>
              <w:rPr>
                <w:sz w:val="19"/>
              </w:rPr>
              <w:t>P-384 dan SHA-384 dipertahankan; klaim "tanda tangan bernilai hukum" dihapus dari seluruh dokumen</w:t>
            </w:r>
          </w:p>
        </w:tc>
      </w:tr>
      <w:tr>
        <w:tc>
          <w:tcPr>
            <w:tcW w:type="dxa" w:w="899"/>
            <w:tcMar>
              <w:top w:w="40" w:type="dxa"/>
              <w:bottom w:w="40" w:type="dxa"/>
              <w:start w:w="80" w:type="dxa"/>
              <w:end w:w="80" w:type="dxa"/>
            </w:tcMar>
            <w:shd w:val="clear" w:fill="EEF2F7"/>
          </w:tcPr>
          <w:p>
            <w:r>
              <w:rPr>
                <w:sz w:val="19"/>
              </w:rPr>
            </w:r>
            <w:r>
              <w:rPr>
                <w:sz w:val="19"/>
              </w:rPr>
              <w:t>R-2 Penyimpanan kunci</w:t>
            </w:r>
          </w:p>
        </w:tc>
        <w:tc>
          <w:tcPr>
            <w:tcW w:type="dxa" w:w="4856"/>
            <w:tcMar>
              <w:top w:w="40" w:type="dxa"/>
              <w:bottom w:w="40" w:type="dxa"/>
              <w:start w:w="80" w:type="dxa"/>
              <w:end w:w="80" w:type="dxa"/>
            </w:tcMar>
            <w:shd w:val="clear" w:fill="EEF2F7"/>
          </w:tcPr>
          <w:p>
            <w:r>
              <w:rPr>
                <w:sz w:val="19"/>
              </w:rPr>
            </w:r>
            <w:r>
              <w:rPr>
                <w:sz w:val="19"/>
              </w:rPr>
              <w:t>Diterima sebagai konsekuensi yang melekat pada pemilihan Schnorr</w:t>
            </w:r>
          </w:p>
        </w:tc>
        <w:tc>
          <w:tcPr>
            <w:tcW w:type="dxa" w:w="3599"/>
            <w:tcMar>
              <w:top w:w="40" w:type="dxa"/>
              <w:bottom w:w="40" w:type="dxa"/>
              <w:start w:w="80" w:type="dxa"/>
              <w:end w:w="80" w:type="dxa"/>
            </w:tcMar>
            <w:shd w:val="clear" w:fill="EEF2F7"/>
          </w:tcPr>
          <w:p>
            <w:r>
              <w:rPr>
                <w:sz w:val="19"/>
              </w:rPr>
            </w:r>
            <w:r>
              <w:rPr>
                <w:sz w:val="19"/>
              </w:rPr>
              <w:t>Kunci identitas berada pada penyimpanan aman perangkat lunak; dinyatakan terbuka sebagai keterbatasan</w:t>
            </w:r>
          </w:p>
        </w:tc>
      </w:tr>
      <w:tr>
        <w:tc>
          <w:tcPr>
            <w:tcW w:type="dxa" w:w="899"/>
            <w:tcMar>
              <w:top w:w="40" w:type="dxa"/>
              <w:bottom w:w="40" w:type="dxa"/>
              <w:start w:w="80" w:type="dxa"/>
              <w:end w:w="80" w:type="dxa"/>
            </w:tcMar>
          </w:tcPr>
          <w:p>
            <w:r>
              <w:rPr>
                <w:sz w:val="19"/>
              </w:rPr>
            </w:r>
            <w:r>
              <w:rPr>
                <w:sz w:val="19"/>
              </w:rPr>
              <w:t>Model antrean</w:t>
            </w:r>
          </w:p>
        </w:tc>
        <w:tc>
          <w:tcPr>
            <w:tcW w:type="dxa" w:w="4856"/>
            <w:tcMar>
              <w:top w:w="40" w:type="dxa"/>
              <w:bottom w:w="40" w:type="dxa"/>
              <w:start w:w="80" w:type="dxa"/>
              <w:end w:w="80" w:type="dxa"/>
            </w:tcMar>
          </w:tcPr>
          <w:p>
            <w:r>
              <w:rPr>
                <w:sz w:val="19"/>
              </w:rPr>
            </w:r>
            <w:r>
              <w:rPr>
                <w:b/>
                <w:sz w:val="19"/>
              </w:rPr>
              <w:t>Slot waktu</w:t>
            </w:r>
            <w:r>
              <w:rPr>
                <w:sz w:val="19"/>
              </w:rPr>
              <w:t>: warga memilih jam tertentu, misalnya 09.30</w:t>
            </w:r>
          </w:p>
        </w:tc>
        <w:tc>
          <w:tcPr>
            <w:tcW w:type="dxa" w:w="3599"/>
            <w:tcMar>
              <w:top w:w="40" w:type="dxa"/>
              <w:bottom w:w="40" w:type="dxa"/>
              <w:start w:w="80" w:type="dxa"/>
              <w:end w:w="80" w:type="dxa"/>
            </w:tcMar>
          </w:tcPr>
          <w:p>
            <w:r>
              <w:rPr>
                <w:sz w:val="19"/>
              </w:rPr>
            </w:r>
            <w:r>
              <w:rPr>
                <w:sz w:val="19"/>
              </w:rPr>
              <w:t>Model data berbasis slot, bukan nomor antrean harian semata; layar pemesanan menampilkan jam yang tersedia</w:t>
            </w:r>
          </w:p>
        </w:tc>
      </w:tr>
      <w:tr>
        <w:tc>
          <w:tcPr>
            <w:tcW w:type="dxa" w:w="899"/>
            <w:tcMar>
              <w:top w:w="40" w:type="dxa"/>
              <w:bottom w:w="40" w:type="dxa"/>
              <w:start w:w="80" w:type="dxa"/>
              <w:end w:w="80" w:type="dxa"/>
            </w:tcMar>
            <w:shd w:val="clear" w:fill="EEF2F7"/>
          </w:tcPr>
          <w:p>
            <w:r>
              <w:rPr>
                <w:sz w:val="19"/>
              </w:rPr>
            </w:r>
            <w:r>
              <w:rPr>
                <w:sz w:val="19"/>
              </w:rPr>
              <w:t>Ketersediaan Kepala Desa</w:t>
            </w:r>
          </w:p>
        </w:tc>
        <w:tc>
          <w:tcPr>
            <w:tcW w:type="dxa" w:w="4856"/>
            <w:tcMar>
              <w:top w:w="40" w:type="dxa"/>
              <w:bottom w:w="40" w:type="dxa"/>
              <w:start w:w="80" w:type="dxa"/>
              <w:end w:w="80" w:type="dxa"/>
            </w:tcMar>
            <w:shd w:val="clear" w:fill="EEF2F7"/>
          </w:tcPr>
          <w:p>
            <w:r>
              <w:rPr>
                <w:sz w:val="19"/>
              </w:rPr>
            </w:r>
            <w:r>
              <w:rPr>
                <w:sz w:val="19"/>
              </w:rPr>
              <w:t xml:space="preserve">Tidak diperlakukan sebagai komitmen kaku. Bila ada kegiatan insidental, prioritas menyesuaikan dan warga terdampak </w:t>
            </w:r>
            <w:r>
              <w:rPr>
                <w:b/>
                <w:sz w:val="19"/>
              </w:rPr>
              <w:t>diusulkan pindah ke jam lain</w:t>
            </w:r>
          </w:p>
        </w:tc>
        <w:tc>
          <w:tcPr>
            <w:tcW w:type="dxa" w:w="3599"/>
            <w:tcMar>
              <w:top w:w="40" w:type="dxa"/>
              <w:bottom w:w="40" w:type="dxa"/>
              <w:start w:w="80" w:type="dxa"/>
              <w:end w:w="80" w:type="dxa"/>
            </w:tcMar>
            <w:shd w:val="clear" w:fill="EEF2F7"/>
          </w:tcPr>
          <w:p>
            <w:r>
              <w:rPr>
                <w:sz w:val="19"/>
              </w:rPr>
            </w:r>
            <w:r>
              <w:rPr>
                <w:sz w:val="19"/>
              </w:rPr>
              <w:t>Diperlukan fitur penjadwalan ulang dengan usulan slot alternatif, beserta pemberitahuannya</w:t>
            </w:r>
          </w:p>
        </w:tc>
      </w:tr>
      <w:tr>
        <w:tc>
          <w:tcPr>
            <w:tcW w:type="dxa" w:w="899"/>
            <w:tcMar>
              <w:top w:w="40" w:type="dxa"/>
              <w:bottom w:w="40" w:type="dxa"/>
              <w:start w:w="80" w:type="dxa"/>
              <w:end w:w="80" w:type="dxa"/>
            </w:tcMar>
          </w:tcPr>
          <w:p>
            <w:r>
              <w:rPr>
                <w:sz w:val="19"/>
              </w:rPr>
            </w:r>
            <w:r>
              <w:rPr>
                <w:sz w:val="19"/>
              </w:rPr>
              <w:t>Warga datang langsung</w:t>
            </w:r>
          </w:p>
        </w:tc>
        <w:tc>
          <w:tcPr>
            <w:tcW w:type="dxa" w:w="4856"/>
            <w:tcMar>
              <w:top w:w="40" w:type="dxa"/>
              <w:bottom w:w="40" w:type="dxa"/>
              <w:start w:w="80" w:type="dxa"/>
              <w:end w:w="80" w:type="dxa"/>
            </w:tcMar>
          </w:tcPr>
          <w:p>
            <w:r>
              <w:rPr>
                <w:sz w:val="19"/>
              </w:rPr>
            </w:r>
            <w:r>
              <w:rPr>
                <w:sz w:val="19"/>
              </w:rPr>
              <w:t xml:space="preserve">Tetap dilayani </w:t>
            </w:r>
            <w:r>
              <w:rPr>
                <w:b/>
                <w:sz w:val="19"/>
              </w:rPr>
              <w:t>asalkan ada slot kosong</w:t>
            </w:r>
            <w:r>
              <w:rPr>
                <w:sz w:val="19"/>
              </w:rPr>
              <w:t xml:space="preserve">; pemesan melalui aplikasi </w:t>
            </w:r>
            <w:r>
              <w:rPr>
                <w:b/>
                <w:sz w:val="19"/>
              </w:rPr>
              <w:t>diprioritaskan</w:t>
            </w:r>
          </w:p>
        </w:tc>
        <w:tc>
          <w:tcPr>
            <w:tcW w:type="dxa" w:w="3599"/>
            <w:tcMar>
              <w:top w:w="40" w:type="dxa"/>
              <w:bottom w:w="40" w:type="dxa"/>
              <w:start w:w="80" w:type="dxa"/>
              <w:end w:w="80" w:type="dxa"/>
            </w:tcMar>
          </w:tcPr>
          <w:p>
            <w:r>
              <w:rPr>
                <w:sz w:val="19"/>
              </w:rPr>
            </w:r>
            <w:r>
              <w:rPr>
                <w:sz w:val="19"/>
              </w:rPr>
              <w:t>Walk-in mengisi slot yang belum diklaim; tidak ada penyisipan yang menggeser pemesan aplikasi</w:t>
            </w:r>
          </w:p>
        </w:tc>
      </w:tr>
      <w:tr>
        <w:tc>
          <w:tcPr>
            <w:tcW w:type="dxa" w:w="899"/>
            <w:tcMar>
              <w:top w:w="40" w:type="dxa"/>
              <w:bottom w:w="40" w:type="dxa"/>
              <w:start w:w="80" w:type="dxa"/>
              <w:end w:w="80" w:type="dxa"/>
            </w:tcMar>
            <w:shd w:val="clear" w:fill="EEF2F7"/>
          </w:tcPr>
          <w:p>
            <w:r>
              <w:rPr>
                <w:sz w:val="19"/>
              </w:rPr>
            </w:r>
            <w:r>
              <w:rPr>
                <w:sz w:val="19"/>
              </w:rPr>
              <w:t>Jenis layanan tahap awal</w:t>
            </w:r>
          </w:p>
        </w:tc>
        <w:tc>
          <w:tcPr>
            <w:tcW w:type="dxa" w:w="4856"/>
            <w:tcMar>
              <w:top w:w="40" w:type="dxa"/>
              <w:bottom w:w="40" w:type="dxa"/>
              <w:start w:w="80" w:type="dxa"/>
              <w:end w:w="80" w:type="dxa"/>
            </w:tcMar>
            <w:shd w:val="clear" w:fill="EEF2F7"/>
          </w:tcPr>
          <w:p>
            <w:r>
              <w:rPr>
                <w:sz w:val="19"/>
              </w:rPr>
            </w:r>
            <w:r>
              <w:rPr>
                <w:sz w:val="19"/>
              </w:rPr>
              <w:t xml:space="preserve">Satu jenis saja, yaitu </w:t>
            </w:r>
            <w:r>
              <w:rPr>
                <w:b/>
                <w:sz w:val="19"/>
              </w:rPr>
              <w:t>janji temu</w:t>
            </w:r>
            <w:r>
              <w:rPr>
                <w:sz w:val="19"/>
              </w:rPr>
              <w:t xml:space="preserve">, ditambah </w:t>
            </w:r>
            <w:r>
              <w:rPr>
                <w:b/>
                <w:sz w:val="19"/>
              </w:rPr>
              <w:t>tampilan status pelayanan secara langsung</w:t>
            </w:r>
            <w:r>
              <w:rPr>
                <w:sz w:val="19"/>
              </w:rPr>
              <w:t xml:space="preserve"> yang dipasang di kantor desa</w:t>
            </w:r>
          </w:p>
        </w:tc>
        <w:tc>
          <w:tcPr>
            <w:tcW w:type="dxa" w:w="3599"/>
            <w:tcMar>
              <w:top w:w="40" w:type="dxa"/>
              <w:bottom w:w="40" w:type="dxa"/>
              <w:start w:w="80" w:type="dxa"/>
              <w:end w:w="80" w:type="dxa"/>
            </w:tcMar>
            <w:shd w:val="clear" w:fill="EEF2F7"/>
          </w:tcPr>
          <w:p>
            <w:r>
              <w:rPr>
                <w:sz w:val="19"/>
              </w:rPr>
            </w:r>
            <w:r>
              <w:rPr>
                <w:sz w:val="19"/>
              </w:rPr>
              <w:t>Entitas jenis layanan disederhanakan; ditambahkan layar penampil publik "sedang dilayani nomor berapa"</w:t>
            </w:r>
          </w:p>
        </w:tc>
      </w:tr>
    </w:tbl>
    <w:p/>
    <w:p>
      <w:pPr>
        <w:jc w:val="both"/>
      </w:pPr>
      <w:r>
        <w:t>Dua akibat penting perlu dicatat. Pertama, model slot waktu menyederhanakan penanganan warga yang datang langsung: karena setiap slot dapat diklaim, walk-in cukup mengisi slot yang kosong tanpa perlu aturan penyisipan yang rumit. Kedua, tampilan status di kantor semula ditandai berada di luar cakupan; dengan keputusan ini ia menjadi bagian dari lingkup dan dirancang sebagai halaman baca-saja tanpa autentikasi.</w:t>
      </w:r>
    </w:p>
    <w:p>
      <w:pPr>
        <w:pStyle w:val="Heading1"/>
      </w:pPr>
      <w:r>
        <w:t>2. Ruang Lingkup</w:t>
      </w:r>
    </w:p>
    <w:p>
      <w:pPr>
        <w:pStyle w:val="Heading2"/>
      </w:pPr>
      <w:r>
        <w:t xml:space="preserve"> 2.1 Keputusan yang mengikat (hasil brainstorming)</w:t>
      </w:r>
    </w:p>
    <w:p>
      <w:pPr>
        <w:pStyle w:val="Heading2"/>
      </w:pPr>
      <w:r>
        <w:t xml:space="preserve"> 2.2 Di luar cakupan (dihapus dari produk)</w:t>
      </w:r>
    </w:p>
    <w:p>
      <w:pPr>
        <w:pStyle w:val="Heading1"/>
      </w:pPr>
      <w:r>
        <w:t>3. Arsitektur</w:t>
      </w:r>
    </w:p>
    <w:p>
      <w:pPr>
        <w:jc w:val="both"/>
      </w:pPr>
      <w:r>
        <w:t>Monorepo tetap tiga paket: pustaka kriptografi TypeScript (</w:t>
      </w:r>
      <w:r>
        <w:rPr>
          <w:rFonts w:ascii="Consolas" w:hAnsi="Consolas"/>
          <w:color w:val="B03060"/>
          <w:sz w:val="19"/>
        </w:rPr>
        <w:t>@sidesa/crypto</w:t>
      </w:r>
      <w:r>
        <w:t>), peladen NestJS + PostgreSQL, aplikasi Flutter. Peran tetap empat: WARGA, OPERATOR, KADES, ADMIN, ditegakkan melalui kendali akses berbasis peran. Perbedaan utama: Kepala Desa tidak lagi memegang kunci privat untuk menandatangani apa pun; perannya menjadi pemilik agenda pertemuan.</w:t>
      </w:r>
    </w:p>
    <w:p>
      <w:pPr>
        <w:pStyle w:val="Heading1"/>
      </w:pPr>
      <w:r>
        <w:t>4. Rancangan Kriptografi</w:t>
      </w:r>
    </w:p>
    <w:p>
      <w:pPr>
        <w:pStyle w:val="Heading2"/>
      </w:pPr>
      <w:r>
        <w:t xml:space="preserve"> 4.1 Satu primitif: bukti-pengetahuan Schnorr</w:t>
      </w:r>
    </w:p>
    <w:p>
      <w:pPr>
        <w:pStyle w:val="ListBullet"/>
      </w:pPr>
      <w:r>
        <w:rPr>
          <w:rFonts w:ascii="Consolas" w:hAnsi="Consolas"/>
          <w:color w:val="B03060"/>
          <w:sz w:val="19"/>
        </w:rPr>
        <w:t>proveKnowledge(secret, publicKey, context) -&gt; { R, s }</w:t>
      </w:r>
    </w:p>
    <w:p>
      <w:pPr>
        <w:pStyle w:val="ListBullet"/>
      </w:pPr>
      <w:r>
        <w:rPr>
          <w:rFonts w:ascii="Consolas" w:hAnsi="Consolas"/>
          <w:color w:val="B03060"/>
          <w:sz w:val="19"/>
        </w:rPr>
        <w:t>verifyKnowledge(publicKey, proof, context) -&gt; boolean</w:t>
      </w:r>
    </w:p>
    <w:p>
      <w:pPr>
        <w:jc w:val="both"/>
      </w:pPr>
      <w:r>
        <w:t xml:space="preserve">dengan </w:t>
      </w:r>
      <w:r>
        <w:rPr>
          <w:rFonts w:ascii="Consolas" w:hAnsi="Consolas"/>
          <w:color w:val="B03060"/>
          <w:sz w:val="19"/>
        </w:rPr>
        <w:t>context</w:t>
      </w:r>
      <w:r>
        <w:t xml:space="preserve"> sebuah untai bita yang mengikat bukti pada satu kegunaan dan satu permohonan. Domain tantangan internal adalah </w:t>
      </w:r>
      <w:r>
        <w:rPr>
          <w:rFonts w:ascii="Consolas" w:hAnsi="Consolas"/>
          <w:color w:val="B03060"/>
          <w:sz w:val="19"/>
        </w:rPr>
        <w:t>SIDESA-schnorr-v1</w:t>
      </w:r>
      <w:r>
        <w:t xml:space="preserve">. Migrasi Fase B hanya menghentikan </w:t>
      </w:r>
      <w:r>
        <w:rPr>
          <w:i/>
        </w:rPr>
        <w:t>penggunaannya</w:t>
      </w:r>
      <w:r>
        <w:t>, bukan menghapus modul dan pengujiannya; pekerjaan ini menghidupkannya kembali dan memperluasnya ke tiga gerbang.</w:t>
      </w:r>
    </w:p>
    <w:p>
      <w:pPr>
        <w:pStyle w:val="Heading2"/>
      </w:pPr>
      <w:r>
        <w:t xml:space="preserve"> 4.2 Tiga gerbang, konteks berbeda</w:t>
      </w:r>
    </w:p>
    <w:p>
      <w:pPr>
        <w:jc w:val="both"/>
      </w:pPr>
      <w:r>
        <w:rPr>
          <w:b/>
        </w:rPr>
        <w:t>Gerbang 1 — Autentikasi (login).</w:t>
      </w:r>
      <w:r>
        <w:t xml:space="preserve"> 1. Peladen menerbitkan </w:t>
      </w:r>
      <w:r>
        <w:rPr>
          <w:rFonts w:ascii="Consolas" w:hAnsi="Consolas"/>
          <w:color w:val="B03060"/>
          <w:sz w:val="19"/>
        </w:rPr>
        <w:t>nonce</w:t>
      </w:r>
      <w:r>
        <w:t xml:space="preserve"> sekali pakai. 2. Perangkat menghasilkan bukti Schnorr atas konteks </w:t>
      </w:r>
      <w:r>
        <w:rPr>
          <w:rFonts w:ascii="Consolas" w:hAnsi="Consolas"/>
          <w:color w:val="B03060"/>
          <w:sz w:val="19"/>
        </w:rPr>
        <w:t>SIDESA-auth-v1|&lt;accountId&gt;|&lt;nonce&gt;</w:t>
      </w:r>
      <w:r>
        <w:t xml:space="preserve">. 3. Peladen memanggil </w:t>
      </w:r>
      <w:r>
        <w:rPr>
          <w:rFonts w:ascii="Consolas" w:hAnsi="Consolas"/>
          <w:color w:val="B03060"/>
          <w:sz w:val="19"/>
        </w:rPr>
        <w:t>verifyKnowledge(X, bukti, konteks)</w:t>
      </w:r>
      <w:r>
        <w:t xml:space="preserve"> terhadap X terdaftar, menandai </w:t>
      </w:r>
      <w:r>
        <w:rPr>
          <w:rFonts w:ascii="Consolas" w:hAnsi="Consolas"/>
          <w:color w:val="B03060"/>
          <w:sz w:val="19"/>
        </w:rPr>
        <w:t>nonce</w:t>
      </w:r>
      <w:r>
        <w:t xml:space="preserve"> terpakai, lalu menerbitkan token sesi.</w:t>
      </w:r>
    </w:p>
    <w:p>
      <w:pPr>
        <w:jc w:val="both"/>
      </w:pPr>
      <w:r>
        <w:t xml:space="preserve">Menggantikan tanda tangan ECDSA atas nonce. Membuktikan penguasaan kunci tanpa membuka x; </w:t>
      </w:r>
      <w:r>
        <w:rPr>
          <w:rFonts w:ascii="Consolas" w:hAnsi="Consolas"/>
          <w:color w:val="B03060"/>
          <w:sz w:val="19"/>
        </w:rPr>
        <w:t>nonce</w:t>
      </w:r>
      <w:r>
        <w:t xml:space="preserve"> mencegah pemutaran ulang.</w:t>
      </w:r>
    </w:p>
    <w:p>
      <w:pPr>
        <w:jc w:val="both"/>
      </w:pPr>
      <w:r>
        <w:rPr>
          <w:b/>
        </w:rPr>
        <w:t>Gerbang 2 — Pendaftaran perangkat (enrolment).</w:t>
      </w:r>
      <w:r>
        <w:t xml:space="preserve"> 1. Operator memverifikasi kartu identitas secara fisik, lalu menerbitkan kode sekali pakai (identitas hasil pemeriksaan melekat pada kode). 2. Perangkat mengklaim dengan bukti Schnorr atas konteks </w:t>
      </w:r>
      <w:r>
        <w:rPr>
          <w:rFonts w:ascii="Consolas" w:hAnsi="Consolas"/>
          <w:color w:val="B03060"/>
          <w:sz w:val="19"/>
        </w:rPr>
        <w:t>SIDESA-enroll-v1|&lt;kode&gt;|&lt;Xhex&gt;</w:t>
      </w:r>
      <w:r>
        <w:t xml:space="preserve">. 3. Peladen memverifikasi bukti terhadap X yang diajukan, mengikat akun ke X, dan membuat daun registri </w:t>
      </w:r>
      <w:r>
        <w:rPr>
          <w:rFonts w:ascii="Consolas" w:hAnsi="Consolas"/>
          <w:color w:val="B03060"/>
          <w:sz w:val="19"/>
        </w:rPr>
        <w:t>leaf = H_d(resident-leaf, X ‖ A)</w:t>
      </w:r>
      <w:r>
        <w:t xml:space="preserve"> dengan A atribut kelayakan.</w:t>
      </w:r>
    </w:p>
    <w:p>
      <w:pPr>
        <w:jc w:val="both"/>
      </w:pPr>
      <w:r>
        <w:t>Menggantikan tanda tangan ECDSA atas pasangan (kode, kunci). Tetap menutup serangan pendaftaran kunci milik orang lain: tanpa x, bukti tak dapat dibentuk untuk X yang diajukan.</w:t>
      </w:r>
    </w:p>
    <w:p>
      <w:pPr>
        <w:jc w:val="both"/>
      </w:pPr>
      <w:r>
        <w:rPr>
          <w:b/>
        </w:rPr>
        <w:t>Gerbang 3 — Kelayakan (saat memesan antrean).</w:t>
      </w:r>
      <w:r>
        <w:t xml:space="preserve"> Bukti kelayakan \pi = (X, A, mp, schnorr) terhadap akar registri R (dipelihara peladen) dan konteks </w:t>
      </w:r>
      <w:r>
        <w:rPr>
          <w:rFonts w:ascii="Consolas" w:hAnsi="Consolas"/>
          <w:color w:val="B03060"/>
          <w:sz w:val="19"/>
        </w:rPr>
        <w:t>SIDESA-eligibility-v1|&lt;accountId&gt;|&lt;serviceType&gt;|&lt;nonce&gt;</w:t>
      </w:r>
      <w:r>
        <w:t xml:space="preserve">: 1. hitung </w:t>
      </w:r>
      <w:r>
        <w:rPr>
          <w:rFonts w:ascii="Consolas" w:hAnsi="Consolas"/>
          <w:color w:val="B03060"/>
          <w:sz w:val="19"/>
        </w:rPr>
        <w:t>leaf = H_d(resident-leaf, X ‖ A)</w:t>
      </w:r>
      <w:r>
        <w:t xml:space="preserve">; 2. terima hanya jika </w:t>
      </w:r>
      <w:r>
        <w:rPr>
          <w:rFonts w:ascii="Consolas" w:hAnsi="Consolas"/>
          <w:color w:val="B03060"/>
          <w:sz w:val="19"/>
        </w:rPr>
        <w:t>mp</w:t>
      </w:r>
      <w:r>
        <w:t xml:space="preserve"> memverifikasi </w:t>
      </w:r>
      <w:r>
        <w:rPr>
          <w:rFonts w:ascii="Consolas" w:hAnsi="Consolas"/>
          <w:color w:val="B03060"/>
          <w:sz w:val="19"/>
        </w:rPr>
        <w:t>leaf</w:t>
      </w:r>
      <w:r>
        <w:t xml:space="preserve"> terhadap R; 3. terima hanya jika bukti Schnorr sah atas konteks oleh X; 4. tolak bila </w:t>
      </w:r>
      <w:r>
        <w:rPr>
          <w:rFonts w:ascii="Consolas" w:hAnsi="Consolas"/>
          <w:color w:val="B03060"/>
          <w:sz w:val="19"/>
        </w:rPr>
        <w:t>nonce</w:t>
      </w:r>
      <w:r>
        <w:t xml:space="preserve"> telah terpakai (anti-replay).</w:t>
      </w:r>
    </w:p>
    <w:p>
      <w:pPr>
        <w:jc w:val="both"/>
      </w:pPr>
      <w:r>
        <w:t xml:space="preserve">Yang terungkap hanya X dan atribut kasar A; </w:t>
      </w:r>
      <w:r>
        <w:rPr>
          <w:b/>
        </w:rPr>
        <w:t>NIK tidak pernah menjadi bagian dari bukti</w:t>
      </w:r>
      <w:r>
        <w:t>.</w:t>
      </w:r>
    </w:p>
    <w:p>
      <w:pPr>
        <w:pStyle w:val="Heading2"/>
      </w:pPr>
      <w:r>
        <w:t xml:space="preserve"> 4.3 Registri penduduk</w:t>
      </w:r>
    </w:p>
    <w:p>
      <w:pPr>
        <w:pStyle w:val="Heading2"/>
      </w:pPr>
      <w:r>
        <w:t xml:space="preserve"> 4.4 Minimalisasi data dan privasi NIK</w:t>
      </w:r>
    </w:p>
    <w:p>
      <w:pPr>
        <w:pStyle w:val="Heading2"/>
      </w:pPr>
      <w:r>
        <w:t xml:space="preserve"> 4.5 Format wire dan pemisahan domain</w:t>
      </w:r>
    </w:p>
    <w:p>
      <w:pPr>
        <w:pStyle w:val="Heading2"/>
      </w:pPr>
      <w:r>
        <w:t xml:space="preserve"> 4.6 Keterbatasan yang harus dinyatakan: kunci tidak lagi berbasis perangkat keras</w:t>
      </w:r>
    </w:p>
    <w:p>
      <w:pPr>
        <w:pStyle w:val="Heading1"/>
      </w:pPr>
      <w:r>
        <w:t>5. Fitur Produk</w:t>
      </w:r>
    </w:p>
    <w:p>
      <w:pPr>
        <w:pStyle w:val="Heading2"/>
      </w:pPr>
      <w:r>
        <w:t xml:space="preserve"> 5.1 Warga</w:t>
      </w:r>
    </w:p>
    <w:p>
      <w:pPr>
        <w:pStyle w:val="Heading2"/>
      </w:pPr>
      <w:r>
        <w:t xml:space="preserve"> 5.2 Operator</w:t>
      </w:r>
    </w:p>
    <w:p>
      <w:pPr>
        <w:pStyle w:val="Heading2"/>
      </w:pPr>
      <w:r>
        <w:t xml:space="preserve"> 5.3 Penampil Publik di Kantor Desa</w:t>
      </w:r>
    </w:p>
    <w:p>
      <w:pPr>
        <w:pStyle w:val="Heading2"/>
      </w:pPr>
      <w:r>
        <w:t xml:space="preserve"> 5.4 Kepala Desa</w:t>
      </w:r>
    </w:p>
    <w:p>
      <w:pPr>
        <w:pStyle w:val="Heading1"/>
      </w:pPr>
      <w:r>
        <w:t>6. Model Data (perubahan Prisma)</w:t>
      </w:r>
    </w:p>
    <w:p>
      <w:pPr>
        <w:jc w:val="both"/>
      </w:pPr>
      <w:r>
        <w:rPr>
          <w:b/>
        </w:rPr>
        <w:t>Dihapus:</w:t>
      </w:r>
      <w:r>
        <w:t xml:space="preserve"> </w:t>
      </w:r>
      <w:r>
        <w:rPr>
          <w:rFonts w:ascii="Consolas" w:hAnsi="Consolas"/>
          <w:color w:val="B03060"/>
          <w:sz w:val="19"/>
        </w:rPr>
        <w:t>LetterRequest</w:t>
      </w:r>
      <w:r>
        <w:t xml:space="preserve">, </w:t>
      </w:r>
      <w:r>
        <w:rPr>
          <w:rFonts w:ascii="Consolas" w:hAnsi="Consolas"/>
          <w:color w:val="B03060"/>
          <w:sz w:val="19"/>
        </w:rPr>
        <w:t>Letter</w:t>
      </w:r>
      <w:r>
        <w:t xml:space="preserve">, </w:t>
      </w:r>
      <w:r>
        <w:rPr>
          <w:rFonts w:ascii="Consolas" w:hAnsi="Consolas"/>
          <w:color w:val="B03060"/>
          <w:sz w:val="19"/>
        </w:rPr>
        <w:t>LetterType</w:t>
      </w:r>
      <w:r>
        <w:t xml:space="preserve">, </w:t>
      </w:r>
      <w:r>
        <w:rPr>
          <w:rFonts w:ascii="Consolas" w:hAnsi="Consolas"/>
          <w:color w:val="B03060"/>
          <w:sz w:val="19"/>
        </w:rPr>
        <w:t>LetterStatus</w:t>
      </w:r>
      <w:r>
        <w:t>, dan jalur verifikasi publik (</w:t>
      </w:r>
      <w:r>
        <w:rPr>
          <w:rFonts w:ascii="Consolas" w:hAnsi="Consolas"/>
          <w:color w:val="B03060"/>
          <w:sz w:val="19"/>
        </w:rPr>
        <w:t>qrToken</w:t>
      </w:r>
      <w:r>
        <w:t>).</w:t>
      </w:r>
    </w:p>
    <w:p>
      <w:pPr>
        <w:jc w:val="both"/>
      </w:pPr>
      <w:r>
        <w:rPr>
          <w:b/>
        </w:rPr>
        <w:t>Dipertahankan:</w:t>
      </w:r>
      <w:r>
        <w:t xml:space="preserve"> </w:t>
      </w:r>
      <w:r>
        <w:rPr>
          <w:rFonts w:ascii="Consolas" w:hAnsi="Consolas"/>
          <w:color w:val="B03060"/>
          <w:sz w:val="19"/>
        </w:rPr>
        <w:t>Account</w:t>
      </w:r>
      <w:r>
        <w:t xml:space="preserve"> (dengan </w:t>
      </w:r>
      <w:r>
        <w:rPr>
          <w:rFonts w:ascii="Consolas" w:hAnsi="Consolas"/>
          <w:color w:val="B03060"/>
          <w:sz w:val="19"/>
        </w:rPr>
        <w:t>publicKey</w:t>
      </w:r>
      <w:r>
        <w:t xml:space="preserve"> sebagai X, </w:t>
      </w:r>
      <w:r>
        <w:rPr>
          <w:rFonts w:ascii="Consolas" w:hAnsi="Consolas"/>
          <w:color w:val="B03060"/>
          <w:sz w:val="19"/>
        </w:rPr>
        <w:t>role</w:t>
      </w:r>
      <w:r>
        <w:t xml:space="preserve">, </w:t>
      </w:r>
      <w:r>
        <w:rPr>
          <w:rFonts w:ascii="Consolas" w:hAnsi="Consolas"/>
          <w:color w:val="B03060"/>
          <w:sz w:val="19"/>
        </w:rPr>
        <w:t>status</w:t>
      </w:r>
      <w:r>
        <w:t xml:space="preserve">, </w:t>
      </w:r>
      <w:r>
        <w:rPr>
          <w:rFonts w:ascii="Consolas" w:hAnsi="Consolas"/>
          <w:color w:val="B03060"/>
          <w:sz w:val="19"/>
        </w:rPr>
        <w:t>displayName</w:t>
      </w:r>
      <w:r>
        <w:t xml:space="preserve">, </w:t>
      </w:r>
      <w:r>
        <w:rPr>
          <w:rFonts w:ascii="Consolas" w:hAnsi="Consolas"/>
          <w:color w:val="B03060"/>
          <w:sz w:val="19"/>
        </w:rPr>
        <w:t>nikCommitment</w:t>
      </w:r>
      <w:r>
        <w:t xml:space="preserve">, </w:t>
      </w:r>
      <w:r>
        <w:rPr>
          <w:rFonts w:ascii="Consolas" w:hAnsi="Consolas"/>
          <w:color w:val="B03060"/>
          <w:sz w:val="19"/>
        </w:rPr>
        <w:t>attributes</w:t>
      </w:r>
      <w:r>
        <w:t xml:space="preserve">, </w:t>
      </w:r>
      <w:r>
        <w:rPr>
          <w:rFonts w:ascii="Consolas" w:hAnsi="Consolas"/>
          <w:color w:val="B03060"/>
          <w:sz w:val="19"/>
        </w:rPr>
        <w:t>leafIndex</w:t>
      </w:r>
      <w:r>
        <w:t xml:space="preserve">), </w:t>
      </w:r>
      <w:r>
        <w:rPr>
          <w:rFonts w:ascii="Consolas" w:hAnsi="Consolas"/>
          <w:color w:val="B03060"/>
          <w:sz w:val="19"/>
        </w:rPr>
        <w:t>AuthChallenge</w:t>
      </w:r>
      <w:r>
        <w:t xml:space="preserve">, </w:t>
      </w:r>
      <w:r>
        <w:rPr>
          <w:rFonts w:ascii="Consolas" w:hAnsi="Consolas"/>
          <w:color w:val="B03060"/>
          <w:sz w:val="19"/>
        </w:rPr>
        <w:t>EligibilityChallenge</w:t>
      </w:r>
      <w:r>
        <w:t xml:space="preserve">, </w:t>
      </w:r>
      <w:r>
        <w:rPr>
          <w:rFonts w:ascii="Consolas" w:hAnsi="Consolas"/>
          <w:color w:val="B03060"/>
          <w:sz w:val="19"/>
        </w:rPr>
        <w:t>EnrollmentCode</w:t>
      </w:r>
      <w:r>
        <w:t xml:space="preserve">, </w:t>
      </w:r>
      <w:r>
        <w:rPr>
          <w:rFonts w:ascii="Consolas" w:hAnsi="Consolas"/>
          <w:color w:val="B03060"/>
          <w:sz w:val="19"/>
        </w:rPr>
        <w:t>RegistryVersion</w:t>
      </w:r>
      <w:r>
        <w:t xml:space="preserve"> (kolom tanda tangan akar menjadi tidak terpakai), </w:t>
      </w:r>
      <w:r>
        <w:rPr>
          <w:rFonts w:ascii="Consolas" w:hAnsi="Consolas"/>
          <w:color w:val="B03060"/>
          <w:sz w:val="19"/>
        </w:rPr>
        <w:t>AuditLog</w:t>
      </w:r>
      <w:r>
        <w:t xml:space="preserve">, </w:t>
      </w:r>
      <w:r>
        <w:rPr>
          <w:rFonts w:ascii="Consolas" w:hAnsi="Consolas"/>
          <w:color w:val="B03060"/>
          <w:sz w:val="19"/>
        </w:rPr>
        <w:t>DeviceToken</w:t>
      </w:r>
      <w:r>
        <w:t xml:space="preserve"> (FCM).</w:t>
      </w:r>
    </w:p>
    <w:p>
      <w:pPr>
        <w:jc w:val="both"/>
      </w:pPr>
      <w:r>
        <w:rPr>
          <w:b/>
        </w:rPr>
        <w:t>Diubah/diperluas:</w:t>
      </w:r>
      <w:r>
        <w:t xml:space="preserve"> model antrean berbasis slot. </w:t>
      </w:r>
      <w:r>
        <w:rPr>
          <w:rFonts w:ascii="Consolas" w:hAnsi="Consolas"/>
          <w:color w:val="B03060"/>
          <w:sz w:val="19"/>
        </w:rPr>
        <w:t>Booking</w:t>
      </w:r>
      <w:r>
        <w:t xml:space="preserve"> diperluas atau digantikan </w:t>
      </w:r>
      <w:r>
        <w:rPr>
          <w:rFonts w:ascii="Consolas" w:hAnsi="Consolas"/>
          <w:color w:val="B03060"/>
          <w:sz w:val="19"/>
        </w:rPr>
        <w:t>Appointment</w:t>
      </w:r>
      <w:r>
        <w:t xml:space="preserve"> dengan medan: tanggal, </w:t>
      </w:r>
      <w:r>
        <w:rPr>
          <w:b/>
        </w:rPr>
        <w:t>slot waktu</w:t>
      </w:r>
      <w:r>
        <w:t xml:space="preserve"> yang diklaim, nomor urut harian, asal pemesanan (</w:t>
      </w:r>
      <w:r>
        <w:rPr>
          <w:rFonts w:ascii="Consolas" w:hAnsi="Consolas"/>
          <w:color w:val="B03060"/>
          <w:sz w:val="19"/>
        </w:rPr>
        <w:t>APP</w:t>
      </w:r>
      <w:r>
        <w:t xml:space="preserve"> atau </w:t>
      </w:r>
      <w:r>
        <w:rPr>
          <w:rFonts w:ascii="Consolas" w:hAnsi="Consolas"/>
          <w:color w:val="B03060"/>
          <w:sz w:val="19"/>
        </w:rPr>
        <w:t>WALK_IN</w:t>
      </w:r>
      <w:r>
        <w:t>), status (</w:t>
      </w:r>
      <w:r>
        <w:rPr>
          <w:rFonts w:ascii="Consolas" w:hAnsi="Consolas"/>
          <w:color w:val="B03060"/>
          <w:sz w:val="19"/>
        </w:rPr>
        <w:t>BOOKED</w:t>
      </w:r>
      <w:r>
        <w:t xml:space="preserve"> → </w:t>
      </w:r>
      <w:r>
        <w:rPr>
          <w:rFonts w:ascii="Consolas" w:hAnsi="Consolas"/>
          <w:color w:val="B03060"/>
          <w:sz w:val="19"/>
        </w:rPr>
        <w:t>CALLED</w:t>
      </w:r>
      <w:r>
        <w:t xml:space="preserve"> → </w:t>
      </w:r>
      <w:r>
        <w:rPr>
          <w:rFonts w:ascii="Consolas" w:hAnsi="Consolas"/>
          <w:color w:val="B03060"/>
          <w:sz w:val="19"/>
        </w:rPr>
        <w:t>SERVED</w:t>
      </w:r>
      <w:r>
        <w:t xml:space="preserve"> / </w:t>
      </w:r>
      <w:r>
        <w:rPr>
          <w:rFonts w:ascii="Consolas" w:hAnsi="Consolas"/>
          <w:color w:val="B03060"/>
          <w:sz w:val="19"/>
        </w:rPr>
        <w:t>NO_SHOW</w:t>
      </w:r>
      <w:r>
        <w:t xml:space="preserve"> / </w:t>
      </w:r>
      <w:r>
        <w:rPr>
          <w:rFonts w:ascii="Consolas" w:hAnsi="Consolas"/>
          <w:color w:val="B03060"/>
          <w:sz w:val="19"/>
        </w:rPr>
        <w:t>CANCELLED</w:t>
      </w:r>
      <w:r>
        <w:t xml:space="preserve"> / </w:t>
      </w:r>
      <w:r>
        <w:rPr>
          <w:rFonts w:ascii="Consolas" w:hAnsi="Consolas"/>
          <w:color w:val="B03060"/>
          <w:sz w:val="19"/>
        </w:rPr>
        <w:t>RESCHEDULE_SUGGESTED</w:t>
      </w:r>
      <w:r>
        <w:t xml:space="preserve">), token check-in, dan stempel waktu transisi. Ditambah entitas </w:t>
      </w:r>
      <w:r>
        <w:rPr>
          <w:rFonts w:ascii="Consolas" w:hAnsi="Consolas"/>
          <w:color w:val="B03060"/>
          <w:sz w:val="19"/>
        </w:rPr>
        <w:t>Slot</w:t>
      </w:r>
      <w:r>
        <w:t xml:space="preserve"> yang merepresentasikan satu satuan waktu layanan pada satu tanggal beserta penanda tersedia, diklaim, atau ditutup.</w:t>
      </w:r>
    </w:p>
    <w:p>
      <w:pPr>
        <w:jc w:val="both"/>
      </w:pPr>
      <w:r>
        <w:t xml:space="preserve">Slot menjadi satuan penjadwalan sekaligus satuan kuota, sehingga tidak diperlukan kuota harian terpisah. Walk-in direkam sebagai </w:t>
      </w:r>
      <w:r>
        <w:rPr>
          <w:rFonts w:ascii="Consolas" w:hAnsi="Consolas"/>
          <w:color w:val="B03060"/>
          <w:sz w:val="19"/>
        </w:rPr>
        <w:t>Appointment</w:t>
      </w:r>
      <w:r>
        <w:t xml:space="preserve"> dengan asal </w:t>
      </w:r>
      <w:r>
        <w:rPr>
          <w:rFonts w:ascii="Consolas" w:hAnsi="Consolas"/>
          <w:color w:val="B03060"/>
          <w:sz w:val="19"/>
        </w:rPr>
        <w:t>WALK_IN</w:t>
      </w:r>
      <w:r>
        <w:t xml:space="preserve"> yang mengklaim slot kosong, sehingga prioritas pemesan aplikasi terjaga secara struktural: slot yang telah diklaim melalui aplikasi tidak dapat diambil alih. Penutupan slot karena kegiatan insidental Kepala Desa menandai slot sebagai ditutup dan memindahkan janji temu terdampak ke status </w:t>
      </w:r>
      <w:r>
        <w:rPr>
          <w:rFonts w:ascii="Consolas" w:hAnsi="Consolas"/>
          <w:color w:val="B03060"/>
          <w:sz w:val="19"/>
        </w:rPr>
        <w:t>RESCHEDULE_SUGGESTED</w:t>
      </w:r>
      <w:r>
        <w:t xml:space="preserve"> beserta usulan slot pengganti.</w:t>
      </w:r>
    </w:p>
    <w:p>
      <w:pPr>
        <w:jc w:val="both"/>
      </w:pPr>
      <w:r>
        <w:rPr>
          <w:b/>
        </w:rPr>
        <w:t>Migrasi Prisma</w:t>
      </w:r>
      <w:r>
        <w:t xml:space="preserve"> mengikuti aturan non-interaktif proyek (</w:t>
      </w:r>
      <w:r>
        <w:rPr>
          <w:rFonts w:ascii="Consolas" w:hAnsi="Consolas"/>
          <w:color w:val="B03060"/>
          <w:sz w:val="19"/>
        </w:rPr>
        <w:t>migrate diff --script</w:t>
      </w:r>
      <w:r>
        <w:t xml:space="preserve"> → folder migrasi baru → </w:t>
      </w:r>
      <w:r>
        <w:rPr>
          <w:rFonts w:ascii="Consolas" w:hAnsi="Consolas"/>
          <w:color w:val="B03060"/>
          <w:sz w:val="19"/>
        </w:rPr>
        <w:t>migrate deploy</w:t>
      </w:r>
      <w:r>
        <w:t xml:space="preserve"> → </w:t>
      </w:r>
      <w:r>
        <w:rPr>
          <w:rFonts w:ascii="Consolas" w:hAnsi="Consolas"/>
          <w:color w:val="B03060"/>
          <w:sz w:val="19"/>
        </w:rPr>
        <w:t>generate</w:t>
      </w:r>
      <w:r>
        <w:t>), termasuk migrasi penghapusan tabel surat.</w:t>
      </w:r>
    </w:p>
    <w:p>
      <w:pPr>
        <w:pStyle w:val="Heading1"/>
      </w:pPr>
      <w:r>
        <w:t>7. Perubahan pada Pustaka Kripto</w:t>
      </w:r>
    </w:p>
    <w:p>
      <w:pPr>
        <w:pStyle w:val="ListBullet"/>
      </w:pPr>
      <w:r>
        <w:rPr>
          <w:b/>
        </w:rPr>
        <w:t>Dihidupkan kembali dan diperluas:</w:t>
      </w:r>
      <w:r>
        <w:t xml:space="preserve"> </w:t>
      </w:r>
      <w:r>
        <w:rPr>
          <w:rFonts w:ascii="Consolas" w:hAnsi="Consolas"/>
          <w:color w:val="B03060"/>
          <w:sz w:val="19"/>
        </w:rPr>
        <w:t>schnorr.ts</w:t>
      </w:r>
      <w:r>
        <w:t xml:space="preserve"> (TypeScript) untuk auth, enrolment, dan kelayakan; padanannya ditambahkan pada sisi Dart agar interoperabel (perangkat membentuk bukti, peladen memverifikasi).</w:t>
      </w:r>
    </w:p>
    <w:p>
      <w:pPr>
        <w:pStyle w:val="ListBullet"/>
      </w:pPr>
      <w:r>
        <w:rPr>
          <w:b/>
        </w:rPr>
        <w:t>Diubah:</w:t>
      </w:r>
      <w:r>
        <w:t xml:space="preserve"> </w:t>
      </w:r>
      <w:r>
        <w:rPr>
          <w:rFonts w:ascii="Consolas" w:hAnsi="Consolas"/>
          <w:color w:val="B03060"/>
          <w:sz w:val="19"/>
        </w:rPr>
        <w:t>eligibility.ts</w:t>
      </w:r>
      <w:r>
        <w:t xml:space="preserve"> — komponen kepemilikan dari tanda tangan ECDSA-atas-konteks menjadi bukti Schnorr atas konteks; </w:t>
      </w:r>
      <w:r>
        <w:rPr>
          <w:rFonts w:ascii="Consolas" w:hAnsi="Consolas"/>
          <w:color w:val="B03060"/>
          <w:sz w:val="19"/>
        </w:rPr>
        <w:t>computeLeaf</w:t>
      </w:r>
      <w:r>
        <w:t xml:space="preserve"> tetap.</w:t>
      </w:r>
    </w:p>
    <w:p>
      <w:pPr>
        <w:pStyle w:val="ListBullet"/>
      </w:pPr>
      <w:r>
        <w:rPr>
          <w:b/>
        </w:rPr>
        <w:t>Dipensiunkan:</w:t>
      </w:r>
      <w:r>
        <w:t xml:space="preserve"> </w:t>
      </w:r>
      <w:r>
        <w:rPr>
          <w:rFonts w:ascii="Consolas" w:hAnsi="Consolas"/>
          <w:color w:val="B03060"/>
          <w:sz w:val="19"/>
        </w:rPr>
        <w:t>ecdsa.ts</w:t>
      </w:r>
      <w:r>
        <w:t xml:space="preserve"> (TypeScript dan Dart) beserta seluruh pemakaiannya pada auth (</w:t>
      </w:r>
      <w:r>
        <w:rPr>
          <w:rFonts w:ascii="Consolas" w:hAnsi="Consolas"/>
          <w:color w:val="B03060"/>
          <w:sz w:val="19"/>
        </w:rPr>
        <w:t>auth.service</w:t>
      </w:r>
      <w:r>
        <w:t>), enrolment (</w:t>
      </w:r>
      <w:r>
        <w:rPr>
          <w:rFonts w:ascii="Consolas" w:hAnsi="Consolas"/>
          <w:color w:val="B03060"/>
          <w:sz w:val="19"/>
        </w:rPr>
        <w:t>enroll.service</w:t>
      </w:r>
      <w:r>
        <w:t>), dan penandatanganan surat (dihapus bersama subsistem surat).</w:t>
      </w:r>
    </w:p>
    <w:p>
      <w:pPr>
        <w:pStyle w:val="ListBullet"/>
      </w:pPr>
      <w:r>
        <w:rPr>
          <w:b/>
        </w:rPr>
        <w:t>Interoperabilitas lintas bahasa</w:t>
      </w:r>
      <w:r>
        <w:t xml:space="preserve"> tetap dijaga melalui vektor uji: bukti Schnorr yang dibentuk Dart diverifikasi </w:t>
      </w:r>
      <w:r>
        <w:rPr>
          <w:rFonts w:ascii="Consolas" w:hAnsi="Consolas"/>
          <w:color w:val="B03060"/>
          <w:sz w:val="19"/>
        </w:rPr>
        <w:t>@sidesa/crypto</w:t>
      </w:r>
      <w:r>
        <w:t>.</w:t>
      </w:r>
    </w:p>
    <w:p>
      <w:pPr>
        <w:pStyle w:val="Heading1"/>
      </w:pPr>
      <w:r>
        <w:t>8. Sifat Keamanan dan Model Ancaman</w:t>
      </w:r>
    </w:p>
    <w:p>
      <w:pPr>
        <w:pStyle w:val="ListBullet"/>
      </w:pPr>
      <w:r>
        <w:rPr>
          <w:b/>
        </w:rPr>
        <w:t>Kelayakan tak sah ditolak</w:t>
      </w:r>
      <w:r>
        <w:t>: bukan-anggota registri gagal pada keanggotaan Merkle; peniru yang menyalin X gagal pada bukti Schnorr karena tak menguasai x.</w:t>
      </w:r>
    </w:p>
    <w:p>
      <w:pPr>
        <w:pStyle w:val="ListBullet"/>
      </w:pPr>
      <w:r>
        <w:rPr>
          <w:b/>
        </w:rPr>
        <w:t>Anti-replay</w:t>
      </w:r>
      <w:r>
        <w:t>: konteks ber-</w:t>
      </w:r>
      <w:r>
        <w:rPr>
          <w:rFonts w:ascii="Consolas" w:hAnsi="Consolas"/>
          <w:color w:val="B03060"/>
          <w:sz w:val="19"/>
        </w:rPr>
        <w:t>nonce</w:t>
      </w:r>
      <w:r>
        <w:t xml:space="preserve"> sekali pakai pada auth dan kelayakan.</w:t>
      </w:r>
    </w:p>
    <w:p>
      <w:pPr>
        <w:pStyle w:val="ListBullet"/>
      </w:pPr>
      <w:r>
        <w:rPr>
          <w:b/>
        </w:rPr>
        <w:t>Anti-penyamaran saat enrolment</w:t>
      </w:r>
      <w:r>
        <w:t>: bukti Schnorr atas X mencegah pendaftaran kunci milik orang lain.</w:t>
      </w:r>
    </w:p>
    <w:p>
      <w:pPr>
        <w:pStyle w:val="ListBullet"/>
      </w:pPr>
      <w:r>
        <w:rPr>
          <w:b/>
        </w:rPr>
        <w:t>Kerahasiaan NIK</w:t>
      </w:r>
      <w:r>
        <w:t>: NIK tidak pernah didigitalkan dalam bukti; hanya komitmen tersimpan.</w:t>
      </w:r>
    </w:p>
    <w:p>
      <w:pPr>
        <w:pStyle w:val="ListBullet"/>
      </w:pPr>
      <w:r>
        <w:rPr>
          <w:b/>
        </w:rPr>
        <w:t>Keterbatasan privasi</w:t>
      </w:r>
      <w:r>
        <w:t>: sistem pseudonim, bukan anonim penuh — X terungkap sehingga pemesanan dari akun yang sama dapat ditautkan. Ini konsisten dengan pilihan "identified".</w:t>
      </w:r>
    </w:p>
    <w:p>
      <w:pPr>
        <w:pStyle w:val="ListBullet"/>
      </w:pPr>
      <w:r>
        <w:rPr>
          <w:b/>
        </w:rPr>
        <w:t>Audit</w:t>
      </w:r>
      <w:r>
        <w:t>: aksi sensitif (terbit/klaim kode, ubah registri, kelola antrean) dicatat pada log audit berantai-hash.</w:t>
      </w:r>
    </w:p>
    <w:p>
      <w:pPr>
        <w:pStyle w:val="Heading1"/>
      </w:pPr>
      <w:r>
        <w:t>9. Kepatuhan</w:t>
      </w:r>
    </w:p>
    <w:p>
      <w:pPr>
        <w:jc w:val="both"/>
      </w:pPr>
      <w:r>
        <w:t xml:space="preserve">Keputusan Kepala BSSN Nomor 443 Tahun 2025 mengatur algoritma tanda tangan dan enkripsi. Karena aplikasi tidak lagi memproduksi tanda tangan teregulasi, narasi kepatuhan bergeser: </w:t>
      </w:r>
      <w:r>
        <w:rPr>
          <w:b/>
        </w:rPr>
        <w:t>tidak ada tanda tangan teregulasi yang diproduksi aplikasi</w:t>
      </w:r>
      <w:r>
        <w:t>; kelayakan memakai ZKP di atas grup kurva P-384 dan fungsi hash SHA-384; enkripsi data saat diam (bila ada) memakai AES-256. Pergeseran ini telah dikonfirmasi: Kepka 443 tetap dipakai sebagai dasar pemilihan algoritma, sedangkan klaim mengenai kekuatan hukum tanda tangan elektronik dihapus karena aplikasi memang tidak lagi memproduksinya.</w:t>
      </w:r>
    </w:p>
    <w:p>
      <w:pPr>
        <w:pStyle w:val="Heading1"/>
      </w:pPr>
      <w:r>
        <w:t>10. Strategi Pengujian</w:t>
      </w:r>
    </w:p>
    <w:p>
      <w:pPr>
        <w:pStyle w:val="ListBullet"/>
      </w:pPr>
      <w:r>
        <w:t>Kripto: pengujian positif dan negatif untuk bukti Schnorr pada tiap gerbang (pemalsuan tanpa rahasia ditolak, respons dirusak ditolak, konteks berbeda ditolak), keanggotaan Merkle, dan uji interoperabilitas lintas bahasa Dart→TypeScript.</w:t>
      </w:r>
    </w:p>
    <w:p>
      <w:pPr>
        <w:pStyle w:val="ListBullet"/>
      </w:pPr>
      <w:r>
        <w:t>Peladen: e2e alur warga (enrolment Schnorr → login Schnorr → pesan antrean dengan bukti kelayakan → operator memanggil → dilayani), termasuk uji negatif (bukan-anggota ditolak, nonce dipakai ulang ditolak, lintas peran ditolak).</w:t>
      </w:r>
    </w:p>
    <w:p>
      <w:pPr>
        <w:pStyle w:val="ListBullet"/>
      </w:pPr>
      <w:r>
        <w:t>Aplikasi: alur tiap peran, pembentukan bukti Schnorr, dan degradasi anggun tanpa jaringan.</w:t>
      </w:r>
    </w:p>
    <w:p>
      <w:pPr>
        <w:pStyle w:val="Heading1"/>
      </w:pPr>
      <w:r>
        <w:t>11. Dampak terhadap Basis Kode Saat Ini</w:t>
      </w:r>
    </w:p>
    <w:p>
      <w:pPr>
        <w:pStyle w:val="ListBullet"/>
      </w:pPr>
      <w:r>
        <w:rPr>
          <w:b/>
        </w:rPr>
        <w:t>Dihapus:</w:t>
      </w:r>
      <w:r>
        <w:t xml:space="preserve"> modul surat peladen (</w:t>
      </w:r>
      <w:r>
        <w:rPr>
          <w:rFonts w:ascii="Consolas" w:hAnsi="Consolas"/>
          <w:color w:val="B03060"/>
          <w:sz w:val="19"/>
        </w:rPr>
        <w:t>letters/</w:t>
      </w:r>
      <w:r>
        <w:t>), verifikasi publik, template surat; layar surat pada aplikasi; render PDF (</w:t>
      </w:r>
      <w:r>
        <w:rPr>
          <w:rFonts w:ascii="Consolas" w:hAnsi="Consolas"/>
          <w:color w:val="B03060"/>
          <w:sz w:val="19"/>
        </w:rPr>
        <w:t>letter_pdf.dart</w:t>
      </w:r>
      <w:r>
        <w:t>); kunci hardware (</w:t>
      </w:r>
      <w:r>
        <w:rPr>
          <w:rFonts w:ascii="Consolas" w:hAnsi="Consolas"/>
          <w:color w:val="B03060"/>
          <w:sz w:val="19"/>
        </w:rPr>
        <w:t>android_keystore.dart</w:t>
      </w:r>
      <w:r>
        <w:t>, wiring biometrik).</w:t>
      </w:r>
    </w:p>
    <w:p>
      <w:pPr>
        <w:pStyle w:val="ListBullet"/>
      </w:pPr>
      <w:r>
        <w:rPr>
          <w:b/>
        </w:rPr>
        <w:t>Diubah:</w:t>
      </w:r>
      <w:r>
        <w:t xml:space="preserve"> </w:t>
      </w:r>
      <w:r>
        <w:rPr>
          <w:rFonts w:ascii="Consolas" w:hAnsi="Consolas"/>
          <w:color w:val="B03060"/>
          <w:sz w:val="19"/>
        </w:rPr>
        <w:t>auth.service</w:t>
      </w:r>
      <w:r>
        <w:t xml:space="preserve">, </w:t>
      </w:r>
      <w:r>
        <w:rPr>
          <w:rFonts w:ascii="Consolas" w:hAnsi="Consolas"/>
          <w:color w:val="B03060"/>
          <w:sz w:val="19"/>
        </w:rPr>
        <w:t>enroll.service</w:t>
      </w:r>
      <w:r>
        <w:t xml:space="preserve">, dan </w:t>
      </w:r>
      <w:r>
        <w:rPr>
          <w:rFonts w:ascii="Consolas" w:hAnsi="Consolas"/>
          <w:color w:val="B03060"/>
          <w:sz w:val="19"/>
        </w:rPr>
        <w:t>eligibility</w:t>
      </w:r>
      <w:r>
        <w:t xml:space="preserve"> (ECDSA → Schnorr); Session pada aplikasi (login/enrol/pesan memakai bukti Schnorr); skema Prisma (hapus surat, tambah antrean).</w:t>
      </w:r>
    </w:p>
    <w:p>
      <w:pPr>
        <w:pStyle w:val="ListBullet"/>
      </w:pPr>
      <w:r>
        <w:rPr>
          <w:b/>
        </w:rPr>
        <w:t>Ditambah:</w:t>
      </w:r>
      <w:r>
        <w:t xml:space="preserve"> subsistem antrean (model, service, controller, layar warga dan operator); padanan Schnorr pada sisi Dart.</w:t>
      </w:r>
    </w:p>
    <w:p>
      <w:pPr>
        <w:pStyle w:val="ListBullet"/>
      </w:pPr>
      <w:r>
        <w:rPr>
          <w:b/>
        </w:rPr>
        <w:t>Dipertahankan utuh:</w:t>
      </w:r>
      <w:r>
        <w:t xml:space="preserve"> registri Merkle, enrolment Model B (kode operator), notifikasi FCM, log audit, pembatasan laju, validasi masukan.</w:t>
      </w:r>
    </w:p>
    <w:p>
      <w:pPr>
        <w:pStyle w:val="Heading1"/>
      </w:pPr>
      <w:r>
        <w:t>12. Pekerjaan yang Menyusul (fase implementasi)</w:t>
      </w:r>
    </w:p>
    <w:p>
      <w:pPr>
        <w:jc w:val="both"/>
      </w:pPr>
      <w:r>
        <w:t>Dituangkan menjadi rencana implementasi tersendiri (skill writing-plans) setelah spec ini disetujui dan divalidasi ke dosen. Urutan yang disarankan: (1) hidupkan Schnorr lintas bahasa + uji interop; (2) migrasikan auth &amp; enrolment ke Schnorr; (3) migrasikan kelayakan ke Schnorr; (4) hapus subsistem surat + kunci hardware; (5) bangun subsistem antrean; (6) sambungkan notifikasi antrean ke FCM.</w:t>
      </w:r>
    </w:p>
    <w:p>
      <w:pPr>
        <w:pStyle w:val="Heading1"/>
      </w:pPr>
      <w:r>
        <w:t>13. Pertanyaan Terbuka</w:t>
      </w:r>
    </w:p>
    <w:p>
      <w:pPr>
        <w:jc w:val="both"/>
      </w:pPr>
      <w:r>
        <w:t>Pertanyaan penentu arsitektur telah terjawab dan dicatat pada Subbagian 1.2. Yang tersisa bersifat konfigurasi atau operasional, sehingga dapat ditetapkan menjelang penggelaran tanpa mengubah rancangan.</w:t>
      </w:r>
    </w:p>
    <w:p>
      <w:pPr>
        <w:pStyle w:val="ListBullet"/>
      </w:pPr>
      <w:r>
        <w:t>Panjang satu slot dan jumlah slot per hari layanan.</w:t>
      </w:r>
    </w:p>
    <w:p>
      <w:pPr>
        <w:pStyle w:val="ListBullet"/>
      </w:pPr>
      <w:r>
        <w:t>Hari dan jam layanan, termasuk hari libur desa di luar libur nasional.</w:t>
      </w:r>
    </w:p>
    <w:p>
      <w:pPr>
        <w:pStyle w:val="ListBullet"/>
      </w:pPr>
      <w:r>
        <w:t>Apakah biometrik tetap dipertahankan sebagai kunci akses aplikasi meski bukan gerbang kriptografis.</w:t>
      </w:r>
    </w:p>
    <w:p>
      <w:pPr>
        <w:pStyle w:val="ListBullet"/>
      </w:pPr>
      <w:r>
        <w:t>Berapa lama warga ditunggu setelah dipanggil sebelum ditandai tidak hadir.</w:t>
      </w:r>
    </w:p>
    <w:p>
      <w:pPr>
        <w:pStyle w:val="ListBullet"/>
      </w:pPr>
      <w:r>
        <w:t>Batas waktu pembatalan oleh warga agar slot dapat dipakai orang lain.</w:t>
      </w:r>
    </w:p>
    <w:p>
      <w:pPr>
        <w:pStyle w:val="ListBullet"/>
      </w:pPr>
      <w:r>
        <w:t>Perangkat apa yang akan menayangkan penampil publik di kantor desa.</w:t>
      </w:r>
    </w:p>
    <w:sectPr w:rsidR="00FC693F" w:rsidRPr="0006063C" w:rsidSect="00034616">
      <w:footerReference w:type="default" r:id="rId9"/>
      <w:pgSz w:w="11906" w:h="16838"/>
      <w:pgMar w:top="1276" w:right="1276" w:bottom="1276"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44444"/>
        <w:sz w:val="16"/>
      </w:rPr>
      <w:t xml:space="preserve">SIDESA-CM — PRD v0.3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A8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