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Penerapan Secure SDLC (SSDLC) pada SIDESA-CM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SIDESA-CM — Sistem Digital Layanan Desa Cibeteung Muara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Konteks</w:t>
            </w:r>
          </w:p>
        </w:tc>
        <w:tc>
          <w:tcPr>
            <w:tcW w:type="dxa" w:w="4320"/>
          </w:tcPr>
          <w:p>
            <w:r/>
            <w:r>
              <w:t>ABDIMAS Poltek SSN, D4 Rekayasa Kriptografi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Framework utama</w:t>
            </w:r>
          </w:p>
        </w:tc>
        <w:tc>
          <w:tcPr>
            <w:tcW w:type="dxa" w:w="4320"/>
          </w:tcPr>
          <w:p>
            <w:r/>
            <w:r>
              <w:t>Microsoft Security Development Lifecycle (SDL)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Framework pelengkap</w:t>
            </w:r>
          </w:p>
        </w:tc>
        <w:tc>
          <w:tcPr>
            <w:tcW w:type="dxa" w:w="4320"/>
          </w:tcPr>
          <w:p>
            <w:r/>
            <w:r>
              <w:t>NIST Secure Software Development Framework (SSDF, SP 800-218)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Dasar kepatuhan kripto</w:t>
            </w:r>
          </w:p>
        </w:tc>
        <w:tc>
          <w:tcPr>
            <w:tcW w:type="dxa" w:w="4320"/>
          </w:tcPr>
          <w:p>
            <w:r/>
            <w:r>
              <w:t>Kepka BSSN No. 443 Tahun 2025</w:t>
            </w:r>
          </w:p>
        </w:tc>
      </w:tr>
    </w:tbl>
    <w:p/>
    <w:p>
      <w:pPr>
        <w:pStyle w:val="Heading2"/>
      </w:pPr>
      <w:r>
        <w:t>1. Pendahuluan</w:t>
      </w:r>
    </w:p>
    <w:p>
      <w:pPr>
        <w:jc w:val="both"/>
      </w:pPr>
      <w:r>
        <w:rPr>
          <w:b/>
        </w:rPr>
        <w:t>Secure SDLC (SSDLC)</w:t>
      </w:r>
      <w:r>
        <w:t xml:space="preserve"> adalah pendekatan membangun perangkat lunak dengan menyisipkan aktivitas keamanan pada </w:t>
      </w:r>
      <w:r>
        <w:rPr>
          <w:b/>
        </w:rPr>
        <w:t>setiap</w:t>
      </w:r>
      <w:r>
        <w:t xml:space="preserve"> tahap pengembangan — bukan menambalnya di akhir. Untuk SIDESA-CM yang menangani </w:t>
      </w:r>
      <w:r>
        <w:rPr>
          <w:b/>
        </w:rPr>
        <w:t>tanda tangan digital resmi</w:t>
      </w:r>
      <w:r>
        <w:t xml:space="preserve"> dan </w:t>
      </w:r>
      <w:r>
        <w:rPr>
          <w:b/>
        </w:rPr>
        <w:t>data kependudukan</w:t>
      </w:r>
      <w:r>
        <w:t>, keamanan bukan fitur tambahan melainkan syarat utama; karena itu proses pengembangannya mengikuti SSDLC.</w:t>
      </w:r>
    </w:p>
    <w:p>
      <w:pPr>
        <w:pStyle w:val="Heading2"/>
      </w:pPr>
      <w:r>
        <w:t>2. Pemilihan Framework</w:t>
      </w:r>
    </w:p>
    <w:p>
      <w:pPr>
        <w:jc w:val="both"/>
      </w:pPr>
      <w:r>
        <w:t xml:space="preserve">Dipilih </w:t>
      </w:r>
      <w:r>
        <w:rPr>
          <w:b/>
        </w:rPr>
        <w:t>Microsoft SDL</w:t>
      </w:r>
      <w:r>
        <w:t xml:space="preserve"> sebagai kerangka utama karena berbasis </w:t>
      </w:r>
      <w:r>
        <w:rPr>
          <w:b/>
        </w:rPr>
        <w:t>fase</w:t>
      </w:r>
      <w:r>
        <w:t xml:space="preserve"> yang selaras dengan alur kerja nyata project (dari kebutuhan hingga respons), dan paling lazim diajarkan sehingga mudah dipresentasikan. Sebagai pelengkap, praktik project dipetakan ke </w:t>
      </w:r>
      <w:r>
        <w:rPr>
          <w:b/>
        </w:rPr>
        <w:t>NIST SSDF</w:t>
      </w:r>
      <w:r>
        <w:t xml:space="preserve"> — standar modern yang selaras konteks pemerintahan (relevan dengan lingkungan BSSN).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Framework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Peran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Alasan pemilihan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Microsoft SDL</w:t>
            </w:r>
          </w:p>
        </w:tc>
        <w:tc>
          <w:tcPr>
            <w:tcW w:type="dxa" w:w="2880"/>
          </w:tcPr>
          <w:p>
            <w:r/>
            <w:r>
              <w:t>Kerangka utama</w:t>
            </w:r>
          </w:p>
        </w:tc>
        <w:tc>
          <w:tcPr>
            <w:tcW w:type="dxa" w:w="2880"/>
          </w:tcPr>
          <w:p>
            <w:r/>
            <w:r>
              <w:t>Berbasis fase (Training → … → Response); pemetaan langsung ke pekerjaan; mudah dipresentasikan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NIST SSDF (SP 800-218)</w:t>
            </w:r>
          </w:p>
        </w:tc>
        <w:tc>
          <w:tcPr>
            <w:tcW w:type="dxa" w:w="2880"/>
          </w:tcPr>
          <w:p>
            <w:r/>
            <w:r>
              <w:t>Pelengkap/rujukan</w:t>
            </w:r>
          </w:p>
        </w:tc>
        <w:tc>
          <w:tcPr>
            <w:tcW w:type="dxa" w:w="2880"/>
          </w:tcPr>
          <w:p>
            <w:r/>
            <w:r>
              <w:t>Standar pemerintah; praktik PO/PS/PW/RV; memperkuat kredibilitas &amp; keselarasan standar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OWASP SAMM</w:t>
            </w:r>
          </w:p>
        </w:tc>
        <w:tc>
          <w:tcPr>
            <w:tcW w:type="dxa" w:w="2880"/>
          </w:tcPr>
          <w:p>
            <w:r/>
            <w:r>
              <w:t>Opsional</w:t>
            </w:r>
          </w:p>
        </w:tc>
        <w:tc>
          <w:tcPr>
            <w:tcW w:type="dxa" w:w="2880"/>
          </w:tcPr>
          <w:p>
            <w:r/>
            <w:r>
              <w:t>Bila diperlukan penilaian tingkat kematangan keamanan</w:t>
            </w:r>
          </w:p>
        </w:tc>
      </w:tr>
    </w:tbl>
    <w:p/>
    <w:p>
      <w:pPr>
        <w:pStyle w:val="Heading2"/>
      </w:pPr>
      <w:r>
        <w:t>3. Penerapan per Fase Microsoft SDL</w:t>
      </w:r>
    </w:p>
    <w:p>
      <w:pPr>
        <w:pStyle w:val="Heading3"/>
      </w:pPr>
      <w:r>
        <w:t>3.1 Training (Pembekalan)</w:t>
      </w:r>
    </w:p>
    <w:p>
      <w:pPr>
        <w:jc w:val="both"/>
      </w:pPr>
      <w:r>
        <w:t xml:space="preserve">Tim membekali diri dengan pengetahuan kriptografi terapan dan regulasi: </w:t>
      </w:r>
      <w:r>
        <w:rPr>
          <w:b/>
        </w:rPr>
        <w:t>Kepka BSSN No. 443 Tahun 2025</w:t>
      </w:r>
      <w:r>
        <w:t xml:space="preserve"> (algoritma kriptografi Indonesia), prinsip ECDSA, Merkle tree, dan Zero-Knowledge Proof (Schnorr/Fiat-Shamir), serta prinsip minimalisasi data (UU PDP No. 27/2022).</w:t>
      </w:r>
    </w:p>
    <w:p>
      <w:pPr>
        <w:pStyle w:val="Heading3"/>
      </w:pPr>
      <w:r>
        <w:t>3.2 Requirements (Kebutuhan)</w:t>
      </w:r>
    </w:p>
    <w:p>
      <w:pPr>
        <w:jc w:val="both"/>
      </w:pPr>
      <w:r>
        <w:t xml:space="preserve">Disusun </w:t>
      </w:r>
      <w:r>
        <w:rPr>
          <w:b/>
        </w:rPr>
        <w:t>PRD/Spesifikasi</w:t>
      </w:r>
      <w:r>
        <w:t xml:space="preserve"> yang memuat kebutuhan fungsional </w:t>
      </w:r>
      <w:r>
        <w:rPr>
          <w:b/>
        </w:rPr>
        <w:t>dan</w:t>
      </w:r>
      <w:r>
        <w:t xml:space="preserve"> kebutuhan keamanan secara eksplisit: kepatuhan algoritma (P-384/SHA-384/AES-256), autentikasi berbasis kepemilikan kunci, minimalisasi data, audit, serta kriteria sukses terukur.</w:t>
      </w:r>
    </w:p>
    <w:p>
      <w:pPr>
        <w:jc w:val="both"/>
      </w:pPr>
      <w:r>
        <w:rPr>
          <w:i/>
        </w:rPr>
        <w:t>Artefak:</w:t>
      </w:r>
      <w:r>
        <w:t xml:space="preserve"> </w:t>
      </w:r>
      <w:r>
        <w:rPr>
          <w:rFonts w:ascii="Consolas" w:hAnsi="Consolas"/>
          <w:color w:val="B03060"/>
          <w:sz w:val="19"/>
        </w:rPr>
        <w:t>docs/superpowers/specs/2026-07-10-sidesa-cibeteung-muara-design.md</w:t>
      </w:r>
      <w:r>
        <w:t>.</w:t>
      </w:r>
    </w:p>
    <w:p>
      <w:pPr>
        <w:pStyle w:val="Heading3"/>
      </w:pPr>
      <w:r>
        <w:t>3.3 Design (Perancangan Aman)</w:t>
      </w:r>
    </w:p>
    <w:p>
      <w:pPr>
        <w:pStyle w:val="ListBullet"/>
      </w:pPr>
      <w:r>
        <w:rPr>
          <w:b/>
        </w:rPr>
        <w:t>Threat modeling STRIDE</w:t>
      </w:r>
      <w:r>
        <w:t xml:space="preserve"> (§13 PRD): 12 ancaman diidentifikasi beserta mitigasinya (pencurian kunci, identitas palsu, kebocoran PII, pemalsuan surat, repudiation, replay/MITM, dst.).</w:t>
      </w:r>
    </w:p>
    <w:p>
      <w:pPr>
        <w:pStyle w:val="ListBullet"/>
      </w:pPr>
      <w:r>
        <w:rPr>
          <w:b/>
        </w:rPr>
        <w:t>Arsitektur aman:</w:t>
      </w:r>
      <w:r>
        <w:t xml:space="preserve"> autentikasi = </w:t>
      </w:r>
      <w:r>
        <w:rPr>
          <w:b/>
        </w:rPr>
        <w:t>kepemilikan kunci</w:t>
      </w:r>
      <w:r>
        <w:t xml:space="preserve"> (perangkat menandatangani nonce server), </w:t>
      </w:r>
      <w:r>
        <w:rPr>
          <w:b/>
        </w:rPr>
        <w:t>bukan</w:t>
      </w:r>
      <w:r>
        <w:t xml:space="preserve"> NIK/password; </w:t>
      </w:r>
      <w:r>
        <w:rPr>
          <w:b/>
        </w:rPr>
        <w:t>minimalisasi data</w:t>
      </w:r>
      <w:r>
        <w:t xml:space="preserve"> (menyimpan </w:t>
      </w:r>
      <w:r>
        <w:rPr>
          <w:rFonts w:ascii="Consolas" w:hAnsi="Consolas"/>
          <w:color w:val="B03060"/>
          <w:sz w:val="19"/>
        </w:rPr>
        <w:t>nikCommitment</w:t>
      </w:r>
      <w:r>
        <w:t xml:space="preserve">/hash, bukan NIK mentah); </w:t>
      </w:r>
      <w:r>
        <w:rPr>
          <w:b/>
        </w:rPr>
        <w:t>RBAC</w:t>
      </w:r>
      <w:r>
        <w:t xml:space="preserve"> 4 peran; </w:t>
      </w:r>
      <w:r>
        <w:rPr>
          <w:b/>
        </w:rPr>
        <w:t>kunci privat Kepala Desa tidak pernah berada di server</w:t>
      </w:r>
      <w:r>
        <w:t xml:space="preserve"> (server hanya memverifikasi); </w:t>
      </w:r>
      <w:r>
        <w:rPr>
          <w:b/>
        </w:rPr>
        <w:t>audit log append-only berantai-hash</w:t>
      </w:r>
      <w:r>
        <w:t>.</w:t>
      </w:r>
    </w:p>
    <w:p>
      <w:pPr>
        <w:pStyle w:val="ListBullet"/>
      </w:pPr>
      <w:r>
        <w:rPr>
          <w:b/>
        </w:rPr>
        <w:t>Pemisahan tugas &amp; model admin bertahap</w:t>
      </w:r>
      <w:r>
        <w:t xml:space="preserve"> (§5A PRD) sebagai akar kepercayaan.</w:t>
      </w:r>
    </w:p>
    <w:p>
      <w:pPr>
        <w:pStyle w:val="Heading3"/>
      </w:pPr>
      <w:r>
        <w:t>3.4 Implementation (Implementasi Aman)</w:t>
      </w:r>
    </w:p>
    <w:p>
      <w:pPr>
        <w:pStyle w:val="ListBullet"/>
      </w:pPr>
      <w:r>
        <w:rPr>
          <w:b/>
        </w:rPr>
        <w:t>Test-Driven Development (TDD)</w:t>
      </w:r>
      <w:r>
        <w:t xml:space="preserve"> sebagai jaring pengaman: test gagal → implementasi minimal → hijau → commit.</w:t>
      </w:r>
    </w:p>
    <w:p>
      <w:pPr>
        <w:pStyle w:val="ListBullet"/>
      </w:pPr>
      <w:r>
        <w:rPr>
          <w:b/>
        </w:rPr>
        <w:t>Primitif kripto dari pustaka teraudit</w:t>
      </w:r>
      <w:r>
        <w:t xml:space="preserve"> (</w:t>
      </w:r>
      <w:r>
        <w:rPr>
          <w:rFonts w:ascii="Consolas" w:hAnsi="Consolas"/>
          <w:color w:val="B03060"/>
          <w:sz w:val="19"/>
        </w:rPr>
        <w:t>@noble/curves</w:t>
      </w:r>
      <w:r>
        <w:t xml:space="preserve">); </w:t>
      </w:r>
      <w:r>
        <w:rPr>
          <w:b/>
        </w:rPr>
        <w:t>tidak</w:t>
      </w:r>
      <w:r>
        <w:t xml:space="preserve"> menggulung primitif sendiri; kripto Dart mengikuti format wire yang sama (kunci terkompresi 49 byte, tanda tangan compact 96 byte low-S).</w:t>
      </w:r>
    </w:p>
    <w:p>
      <w:pPr>
        <w:pStyle w:val="ListBullet"/>
      </w:pPr>
      <w:r>
        <w:rPr>
          <w:b/>
        </w:rPr>
        <w:t>Domain separation</w:t>
      </w:r>
      <w:r>
        <w:t xml:space="preserve"> pada semua hashing (Merkle, konteks bukti kelayakan, rantai audit).</w:t>
      </w:r>
    </w:p>
    <w:p>
      <w:pPr>
        <w:pStyle w:val="ListBullet"/>
      </w:pPr>
      <w:r>
        <w:rPr>
          <w:b/>
        </w:rPr>
        <w:t>Kunci identitas di hardware</w:t>
      </w:r>
      <w:r>
        <w:t xml:space="preserve"> (Fase B1): ECDSA P-384 dibangkitkan di </w:t>
      </w:r>
      <w:r>
        <w:rPr>
          <w:b/>
        </w:rPr>
        <w:t>Android Keystore (StrongBox, fallback TEE)</w:t>
      </w:r>
      <w:r>
        <w:t xml:space="preserve">, non-exportable, </w:t>
      </w:r>
      <w:r>
        <w:rPr>
          <w:rFonts w:ascii="Consolas" w:hAnsi="Consolas"/>
          <w:color w:val="B03060"/>
          <w:sz w:val="19"/>
        </w:rPr>
        <w:t>setUserAuthenticationRequired</w:t>
      </w:r>
      <w:r>
        <w:t xml:space="preserve"> sehingga </w:t>
      </w:r>
      <w:r>
        <w:rPr>
          <w:b/>
        </w:rPr>
        <w:t>setiap</w:t>
      </w:r>
      <w:r>
        <w:t xml:space="preserve"> penandatanganan menuntut biometrik segar melalui </w:t>
      </w:r>
      <w:r>
        <w:rPr>
          <w:rFonts w:ascii="Consolas" w:hAnsi="Consolas"/>
          <w:color w:val="B03060"/>
          <w:sz w:val="19"/>
        </w:rPr>
        <w:t>BiometricPrompt</w:t>
      </w:r>
      <w:r>
        <w:t xml:space="preserve"> yang terikat </w:t>
      </w:r>
      <w:r>
        <w:rPr>
          <w:rFonts w:ascii="Consolas" w:hAnsi="Consolas"/>
          <w:color w:val="B03060"/>
          <w:sz w:val="19"/>
        </w:rPr>
        <w:t>CryptoObject</w:t>
      </w:r>
      <w:r>
        <w:t xml:space="preserve">. Kunci privat </w:t>
      </w:r>
      <w:r>
        <w:rPr>
          <w:b/>
        </w:rPr>
        <w:t>tidak pernah</w:t>
      </w:r>
      <w:r>
        <w:t xml:space="preserve"> memasuki memori aplikasi; sisi native mengonversi tanda tangan DER → compact low-S agar sepadan dengan format wire.</w:t>
      </w:r>
    </w:p>
    <w:p>
      <w:pPr>
        <w:pStyle w:val="ListBullet"/>
      </w:pPr>
      <w:r>
        <w:rPr>
          <w:b/>
        </w:rPr>
        <w:t>Validasi input</w:t>
      </w:r>
      <w:r>
        <w:t xml:space="preserve"> (Fase B3): </w:t>
      </w:r>
      <w:r>
        <w:rPr>
          <w:rFonts w:ascii="Consolas" w:hAnsi="Consolas"/>
          <w:color w:val="B03060"/>
          <w:sz w:val="19"/>
        </w:rPr>
        <w:t>ValidationPipe</w:t>
      </w:r>
      <w:r>
        <w:t xml:space="preserve"> global + DTO </w:t>
      </w:r>
      <w:r>
        <w:rPr>
          <w:rFonts w:ascii="Consolas" w:hAnsi="Consolas"/>
          <w:color w:val="B03060"/>
          <w:sz w:val="19"/>
        </w:rPr>
        <w:t>class-validator</w:t>
      </w:r>
      <w:r>
        <w:t xml:space="preserve"> menolak body malformed (mis. bentuk tanda tangan bukan 192-hex, jenis surat di luar enum) </w:t>
      </w:r>
      <w:r>
        <w:rPr>
          <w:b/>
        </w:rPr>
        <w:t>sebelum</w:t>
      </w:r>
      <w:r>
        <w:t xml:space="preserve"> mencapai handler.</w:t>
      </w:r>
    </w:p>
    <w:p>
      <w:pPr>
        <w:pStyle w:val="ListBullet"/>
      </w:pPr>
      <w:r>
        <w:rPr>
          <w:b/>
        </w:rPr>
        <w:t>Manajemen rahasia:</w:t>
      </w:r>
      <w:r>
        <w:t xml:space="preserve"> </w:t>
      </w:r>
      <w:r>
        <w:rPr>
          <w:rFonts w:ascii="Consolas" w:hAnsi="Consolas"/>
          <w:color w:val="B03060"/>
          <w:sz w:val="19"/>
        </w:rPr>
        <w:t>.env</w:t>
      </w:r>
      <w:r>
        <w:t xml:space="preserve"> dikecualikan dari version control; hanya </w:t>
      </w:r>
      <w:r>
        <w:rPr>
          <w:rFonts w:ascii="Consolas" w:hAnsi="Consolas"/>
          <w:color w:val="B03060"/>
          <w:sz w:val="19"/>
        </w:rPr>
        <w:t>.env.example</w:t>
      </w:r>
      <w:r>
        <w:t xml:space="preserve"> yang di-commit.</w:t>
      </w:r>
    </w:p>
    <w:p>
      <w:pPr>
        <w:pStyle w:val="Heading3"/>
      </w:pPr>
      <w:r>
        <w:t>3.5 Verification (Verifikasi)</w:t>
      </w:r>
    </w:p>
    <w:p>
      <w:pPr>
        <w:pStyle w:val="ListBullet"/>
      </w:pPr>
      <w:r>
        <w:rPr>
          <w:b/>
        </w:rPr>
        <w:t>104 pengujian otomatis</w:t>
      </w:r>
      <w:r>
        <w:t xml:space="preserve"> (kripto 26, backend 57, mobile 21) — termasuk </w:t>
      </w:r>
      <w:r>
        <w:rPr>
          <w:b/>
        </w:rPr>
        <w:t>uji soundness/negatif</w:t>
      </w:r>
      <w:r>
        <w:t xml:space="preserve"> yang membuktikan penolakan terhadap </w:t>
      </w:r>
      <w:r>
        <w:rPr>
          <w:b/>
        </w:rPr>
        <w:t>pemalsuan, replay, dan manipulasi</w:t>
      </w:r>
      <w:r>
        <w:t>.</w:t>
      </w:r>
    </w:p>
    <w:p>
      <w:pPr>
        <w:pStyle w:val="ListBullet"/>
      </w:pPr>
      <w:r>
        <w:rPr>
          <w:b/>
        </w:rPr>
        <w:t>Uji interop lintas-bahasa</w:t>
      </w:r>
      <w:r>
        <w:t xml:space="preserve">: tanda tangan yang dibuat aplikasi Flutter (Dart) diverifikasi backend (TypeScript) — memastikan kebenaran implementasi, bukan sekadar pemanggilan pustaka. Termasuk tanda tangan yang dihasilkan </w:t>
      </w:r>
      <w:r>
        <w:rPr>
          <w:b/>
        </w:rPr>
        <w:t>kunci hardware</w:t>
      </w:r>
      <w:r>
        <w:t xml:space="preserve"> (jalur DER → compact low-S).</w:t>
      </w:r>
    </w:p>
    <w:p>
      <w:pPr>
        <w:pStyle w:val="ListBullet"/>
      </w:pPr>
      <w:r>
        <w:rPr>
          <w:b/>
        </w:rPr>
        <w:t>Verifikasi end-to-end di perangkat</w:t>
      </w:r>
      <w:r>
        <w:t xml:space="preserve"> (emulator Pixel_7 + backend live): siklus warga → operator → Kepala Desa → PDF/QR, termasuk penolakan permohonan </w:t>
      </w:r>
      <w:r>
        <w:rPr>
          <w:b/>
        </w:rPr>
        <w:t>tanpa bukti kelayakan</w:t>
      </w:r>
      <w:r>
        <w:t xml:space="preserve"> dan </w:t>
      </w:r>
      <w:r>
        <w:rPr>
          <w:b/>
        </w:rPr>
        <w:t>replay nonce</w:t>
      </w:r>
      <w:r>
        <w:t>.</w:t>
      </w:r>
    </w:p>
    <w:p>
      <w:pPr>
        <w:pStyle w:val="ListBullet"/>
      </w:pPr>
      <w:r>
        <w:rPr>
          <w:b/>
        </w:rPr>
        <w:t>Code review antar-tugas</w:t>
      </w:r>
      <w:r>
        <w:t xml:space="preserve"> (pendekatan vibe coding: manusia me-review diff setiap tugas).</w:t>
      </w:r>
    </w:p>
    <w:p>
      <w:pPr>
        <w:pStyle w:val="Heading3"/>
      </w:pPr>
      <w:r>
        <w:t>3.6 Release (Rilis)</w:t>
      </w:r>
    </w:p>
    <w:p>
      <w:pPr>
        <w:pStyle w:val="ListBullet"/>
      </w:pPr>
      <w:r>
        <w:t>Rahasia &amp; artefak besar dikecualikan dari repositori; disiplin migrasi basis data terkontrol (</w:t>
      </w:r>
      <w:r>
        <w:rPr>
          <w:rFonts w:ascii="Consolas" w:hAnsi="Consolas"/>
          <w:color w:val="B03060"/>
          <w:sz w:val="19"/>
        </w:rPr>
        <w:t>prisma migrate diff</w:t>
      </w:r>
      <w:r>
        <w:t xml:space="preserve"> + </w:t>
      </w:r>
      <w:r>
        <w:rPr>
          <w:rFonts w:ascii="Consolas" w:hAnsi="Consolas"/>
          <w:color w:val="B03060"/>
          <w:sz w:val="19"/>
        </w:rPr>
        <w:t>deploy</w:t>
      </w:r>
      <w:r>
        <w:t>, non-interaktif).</w:t>
      </w:r>
    </w:p>
    <w:p>
      <w:pPr>
        <w:pStyle w:val="ListBullet"/>
      </w:pPr>
      <w:r>
        <w:rPr>
          <w:b/>
        </w:rPr>
        <w:t>Rate limiting</w:t>
      </w:r>
      <w:r>
        <w:t xml:space="preserve"> </w:t>
      </w:r>
      <w:r>
        <w:rPr>
          <w:i/>
        </w:rPr>
        <w:t>(terpenuhi, Fase B3)</w:t>
      </w:r>
      <w:r>
        <w:t xml:space="preserve">: batas per-IP 120 permintaan/menit secara global dan </w:t>
      </w:r>
      <w:r>
        <w:rPr>
          <w:b/>
        </w:rPr>
        <w:t>15/menit pada endpoint autentikasi</w:t>
      </w:r>
      <w:r>
        <w:t xml:space="preserve"> sebagai peredam brute-force.</w:t>
      </w:r>
    </w:p>
    <w:p>
      <w:pPr>
        <w:pStyle w:val="ListBullet"/>
      </w:pPr>
      <w:r>
        <w:rPr>
          <w:i/>
        </w:rPr>
        <w:t>Menyusul:</w:t>
      </w:r>
      <w:r>
        <w:t xml:space="preserve"> penerapan TLS pada deploy, integrasi </w:t>
      </w:r>
      <w:r>
        <w:rPr>
          <w:b/>
        </w:rPr>
        <w:t>PSrE/BSrE</w:t>
      </w:r>
      <w:r>
        <w:t xml:space="preserve"> agar tanda tangan bernilai hukum penuh (UU ITE), serta </w:t>
      </w:r>
      <w:r>
        <w:rPr>
          <w:b/>
        </w:rPr>
        <w:t>enrolment perangkat</w:t>
      </w:r>
      <w:r>
        <w:t xml:space="preserve"> dan </w:t>
      </w:r>
      <w:r>
        <w:rPr>
          <w:b/>
        </w:rPr>
        <w:t>key attestation</w:t>
      </w:r>
      <w:r>
        <w:t>.</w:t>
      </w:r>
    </w:p>
    <w:p>
      <w:pPr>
        <w:pStyle w:val="Heading3"/>
      </w:pPr>
      <w:r>
        <w:t>3.7 Response (Respons)</w:t>
      </w:r>
    </w:p>
    <w:p>
      <w:pPr>
        <w:pStyle w:val="ListBullet"/>
      </w:pPr>
      <w:r>
        <w:rPr>
          <w:b/>
        </w:rPr>
        <w:t>Audit log append-only berantai-hash</w:t>
      </w:r>
      <w:r>
        <w:t xml:space="preserve"> </w:t>
      </w:r>
      <w:r>
        <w:rPr>
          <w:i/>
        </w:rPr>
        <w:t>(terpasang, Fase B3)</w:t>
      </w:r>
      <w:r>
        <w:t xml:space="preserve">: setiap aksi sensitif — </w:t>
      </w:r>
      <w:r>
        <w:rPr>
          <w:rFonts w:ascii="Consolas" w:hAnsi="Consolas"/>
          <w:color w:val="B03060"/>
          <w:sz w:val="19"/>
        </w:rPr>
        <w:t>LETTER_DRAFT</w:t>
      </w:r>
      <w:r>
        <w:t xml:space="preserve">, </w:t>
      </w:r>
      <w:r>
        <w:rPr>
          <w:rFonts w:ascii="Consolas" w:hAnsi="Consolas"/>
          <w:color w:val="B03060"/>
          <w:sz w:val="19"/>
        </w:rPr>
        <w:t>LETTER_REJECT</w:t>
      </w:r>
      <w:r>
        <w:t xml:space="preserve">, </w:t>
      </w:r>
      <w:r>
        <w:rPr>
          <w:rFonts w:ascii="Consolas" w:hAnsi="Consolas"/>
          <w:color w:val="B03060"/>
          <w:sz w:val="19"/>
        </w:rPr>
        <w:t>LETTER_SIGN</w:t>
      </w:r>
      <w:r>
        <w:t xml:space="preserve">, </w:t>
      </w:r>
      <w:r>
        <w:rPr>
          <w:rFonts w:ascii="Consolas" w:hAnsi="Consolas"/>
          <w:color w:val="B03060"/>
          <w:sz w:val="19"/>
        </w:rPr>
        <w:t>REGISTRY_APPROVE</w:t>
      </w:r>
      <w:r>
        <w:t xml:space="preserve">, </w:t>
      </w:r>
      <w:r>
        <w:rPr>
          <w:rFonts w:ascii="Consolas" w:hAnsi="Consolas"/>
          <w:color w:val="B03060"/>
          <w:sz w:val="19"/>
        </w:rPr>
        <w:t>REGISTRY_PUBLISH</w:t>
      </w:r>
      <w:r>
        <w:t xml:space="preserve"> — dicatat sebagai entri yang mengikat </w:t>
      </w:r>
      <w:r>
        <w:rPr>
          <w:b/>
        </w:rPr>
        <w:t>hash entri sebelumnya</w:t>
      </w:r>
      <w:r>
        <w:t xml:space="preserve"> (SHA-384, domain-separated). Endpoint </w:t>
      </w:r>
      <w:r>
        <w:rPr>
          <w:rFonts w:ascii="Consolas" w:hAnsi="Consolas"/>
          <w:color w:val="B03060"/>
          <w:sz w:val="19"/>
        </w:rPr>
        <w:t>GET /audit/verify</w:t>
      </w:r>
      <w:r>
        <w:t xml:space="preserve"> (khusus KADES/ADMIN) menghitung ulang seluruh rantai dan melaporkan keabsahannya; pengujian membuktikan </w:t>
      </w:r>
      <w:r>
        <w:rPr>
          <w:b/>
        </w:rPr>
        <w:t>perubahan satu baris membuat verifikasi gagal</w:t>
      </w:r>
      <w:r>
        <w:t xml:space="preserve"> — jejak bersifat </w:t>
      </w:r>
      <w:r>
        <w:rPr>
          <w:b/>
        </w:rPr>
        <w:t>tamper-evident</w:t>
      </w:r>
      <w:r>
        <w:t>.</w:t>
      </w:r>
    </w:p>
    <w:p>
      <w:pPr>
        <w:pStyle w:val="ListBullet"/>
      </w:pPr>
      <w:r>
        <w:rPr>
          <w:b/>
        </w:rPr>
        <w:t>Dirancang</w:t>
      </w:r>
      <w:r>
        <w:t xml:space="preserve"> mekanisme </w:t>
      </w:r>
      <w:r>
        <w:rPr>
          <w:b/>
        </w:rPr>
        <w:t>rotasi &amp; revoke kunci</w:t>
      </w:r>
      <w:r>
        <w:t xml:space="preserve"> Kepala Desa serta </w:t>
      </w:r>
      <w:r>
        <w:rPr>
          <w:b/>
        </w:rPr>
        <w:t>SOP + Berita Acara Serah Terima</w:t>
      </w:r>
      <w:r>
        <w:t xml:space="preserve"> untuk tata kelola admin; </w:t>
      </w:r>
      <w:r>
        <w:rPr>
          <w:i/>
        </w:rPr>
        <w:t>implementasi menyusul</w:t>
      </w:r>
      <w:r>
        <w:t>.</w:t>
      </w:r>
    </w:p>
    <w:p>
      <w:pPr>
        <w:pStyle w:val="Heading2"/>
      </w:pPr>
      <w:r>
        <w:t>4. Pemetaan ke NIST SSDF (SP 800-218)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Praktik SSDF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Penerapan di SIDESA-CM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</w:t>
            </w:r>
            <w:r>
              <w:t xml:space="preserve"> — </w:t>
            </w:r>
            <w:r>
              <w:rPr>
                <w:i/>
              </w:rPr>
              <w:t>Prepare the Organization</w:t>
            </w:r>
          </w:p>
        </w:tc>
        <w:tc>
          <w:tcPr>
            <w:tcW w:type="dxa" w:w="4320"/>
          </w:tcPr>
          <w:p>
            <w:r/>
            <w:r>
              <w:t>Aturan project (</w:t>
            </w:r>
            <w:r>
              <w:rPr>
                <w:rFonts w:ascii="Consolas" w:hAnsi="Consolas"/>
                <w:color w:val="B03060"/>
                <w:sz w:val="19"/>
              </w:rPr>
              <w:t>CLAUDE.md</w:t>
            </w:r>
            <w:r>
              <w:t>), kepatuhan Kepka 443/2025, konvensi TDD &amp; commit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PS</w:t>
            </w:r>
            <w:r>
              <w:t xml:space="preserve"> — </w:t>
            </w:r>
            <w:r>
              <w:rPr>
                <w:i/>
              </w:rPr>
              <w:t>Protect the Software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.env</w:t>
            </w:r>
            <w:r>
              <w:t xml:space="preserve"> dikecualikan; integritas dijaga tanda tangan &amp; audit berantai-hash; kunci identitas non-exportable di hardware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PW.1</w:t>
            </w:r>
            <w:r>
              <w:t xml:space="preserve"> — desain aman</w:t>
            </w:r>
          </w:p>
        </w:tc>
        <w:tc>
          <w:tcPr>
            <w:tcW w:type="dxa" w:w="4320"/>
          </w:tcPr>
          <w:p>
            <w:r/>
            <w:r>
              <w:t>Threat model STRIDE + arsitektur (kepemilikan kunci, minimalisasi data)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PW.4</w:t>
            </w:r>
            <w:r>
              <w:t xml:space="preserve"> — komponen tepercaya</w:t>
            </w:r>
          </w:p>
        </w:tc>
        <w:tc>
          <w:tcPr>
            <w:tcW w:type="dxa" w:w="4320"/>
          </w:tcPr>
          <w:p>
            <w:r/>
            <w:r>
              <w:t>Pustaka kripto teraudit (</w:t>
            </w:r>
            <w:r>
              <w:rPr>
                <w:rFonts w:ascii="Consolas" w:hAnsi="Consolas"/>
                <w:color w:val="B03060"/>
                <w:sz w:val="19"/>
              </w:rPr>
              <w:t>@noble/curves</w:t>
            </w:r>
            <w:r>
              <w:t>); tidak menggulung primitif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PW.5</w:t>
            </w:r>
            <w:r>
              <w:t xml:space="preserve"> — penulisan kode aman</w:t>
            </w:r>
          </w:p>
        </w:tc>
        <w:tc>
          <w:tcPr>
            <w:tcW w:type="dxa" w:w="4320"/>
          </w:tcPr>
          <w:p>
            <w:r/>
            <w:r>
              <w:t>Validasi input berbasis DTO; rate limiting; penanganan galat tanpa membocorkan 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PW.7 / PW.8</w:t>
            </w:r>
            <w:r>
              <w:t xml:space="preserve"> — review &amp; pengujian</w:t>
            </w:r>
          </w:p>
        </w:tc>
        <w:tc>
          <w:tcPr>
            <w:tcW w:type="dxa" w:w="4320"/>
          </w:tcPr>
          <w:p>
            <w:r/>
            <w:r>
              <w:t xml:space="preserve">Code review antar-tugas; </w:t>
            </w:r>
            <w:r>
              <w:rPr>
                <w:b/>
              </w:rPr>
              <w:t>104 test</w:t>
            </w:r>
            <w:r>
              <w:t xml:space="preserve"> termasuk uji negatif/soundness + interop + e2e di perangkat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RV</w:t>
            </w:r>
            <w:r>
              <w:t xml:space="preserve"> — </w:t>
            </w:r>
            <w:r>
              <w:rPr>
                <w:i/>
              </w:rPr>
              <w:t>Respond to Vulnerabilities</w:t>
            </w:r>
          </w:p>
        </w:tc>
        <w:tc>
          <w:tcPr>
            <w:tcW w:type="dxa" w:w="4320"/>
          </w:tcPr>
          <w:p>
            <w:r/>
            <w:r>
              <w:t xml:space="preserve">Audit log tamper-evident </w:t>
            </w:r>
            <w:r>
              <w:rPr>
                <w:b/>
              </w:rPr>
              <w:t>terpasang &amp; terverifikasi</w:t>
            </w:r>
            <w:r>
              <w:t>; desain rotasi/revoke kunci</w:t>
            </w:r>
          </w:p>
        </w:tc>
      </w:tr>
    </w:tbl>
    <w:p/>
    <w:p>
      <w:pPr>
        <w:pStyle w:val="Heading2"/>
      </w:pPr>
      <w:r>
        <w:t>5. Status Penerapan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t>Training, Requirements, Design, Implementation, Verification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Terpenuhi</w:t>
            </w:r>
            <w:r>
              <w:t xml:space="preserve"> — inti SSDLC (khususnya Design &amp; Verification) sudah kuat</w:t>
            </w:r>
          </w:p>
        </w:tc>
      </w:tr>
      <w:tr>
        <w:tc>
          <w:tcPr>
            <w:tcW w:type="dxa" w:w="4320"/>
          </w:tcPr>
          <w:p>
            <w:r/>
            <w:r>
              <w:t>Release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Parsial</w:t>
            </w:r>
            <w:r>
              <w:t xml:space="preserve"> — rate limiting terpenuhi; deploy TLS, PSrE/BSrE, enrolment &amp; key attestation menyusul</w:t>
            </w:r>
          </w:p>
        </w:tc>
      </w:tr>
      <w:tr>
        <w:tc>
          <w:tcPr>
            <w:tcW w:type="dxa" w:w="4320"/>
          </w:tcPr>
          <w:p>
            <w:r/>
            <w:r>
              <w:t>Response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Sebagian besar terpenuhi</w:t>
            </w:r>
            <w:r>
              <w:t xml:space="preserve"> — audit tamper-evident terpasang &amp; terverifikasi; rotasi/revoke kunci menyusul</w:t>
            </w:r>
          </w:p>
        </w:tc>
      </w:tr>
    </w:tbl>
    <w:p/>
    <w:p>
      <w:pPr>
        <w:pStyle w:val="Heading2"/>
      </w:pPr>
      <w:r>
        <w:t>6. Kesimpulan</w:t>
      </w:r>
    </w:p>
    <w:p>
      <w:pPr>
        <w:jc w:val="both"/>
      </w:pPr>
      <w:r>
        <w:t xml:space="preserve">Pengembangan SIDESA-CM telah menerapkan Secure SDLC berbasis </w:t>
      </w:r>
      <w:r>
        <w:rPr>
          <w:b/>
        </w:rPr>
        <w:t>Microsoft SDL</w:t>
      </w:r>
      <w:r>
        <w:t xml:space="preserve"> dan selaras dengan </w:t>
      </w:r>
      <w:r>
        <w:rPr>
          <w:b/>
        </w:rPr>
        <w:t>NIST SSDF</w:t>
      </w:r>
      <w:r>
        <w:t xml:space="preserve">. Kekuatan utama ada pada fase </w:t>
      </w:r>
      <w:r>
        <w:rPr>
          <w:b/>
        </w:rPr>
        <w:t>Design</w:t>
      </w:r>
      <w:r>
        <w:t xml:space="preserve"> (pemodelan ancaman STRIDE + arsitektur aman) dan </w:t>
      </w:r>
      <w:r>
        <w:rPr>
          <w:b/>
        </w:rPr>
        <w:t>Verification</w:t>
      </w:r>
      <w:r>
        <w:t xml:space="preserve"> (pengujian soundness/negatif serta verifikasi end-to-end di perangkat). Fase </w:t>
      </w:r>
      <w:r>
        <w:rPr>
          <w:b/>
        </w:rPr>
        <w:t>Implementation</w:t>
      </w:r>
      <w:r>
        <w:t xml:space="preserve"> diperkuat pada Fase B melalui </w:t>
      </w:r>
      <w:r>
        <w:rPr>
          <w:b/>
        </w:rPr>
        <w:t>kunci identitas berbasis hardware dengan gerbang biometrik</w:t>
      </w:r>
      <w:r>
        <w:t xml:space="preserve"> dan </w:t>
      </w:r>
      <w:r>
        <w:rPr>
          <w:b/>
        </w:rPr>
        <w:t>validasi input</w:t>
      </w:r>
      <w:r>
        <w:t xml:space="preserve">, sementara fase </w:t>
      </w:r>
      <w:r>
        <w:rPr>
          <w:b/>
        </w:rPr>
        <w:t>Response</w:t>
      </w:r>
      <w:r>
        <w:t xml:space="preserve"> kini ditopang </w:t>
      </w:r>
      <w:r>
        <w:rPr>
          <w:b/>
        </w:rPr>
        <w:t>audit log tamper-evident yang benar-benar terpasang dan terverifikasi</w:t>
      </w:r>
      <w:r>
        <w:t>. Sisa pekerjaan menuju produksi: TLS, integrasi PSrE/BSrE, enrolment perangkat, key attestation, serta rotasi/revoke kunci.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