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  <w:jc w:val="center"/>
      </w:pPr>
      <w:r>
        <w:rPr>
          <w:b/>
          <w:bCs/>
          <w:color w:val="1F4E79"/>
          <w:sz w:val="44"/>
          <w:szCs w:val="44"/>
        </w:rPr>
        <w:t xml:space="preserve">PENERAPAN SECURE SDLC (SSDLC)</w:t>
      </w:r>
    </w:p>
    <w:p>
      <w:pPr>
        <w:spacing w:after="0"/>
        <w:jc w:val="center"/>
      </w:pPr>
      <w:r>
        <w:rPr>
          <w:b/>
          <w:bCs/>
          <w:sz w:val="52"/>
          <w:szCs w:val="52"/>
        </w:rPr>
        <w:t xml:space="preserve">pada SIDESA-CM</w:t>
      </w:r>
    </w:p>
    <w:p>
      <w:pPr>
        <w:spacing w:after="300"/>
        <w:jc w:val="center"/>
      </w:pPr>
      <w:r>
        <w:rPr>
          <w:i/>
          <w:iCs/>
          <w:color w:val="2E75B6"/>
          <w:sz w:val="26"/>
          <w:szCs w:val="26"/>
        </w:rPr>
        <w:t xml:space="preserve">Sistem Digital Layanan Desa Cibeteung Muara</w:t>
      </w:r>
    </w:p>
    <w:p>
      <w:pPr>
        <w:pBdr>
          <w:bottom w:val="single" w:color="2E75B6" w:sz="8" w:space="4"/>
        </w:pBdr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Atribut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Project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SIDESA-CM — Sistem Digital Layanan Desa Cibeteung Muara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Konteks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ABDIMAS Poltek SSN, D4 Rekayasa Kriptografi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Framework utama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Microsoft Security Development Lifecycle (SDL)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Framework pelengkap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NIST Secure Software Development Framework (SSDF, SP 800-218)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Dasar kepatuhan kripto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Kepka BSSN No. 443 Tahun 2025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Pendahuluan</w:t>
      </w:r>
    </w:p>
    <w:p>
      <w:r>
        <w:t xml:space="preserve">Secure SDLC (SSDLC) adalah pendekatan membangun perangkat lunak dengan menyisipkan aktivitas keamanan pada setiap tahap pengembangan — bukan menambalnya di akhir. Untuk SIDESA-CM yang menangani tanda tangan digital resmi dan data kependudukan, keamanan bukan fitur tambahan melainkan syarat utama; karena itu proses pengembangannya mengikuti SSDLC.</w:t>
      </w:r>
    </w:p>
    <w:p>
      <w:pPr>
        <w:pStyle w:val="Heading1"/>
      </w:pPr>
      <w:r>
        <w:t xml:space="preserve">2. Pemilihan Framework</w:t>
      </w:r>
    </w:p>
    <w:p>
      <w:r>
        <w:t xml:space="preserve">Dipilih </w:t>
      </w:r>
      <w:r>
        <w:rPr>
          <w:b/>
          <w:bCs/>
        </w:rPr>
        <w:t xml:space="preserve">Microsoft SDL</w:t>
      </w:r>
      <w:r>
        <w:t xml:space="preserve"> sebagai kerangka utama karena berbasis fase yang selaras dengan alur kerja nyata project (dari kebutuhan hingga respons), dan paling lazim diajarkan sehingga mudah dipresentasikan. Sebagai pelengkap, praktik project dipetakan ke </w:t>
      </w:r>
      <w:r>
        <w:rPr>
          <w:b/>
          <w:bCs/>
        </w:rPr>
        <w:t xml:space="preserve">NIST SSDF</w:t>
      </w:r>
      <w:r>
        <w:t xml:space="preserve"> — standar modern yang selaras konteks pemerintahan (relevan dengan lingkungan BSSN).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Peran</w:t>
            </w:r>
          </w:p>
        </w:tc>
        <w:tc>
          <w:tcPr>
            <w:tcW w:type="dxa" w:w="48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Alasan pemilihan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Microsoft SDL</w:t>
            </w:r>
          </w:p>
        </w:tc>
        <w:tc>
          <w:tcPr>
            <w:tcW w:type="dxa" w:w="1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Kerangka utama</w:t>
            </w:r>
          </w:p>
        </w:tc>
        <w:tc>
          <w:tcPr>
            <w:tcW w:type="dxa" w:w="48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Berbasis fase (Training → … → Response); pemetaan langsung ke pekerjaan; mudah dipresentasikan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NIST SSDF (SP 800-218)</w:t>
            </w:r>
          </w:p>
        </w:tc>
        <w:tc>
          <w:tcPr>
            <w:tcW w:type="dxa" w:w="1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Pelengkap/rujukan</w:t>
            </w:r>
          </w:p>
        </w:tc>
        <w:tc>
          <w:tcPr>
            <w:tcW w:type="dxa" w:w="48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Standar pemerintah; praktik PO/PS/PW/RV; memperkuat kredibilitas &amp; keselarasan standar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OWASP SAMM</w:t>
            </w:r>
          </w:p>
        </w:tc>
        <w:tc>
          <w:tcPr>
            <w:tcW w:type="dxa" w:w="1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Opsional</w:t>
            </w:r>
          </w:p>
        </w:tc>
        <w:tc>
          <w:tcPr>
            <w:tcW w:type="dxa" w:w="48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Bila diperlukan penilaian tingkat kematangan keamanan</w:t>
            </w:r>
          </w:p>
        </w:tc>
      </w:tr>
    </w:tbl>
    <w:p>
      <w:pPr>
        <w:pStyle w:val="Heading1"/>
      </w:pPr>
      <w:r>
        <w:t xml:space="preserve">3. Penerapan per Fase Microsoft SDL</w:t>
      </w:r>
    </w:p>
    <w:p>
      <w:pPr>
        <w:pStyle w:val="Heading2"/>
      </w:pPr>
      <w:r>
        <w:t xml:space="preserve">3.1 Training (Pembekalan)</w:t>
      </w:r>
    </w:p>
    <w:p>
      <w:r>
        <w:t xml:space="preserve">Tim membekali diri dengan pengetahuan kriptografi terapan dan regulasi: Kepka BSSN No. 443 Tahun 2025 (algoritma kriptografi Indonesia), prinsip ECDSA, Merkle tree, dan Zero-Knowledge Proof (Schnorr/Fiat-Shamir), serta prinsip minimalisasi data (UU PDP No. 27/2022).</w:t>
      </w:r>
    </w:p>
    <w:p>
      <w:pPr>
        <w:pStyle w:val="Heading2"/>
      </w:pPr>
      <w:r>
        <w:t xml:space="preserve">3.2 Requirements (Kebutuhan)</w:t>
      </w:r>
    </w:p>
    <w:p>
      <w:r>
        <w:t xml:space="preserve">Disusun PRD/Spesifikasi yang memuat kebutuhan fungsional dan kebutuhan keamanan secara eksplisit: kepatuhan algoritma (P-384/SHA-384/AES-256), autentikasi berbasis kepemilikan kunci, minimalisasi data, audit, serta kriteria sukses terukur.</w:t>
      </w:r>
    </w:p>
    <w:p>
      <w:pPr>
        <w:pStyle w:val="Heading2"/>
      </w:pPr>
      <w:r>
        <w:t xml:space="preserve">3.3 Design (Perancangan Aman)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Threat modeling STRIDE</w:t>
      </w:r>
      <w:r>
        <w:t xml:space="preserve"> (§13 PRD): 12 ancaman diidentifikasi beserta mitigasinya (pencurian kunci, identitas palsu, kebocoran PII, pemalsuan surat, repudiation, replay/MITM, dst.).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Arsitektur aman:</w:t>
      </w:r>
      <w:r>
        <w:t xml:space="preserve"> autentikasi = kepemilikan kunci (perangkat menandatangani nonce server), bukan NIK/password; minimalisasi data (menyimpan nikCommitment/hash, bukan NIK mentah); RBAC 4 peran; kunci privat Kepala Desa tidak pernah berada di server; audit log append-only berantai-hash.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Pemisahan tugas &amp; model admin bertahap</w:t>
      </w:r>
      <w:r>
        <w:t xml:space="preserve"> (§5A PRD) sebagai akar kepercayaan.</w:t>
      </w:r>
    </w:p>
    <w:p>
      <w:pPr>
        <w:pStyle w:val="Heading2"/>
      </w:pPr>
      <w:r>
        <w:t xml:space="preserve">3.4 Implementation (Implementasi Aman)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TDD</w:t>
      </w:r>
      <w:r>
        <w:t xml:space="preserve"> sebagai jaring pengaman: test gagal → implementasi minimal → hijau → commit.</w:t>
      </w:r>
    </w:p>
    <w:p>
      <w:pPr>
        <w:pStyle w:val="ListParagraph"/>
        <w:numPr>
          <w:ilvl w:val="0"/>
          <w:numId w:val="2"/>
        </w:numPr>
      </w:pPr>
      <w:r>
        <w:t xml:space="preserve">Primitif kripto dari pustaka </w:t>
      </w:r>
      <w:r>
        <w:rPr>
          <w:b/>
          <w:bCs/>
        </w:rPr>
        <w:t xml:space="preserve">teraudit</w:t>
      </w:r>
      <w:r>
        <w:t xml:space="preserve"> (@noble/curves); tidak menggulung primitif sendiri; kripto Dart mengikuti format wire sama (kunci terkompresi 49 byte, tanda tangan compact 96 byte low-S).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separation</w:t>
      </w:r>
      <w:r>
        <w:t xml:space="preserve"> pada semua hashing (Merkle, Fiat-Shamir).</w:t>
      </w:r>
    </w:p>
    <w:p>
      <w:pPr>
        <w:pStyle w:val="ListParagraph"/>
        <w:numPr>
          <w:ilvl w:val="0"/>
          <w:numId w:val="2"/>
        </w:numPr>
      </w:pPr>
      <w:r>
        <w:t xml:space="preserve">Manajemen rahasia: .env dikecualikan dari version control; hanya .env.example yang di-commit.</w:t>
      </w:r>
    </w:p>
    <w:p>
      <w:pPr>
        <w:pStyle w:val="Heading2"/>
      </w:pPr>
      <w:r>
        <w:t xml:space="preserve">3.5 Verification (Verifikasi)</w:t>
      </w:r>
    </w:p>
    <w:p>
      <w:pPr>
        <w:pStyle w:val="ListParagraph"/>
        <w:numPr>
          <w:ilvl w:val="0"/>
          <w:numId w:val="2"/>
        </w:numPr>
      </w:pPr>
      <w:r>
        <w:t xml:space="preserve">± </w:t>
      </w:r>
      <w:r>
        <w:rPr>
          <w:b/>
          <w:bCs/>
        </w:rPr>
        <w:t xml:space="preserve">81 pengujian otomatis</w:t>
      </w:r>
      <w:r>
        <w:t xml:space="preserve"> (kripto 26, backend 48, mobile 15) — termasuk uji soundness/negatif yang membuktikan penolakan terhadap pemalsuan, replay, dan manipulasi.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Uji interop lintas-bahasa</w:t>
      </w:r>
      <w:r>
        <w:t xml:space="preserve">: tanda tangan aplikasi Flutter (Dart) diverifikasi backend (TypeScript) — memastikan kebenaran implementasi, bukan sekadar pemanggilan pustaka.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review antar-tugas</w:t>
      </w:r>
      <w:r>
        <w:t xml:space="preserve"> (pendekatan vibe coding: manusia me-review diff setiap tugas).</w:t>
      </w:r>
    </w:p>
    <w:p>
      <w:pPr>
        <w:pStyle w:val="Heading2"/>
      </w:pPr>
      <w:r>
        <w:t xml:space="preserve">3.6 Release (Rilis)</w:t>
      </w:r>
    </w:p>
    <w:p>
      <w:pPr>
        <w:pStyle w:val="ListParagraph"/>
        <w:numPr>
          <w:ilvl w:val="0"/>
          <w:numId w:val="2"/>
        </w:numPr>
      </w:pPr>
      <w:r>
        <w:t xml:space="preserve">Rahasia &amp; artefak besar dikecualikan dari repositori; disiplin migrasi basis data terkontrol (prisma migrate diff + deploy, non-interaktif).</w:t>
      </w:r>
    </w:p>
    <w:p>
      <w:pPr>
        <w:pStyle w:val="ListParagraph"/>
        <w:numPr>
          <w:ilvl w:val="0"/>
          <w:numId w:val="2"/>
        </w:numPr>
      </w:pPr>
      <w:r>
        <w:t xml:space="preserve">Menyusul: penerapan TLS pada deploy, integrasi PSrE/BSrE agar tanda tangan bernilai hukum penuh (UU ITE), serta pengerasan (rate limiting).</w:t>
      </w:r>
    </w:p>
    <w:p>
      <w:pPr>
        <w:pStyle w:val="Heading2"/>
      </w:pPr>
      <w:r>
        <w:t xml:space="preserve">3.7 Response (Respons)</w:t>
      </w:r>
    </w:p>
    <w:p>
      <w:pPr>
        <w:pStyle w:val="ListParagraph"/>
        <w:numPr>
          <w:ilvl w:val="0"/>
          <w:numId w:val="2"/>
        </w:numPr>
      </w:pPr>
      <w:r>
        <w:t xml:space="preserve">Audit log append-only berantai-hash menyediakan jejak tamper-evident untuk investigasi.</w:t>
      </w:r>
    </w:p>
    <w:p>
      <w:pPr>
        <w:pStyle w:val="ListParagraph"/>
        <w:numPr>
          <w:ilvl w:val="0"/>
          <w:numId w:val="2"/>
        </w:numPr>
      </w:pPr>
      <w:r>
        <w:t xml:space="preserve">Dirancang mekanisme rotasi &amp; revoke kunci Kepala Desa serta SOP + Berita Acara Serah Terima untuk tata kelola admin; implementasi menyusul.</w:t>
      </w:r>
    </w:p>
    <w:p>
      <w:pPr>
        <w:pStyle w:val="Heading1"/>
      </w:pPr>
      <w:r>
        <w:t xml:space="preserve">4. Pemetaan ke NIST SSDF (SP 800-218)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Praktik SSDF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Penerapan di SIDESA-CM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 — Prepare the Organization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Aturan project (CLAUDE.md), kepatuhan Kepka 443/2025, konvensi TDD &amp; commit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PS — Protect the Software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.env dikecualikan; integritas dijaga tanda tangan &amp; audit berantai-hash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PW.1 — desain aman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Threat model STRIDE + arsitektur (kepemilikan kunci, minimalisasi data)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PW.4 — komponen tepercaya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Pustaka kripto teraudit (@noble/curves); tidak menggulung primitif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PW.7 / PW.8 — review &amp; pengujian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Code review antar-tugas; 81 test termasuk uji negatif/soundness + interop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RV — Respond to Vulnerabilities</w:t>
            </w:r>
          </w:p>
        </w:tc>
        <w:tc>
          <w:tcPr>
            <w:tcW w:type="dxa" w:w="60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Audit log tamper-evident; desain rotasi/revoke kunci</w:t>
            </w:r>
          </w:p>
        </w:tc>
      </w:tr>
    </w:tbl>
    <w:p>
      <w:pPr>
        <w:pStyle w:val="Heading1"/>
      </w:pPr>
      <w:r>
        <w:t xml:space="preserve">5. Status Penerapan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3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Training, Requirements, Design, Implementation, Verification</w:t>
            </w:r>
          </w:p>
        </w:tc>
        <w:tc>
          <w:tcPr>
            <w:tcW w:type="dxa" w:w="3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Terpenuhi — inti SSDLC (khususnya Design &amp; Verification) sudah kuat</w:t>
            </w:r>
          </w:p>
        </w:tc>
      </w:tr>
      <w:tr>
        <w:tc>
          <w:tcPr>
            <w:tcW w:type="dxa" w:w="5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Release</w:t>
            </w:r>
          </w:p>
        </w:tc>
        <w:tc>
          <w:tcPr>
            <w:tcW w:type="dxa" w:w="3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Parsial — deploy TLS &amp; PSrE/BSrE menyusul</w:t>
            </w:r>
          </w:p>
        </w:tc>
      </w:tr>
      <w:tr>
        <w:tc>
          <w:tcPr>
            <w:tcW w:type="dxa" w:w="5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Response</w:t>
            </w:r>
          </w:p>
        </w:tc>
        <w:tc>
          <w:tcPr>
            <w:tcW w:type="dxa" w:w="3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Parsial — audit ada; implementasi rotasi kunci menyusul</w:t>
            </w:r>
          </w:p>
        </w:tc>
      </w:tr>
    </w:tbl>
    <w:p>
      <w:pPr>
        <w:pStyle w:val="Heading1"/>
      </w:pPr>
      <w:r>
        <w:t xml:space="preserve">6. Kesimpulan</w:t>
      </w:r>
    </w:p>
    <w:p>
      <w:r>
        <w:t xml:space="preserve">Pengembangan SIDESA-CM telah menerapkan Secure SDLC berbasis Microsoft SDL dan selaras dengan NIST SSDF. Kekuatan utama ada pada fase Design (pemodelan ancaman STRIDE + arsitektur aman) dan Verification (pengujian soundness/negatif yang membuktikan ketahanan kriptografi). Fase Release dan Response masih parsial dan menjadi pekerjaan lanjutan menuju penerapan produksi.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6"/>
        <w:szCs w:val="16"/>
      </w:rPr>
      <w:t xml:space="preserve">SSDLC — SIDESA-CM  |  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dari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/>
    </w:pPr>
    <w:rPr>
      <w:rFonts w:ascii="Arial" w:cs="Arial" w:eastAsia="Arial" w:hAnsi="Arial"/>
      <w:sz w:val="21"/>
      <w:szCs w:val="21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4A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Penerapan SSDLC pada SIDESA-CM</dc:title>
  <dc:creator>Tim ABDIMAS SIDESA-CM — Poltek SSN</dc:creator>
  <cp:lastModifiedBy>Un-named</cp:lastModifiedBy>
  <cp:revision>1</cp:revision>
  <dcterms:created xsi:type="dcterms:W3CDTF">2026-07-16T01:21:32.214Z</dcterms:created>
  <dcterms:modified xsi:type="dcterms:W3CDTF">2026-07-16T01:21:32.215Z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