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Desain: Reorientasi SIDESA-CM menjadi Layanan Janji Temu + Antrean Berbasis ZKP</w:t>
      </w:r>
    </w:p>
    <w:p>
      <w:pPr>
        <w:pStyle w:val="ListBullet"/>
      </w:pPr>
      <w:r>
        <w:rPr>
          <w:b/>
        </w:rPr>
        <w:t>Tanggal:</w:t>
      </w:r>
      <w:r>
        <w:t xml:space="preserve"> 2026-07-26</w:t>
      </w:r>
    </w:p>
    <w:p>
      <w:pPr>
        <w:pStyle w:val="ListBullet"/>
      </w:pPr>
      <w:r>
        <w:rPr>
          <w:b/>
        </w:rPr>
        <w:t>Status:</w:t>
      </w:r>
      <w:r>
        <w:t xml:space="preserve"> Disetujui pada tahap gambaran; menunggu tinjauan spec (dan validasi ke dosen pembimbing)</w:t>
      </w:r>
    </w:p>
    <w:p>
      <w:pPr>
        <w:pStyle w:val="ListBullet"/>
      </w:pPr>
      <w:r>
        <w:rPr>
          <w:b/>
        </w:rPr>
        <w:t>Pemicu:</w:t>
      </w:r>
      <w:r>
        <w:t xml:space="preserve"> Masukan dosen pembimbing agar implementasi kriptografi difokuskan pada </w:t>
      </w:r>
      <w:r>
        <w:rPr>
          <w:i/>
        </w:rPr>
        <w:t>zero-knowledge proof</w:t>
      </w:r>
      <w:r>
        <w:t xml:space="preserve"> (ZKP) dan tidak lagi menerapkan tanda tangan digital ECDSA.</w:t>
      </w:r>
    </w:p>
    <w:p>
      <w:pPr>
        <w:pStyle w:val="ListBullet"/>
      </w:pPr>
      <w:r>
        <w:rPr>
          <w:b/>
        </w:rPr>
        <w:t>Sifat perubahan:</w:t>
      </w:r>
      <w:r>
        <w:t xml:space="preserve"> Perubahan konsep produk yang besar, bukan penambahan fitur. Fitur penerbitan/penandatanganan surat digital dihapus; aplikasi menjadi layanan janji temu dan nomor antrean.</w:t>
      </w:r>
    </w:p>
    <w:p>
      <w:pPr>
        <w:pStyle w:val="Heading2"/>
      </w:pPr>
      <w:r>
        <w:t>1. Latar dan Motivasi</w:t>
      </w:r>
    </w:p>
    <w:p>
      <w:pPr>
        <w:jc w:val="both"/>
      </w:pPr>
      <w:r>
        <w:t>Versi terdahulu SIDESA-CM menerbitkan surat keterangan yang ditandatangani secara digital oleh Kepala</w:t>
      </w:r>
    </w:p>
    <w:p>
      <w:pPr>
        <w:jc w:val="both"/>
      </w:pPr>
      <w:r>
        <w:t>Desa (ECDSA P-384) beserta verifikasi kelayakan warga. Berdasarkan masukan dosen pembimbing, ruang</w:t>
      </w:r>
    </w:p>
    <w:p>
      <w:pPr>
        <w:jc w:val="both"/>
      </w:pPr>
      <w:r>
        <w:t xml:space="preserve">lingkup diarahkan ulang: penandatanganan dokumen resmi dikembalikan ke proses </w:t>
      </w:r>
      <w:r>
        <w:rPr>
          <w:b/>
        </w:rPr>
        <w:t>tatap muka langsung</w:t>
      </w:r>
      <w:r>
        <w:t>,</w:t>
      </w:r>
    </w:p>
    <w:p>
      <w:pPr>
        <w:jc w:val="both"/>
      </w:pPr>
      <w:r>
        <w:t>dan aplikasi tidak lagi memproduksi tanda tangan digital. Aplikasi berfokus menyelesaikan satu masalah</w:t>
      </w:r>
    </w:p>
    <w:p>
      <w:pPr>
        <w:jc w:val="both"/>
      </w:pPr>
      <w:r>
        <w:t xml:space="preserve">nyata warga, yaitu </w:t>
      </w:r>
      <w:r>
        <w:rPr>
          <w:b/>
        </w:rPr>
        <w:t>ketidakpastian waktu bertemu Kepala Desa</w:t>
      </w:r>
      <w:r>
        <w:t>: warga harus datang fisik tanpa</w:t>
      </w:r>
    </w:p>
    <w:p>
      <w:pPr>
        <w:jc w:val="both"/>
      </w:pPr>
      <w:r>
        <w:t xml:space="preserve">kepastian giliran. Aplikasi menyediakan </w:t>
      </w:r>
      <w:r>
        <w:rPr>
          <w:b/>
        </w:rPr>
        <w:t>janji temu terjadwal dan nomor antrean</w:t>
      </w:r>
      <w:r>
        <w:t>, dengan model rujukan</w:t>
      </w:r>
    </w:p>
    <w:p>
      <w:pPr>
        <w:jc w:val="both"/>
      </w:pPr>
      <w:r>
        <w:t>fitur Antrean pada aplikasi Mobile JKN.</w:t>
      </w:r>
    </w:p>
    <w:p>
      <w:pPr>
        <w:jc w:val="both"/>
      </w:pPr>
      <w:r>
        <w:t>Konsekuensinya, satu-satunya inti kriptografi yang tersisa adalah **verifikasi kelayakan yang menjaga</w:t>
      </w:r>
    </w:p>
    <w:p>
      <w:pPr>
        <w:jc w:val="both"/>
      </w:pPr>
      <w:r>
        <w:t>privasi**: sebelum warga memesan antrean, ia membuktikan dirinya penduduk terdaftar yang berhak, tanpa</w:t>
      </w:r>
    </w:p>
    <w:p>
      <w:pPr>
        <w:jc w:val="both"/>
      </w:pPr>
      <w:r>
        <w:t>mengungkap NIK. Ini justru lebih selaras dengan ZKP dibandingkan aplikasi surat sebelumnya, dan sejalan</w:t>
      </w:r>
    </w:p>
    <w:p>
      <w:pPr>
        <w:jc w:val="both"/>
      </w:pPr>
      <w:r>
        <w:t>dengan kajian pustaka sistematis penulis mengenai ZKP untuk verifikasi kelayakan di e-government.</w:t>
      </w:r>
    </w:p>
    <w:p>
      <w:pPr>
        <w:pStyle w:val="Heading3"/>
      </w:pPr>
      <w:r>
        <w:t>1.1 Ironi metodologis yang menguntungkan</w:t>
      </w:r>
    </w:p>
    <w:p>
      <w:pPr>
        <w:jc w:val="both"/>
      </w:pPr>
      <w:r>
        <w:t>Pada Fase B, proyek sengaja bermigrasi dari protokol Schnorr ke tanda tangan ECDSA karena kunci berbasis</w:t>
      </w:r>
    </w:p>
    <w:p>
      <w:pPr>
        <w:jc w:val="both"/>
      </w:pPr>
      <w:r>
        <w:t>perangkat keras (Android Keystore/StrongBox) hanya mengekspos operasi ECDSA dan tidak memberikan akses</w:t>
      </w:r>
    </w:p>
    <w:p>
      <w:pPr>
        <w:jc w:val="both"/>
      </w:pPr>
      <w:r>
        <w:t>skalar privat. Karena kini tidak ada penandatanganan dokumen sama sekali, kebutuhan kunci berbasis</w:t>
      </w:r>
    </w:p>
    <w:p>
      <w:pPr>
        <w:jc w:val="both"/>
      </w:pPr>
      <w:r>
        <w:t xml:space="preserve">perangkat keras hilang, sehingga </w:t>
      </w:r>
      <w:r>
        <w:rPr>
          <w:b/>
        </w:rPr>
        <w:t>kendala yang dahulu memaksa migrasi ke ECDSA lenyap</w:t>
      </w:r>
      <w:r>
        <w:t xml:space="preserve"> dan ZKP Schnorr</w:t>
      </w:r>
    </w:p>
    <w:p>
      <w:pPr>
        <w:jc w:val="both"/>
      </w:pPr>
      <w:r>
        <w:t>sejati kembali layak diterapkan. Penghapusan fitur tanda tangan justru membuka kembali ruang desain</w:t>
      </w:r>
    </w:p>
    <w:p>
      <w:pPr>
        <w:jc w:val="both"/>
      </w:pPr>
      <w:r>
        <w:t>kriptografis.</w:t>
      </w:r>
    </w:p>
    <w:p>
      <w:pPr>
        <w:pStyle w:val="Heading2"/>
      </w:pPr>
      <w:r>
        <w:t>2. Ruang Lingkup</w:t>
      </w:r>
    </w:p>
    <w:p>
      <w:pPr>
        <w:pStyle w:val="Heading3"/>
      </w:pPr>
      <w:r>
        <w:t>2.1 Keputusan yang mengikat (hasil brainstorming)</w:t>
      </w:r>
    </w:p>
    <w:p>
      <w:pPr>
        <w:pStyle w:val="ListNumber"/>
      </w:pPr>
      <w:r>
        <w:t xml:space="preserve">Aplikasi </w:t>
      </w:r>
      <w:r>
        <w:rPr>
          <w:b/>
        </w:rPr>
        <w:t>tidak</w:t>
      </w:r>
      <w:r>
        <w:t xml:space="preserve"> memproduksi tanda tangan digital. Penandatanganan dokumen dilakukan tatap muka.</w:t>
      </w:r>
    </w:p>
    <w:p>
      <w:pPr>
        <w:pStyle w:val="ListNumber"/>
      </w:pPr>
      <w:r>
        <w:t xml:space="preserve">Inti kripto adalah </w:t>
      </w:r>
      <w:r>
        <w:rPr>
          <w:b/>
        </w:rPr>
        <w:t>ZKP untuk kelayakan</w:t>
      </w:r>
      <w:r>
        <w:t>, dengan target privasi **"NIK-privat, tetap</w:t>
      </w:r>
    </w:p>
    <w:p>
      <w:pPr>
        <w:jc w:val="both"/>
      </w:pPr>
      <w:r>
        <w:t>teridentifikasi"**: warga membuktikan kelayakan tanpa mengirim NIK, tetapi memesan dengan akun yang</w:t>
      </w:r>
    </w:p>
    <w:p>
      <w:pPr>
        <w:jc w:val="both"/>
      </w:pPr>
      <w:r>
        <w:t>dikenali kantor desa (bukan anonim penuh).</w:t>
      </w:r>
    </w:p>
    <w:p>
      <w:pPr>
        <w:pStyle w:val="ListNumber"/>
      </w:pPr>
      <w:r>
        <w:rPr>
          <w:b/>
        </w:rPr>
        <w:t>Autentikasi dan pendaftaran perangkat (enrolment) juga memakai ZKP Schnorr</w:t>
      </w:r>
      <w:r>
        <w:t>, sehingga seluruh</w:t>
      </w:r>
    </w:p>
    <w:p>
      <w:pPr>
        <w:jc w:val="both"/>
      </w:pPr>
      <w:r>
        <w:t xml:space="preserve">lapisan kripto memakai satu primitif dan </w:t>
      </w:r>
      <w:r>
        <w:rPr>
          <w:b/>
        </w:rPr>
        <w:t>tidak ada ECDSA sama sekali</w:t>
      </w:r>
      <w:r>
        <w:t>.</w:t>
      </w:r>
    </w:p>
    <w:p>
      <w:pPr>
        <w:pStyle w:val="ListNumber"/>
      </w:pPr>
      <w:r>
        <w:t xml:space="preserve">Konstruksi ZKP yang dipilih: </w:t>
      </w:r>
      <w:r>
        <w:rPr>
          <w:b/>
        </w:rPr>
        <w:t>bukti-pengetahuan Schnorr (NIZK Fiat-Shamir) + keanggotaan Merkle</w:t>
      </w:r>
      <w:r>
        <w:t>,</w:t>
      </w:r>
    </w:p>
    <w:p>
      <w:pPr>
        <w:jc w:val="both"/>
      </w:pPr>
      <w:r>
        <w:t>bukan anonymous credential (BBS+/CL) maupun zk-SNARK, demi proporsionalitas dan dukungan lintas</w:t>
      </w:r>
    </w:p>
    <w:p>
      <w:pPr>
        <w:jc w:val="both"/>
      </w:pPr>
      <w:r>
        <w:t>platform (TypeScript dan Dart).</w:t>
      </w:r>
    </w:p>
    <w:p>
      <w:pPr>
        <w:pStyle w:val="Heading3"/>
      </w:pPr>
      <w:r>
        <w:t>2.2 Di luar cakupan (dihapus dari produk)</w:t>
      </w:r>
    </w:p>
    <w:p>
      <w:pPr>
        <w:jc w:val="both"/>
      </w:pPr>
      <w:r>
        <w:t>Penerbitan surat; siklus surat (SUBMITTED/DRAFTED/SIGNED/REJECTED); penandatanganan surat oleh Kepala</w:t>
      </w:r>
    </w:p>
    <w:p>
      <w:pPr>
        <w:jc w:val="both"/>
      </w:pPr>
      <w:r>
        <w:t>Desa; render PDF dan kode QR; halaman verifikasi publik surat; tanda tangan akar registri oleh Kepala</w:t>
      </w:r>
    </w:p>
    <w:p>
      <w:pPr>
        <w:jc w:val="both"/>
      </w:pPr>
      <w:r>
        <w:t>Desa; kunci identitas berbasis perangkat keras dan gerbang biometrik pada operasi kriptografis; seluruh</w:t>
      </w:r>
    </w:p>
    <w:p>
      <w:pPr>
        <w:jc w:val="both"/>
      </w:pPr>
      <w:r>
        <w:t>pustaka ECDSA (</w:t>
      </w:r>
      <w:r>
        <w:rPr>
          <w:rFonts w:ascii="Consolas" w:hAnsi="Consolas"/>
          <w:color w:val="B03060"/>
          <w:sz w:val="19"/>
        </w:rPr>
        <w:t>ecdsa.ts</w:t>
      </w:r>
      <w:r>
        <w:t xml:space="preserve"> pada TypeScript dan Dart).</w:t>
      </w:r>
    </w:p>
    <w:p>
      <w:pPr>
        <w:pStyle w:val="Heading2"/>
      </w:pPr>
      <w:r>
        <w:t>3. Arsitektur</w:t>
      </w:r>
    </w:p>
    <w:p>
      <w:pPr>
        <w:jc w:val="both"/>
      </w:pPr>
      <w:r>
        <w:t>Monorepo tetap tiga paket: pustaka kriptografi TypeScript (</w:t>
      </w:r>
      <w:r>
        <w:rPr>
          <w:rFonts w:ascii="Consolas" w:hAnsi="Consolas"/>
          <w:color w:val="B03060"/>
          <w:sz w:val="19"/>
        </w:rPr>
        <w:t>@sidesa/crypto</w:t>
      </w:r>
      <w:r>
        <w:t>), peladen NestJS +</w:t>
      </w:r>
    </w:p>
    <w:p>
      <w:pPr>
        <w:jc w:val="both"/>
      </w:pPr>
      <w:r>
        <w:t>PostgreSQL, aplikasi Flutter. Peran tetap empat: WARGA, OPERATOR, KADES, ADMIN, ditegakkan melalui</w:t>
      </w:r>
    </w:p>
    <w:p>
      <w:pPr>
        <w:jc w:val="both"/>
      </w:pPr>
      <w:r>
        <w:t>kendali akses berbasis peran. Perbedaan utama: Kepala Desa tidak lagi memegang kunci privat untuk</w:t>
      </w:r>
    </w:p>
    <w:p>
      <w:pPr>
        <w:jc w:val="both"/>
      </w:pPr>
      <w:r>
        <w:t>menandatangani apa pun; perannya menjadi pemilik agenda pertemuan.</w:t>
      </w:r>
    </w:p>
    <w:p>
      <w:pPr>
        <w:pStyle w:val="Heading2"/>
      </w:pPr>
      <w:r>
        <w:t>4. Rancangan Kriptografi</w:t>
      </w:r>
    </w:p>
    <w:p>
      <w:pPr>
        <w:pStyle w:val="Heading3"/>
      </w:pPr>
      <w:r>
        <w:t>4.1 Satu primitif: bukti-pengetahuan Schnorr</w:t>
      </w:r>
    </w:p>
    <w:p>
      <w:pPr>
        <w:jc w:val="both"/>
      </w:pPr>
      <w:r>
        <w:t>Seluruh operasi kripto adalah bukti-pengetahuan Schnorr non-interaktif (NIZK melalui transformasi</w:t>
      </w:r>
    </w:p>
    <w:p>
      <w:pPr>
        <w:jc w:val="both"/>
      </w:pPr>
      <w:r>
        <w:t>Fiat-Shamir) bahwa perangkat menguasai skalar rahasia x untuk kunci publiknya X = x· G, di atas</w:t>
      </w:r>
    </w:p>
    <w:p>
      <w:pPr>
        <w:jc w:val="both"/>
      </w:pPr>
      <w:r>
        <w:t xml:space="preserve">kurva P-384 dengan tantangan diturunkan lewat SHA-384 berdomain. Primitif ini </w:t>
      </w:r>
      <w:r>
        <w:rPr>
          <w:b/>
        </w:rPr>
        <w:t>sudah ada dan teruji</w:t>
      </w:r>
    </w:p>
    <w:p>
      <w:pPr>
        <w:jc w:val="both"/>
      </w:pPr>
      <w:r>
        <w:t xml:space="preserve">pada </w:t>
      </w:r>
      <w:r>
        <w:rPr>
          <w:rFonts w:ascii="Consolas" w:hAnsi="Consolas"/>
          <w:color w:val="B03060"/>
          <w:sz w:val="19"/>
        </w:rPr>
        <w:t>packages/crypto/src/schnorr.ts</w:t>
      </w:r>
      <w:r>
        <w:t>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proveKnowledge(secret, publicKey, context) -&gt; { R, s }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verifyKnowledge(publicKey, proof, context) -&gt; boolean</w:t>
      </w:r>
    </w:p>
    <w:p>
      <w:pPr>
        <w:jc w:val="both"/>
      </w:pPr>
      <w:r>
        <w:t xml:space="preserve">dengan </w:t>
      </w:r>
      <w:r>
        <w:rPr>
          <w:rFonts w:ascii="Consolas" w:hAnsi="Consolas"/>
          <w:color w:val="B03060"/>
          <w:sz w:val="19"/>
        </w:rPr>
        <w:t>context</w:t>
      </w:r>
      <w:r>
        <w:t xml:space="preserve"> sebuah untai bita yang mengikat bukti pada satu kegunaan dan satu permohonan. Domain</w:t>
      </w:r>
    </w:p>
    <w:p>
      <w:pPr>
        <w:jc w:val="both"/>
      </w:pPr>
      <w:r>
        <w:t xml:space="preserve">tantangan internal adalah </w:t>
      </w:r>
      <w:r>
        <w:rPr>
          <w:rFonts w:ascii="Consolas" w:hAnsi="Consolas"/>
          <w:color w:val="B03060"/>
          <w:sz w:val="19"/>
        </w:rPr>
        <w:t>SIDESA-schnorr-v1</w:t>
      </w:r>
      <w:r>
        <w:t xml:space="preserve">. Migrasi Fase B hanya menghentikan </w:t>
      </w:r>
      <w:r>
        <w:rPr>
          <w:i/>
        </w:rPr>
        <w:t>penggunaannya</w:t>
      </w:r>
      <w:r>
        <w:t>, bukan</w:t>
      </w:r>
    </w:p>
    <w:p>
      <w:pPr>
        <w:jc w:val="both"/>
      </w:pPr>
      <w:r>
        <w:t>menghapus modul dan pengujiannya; pekerjaan ini menghidupkannya kembali dan memperluasnya ke tiga</w:t>
      </w:r>
    </w:p>
    <w:p>
      <w:pPr>
        <w:jc w:val="both"/>
      </w:pPr>
      <w:r>
        <w:t>gerbang.</w:t>
      </w:r>
    </w:p>
    <w:p>
      <w:pPr>
        <w:pStyle w:val="Heading3"/>
      </w:pPr>
      <w:r>
        <w:t>4.2 Tiga gerbang, konteks berbeda</w:t>
      </w:r>
    </w:p>
    <w:p>
      <w:pPr>
        <w:jc w:val="both"/>
      </w:pPr>
      <w:r>
        <w:rPr>
          <w:b/>
        </w:rPr>
        <w:t>Gerbang 1 — Autentikasi (login).</w:t>
      </w:r>
    </w:p>
    <w:p>
      <w:pPr>
        <w:pStyle w:val="ListNumber"/>
      </w:pPr>
      <w:r>
        <w:t xml:space="preserve">Peladen menerbitkan </w:t>
      </w:r>
      <w:r>
        <w:rPr>
          <w:rFonts w:ascii="Consolas" w:hAnsi="Consolas"/>
          <w:color w:val="B03060"/>
          <w:sz w:val="19"/>
        </w:rPr>
        <w:t>nonce</w:t>
      </w:r>
      <w:r>
        <w:t xml:space="preserve"> sekali pakai.</w:t>
      </w:r>
    </w:p>
    <w:p>
      <w:pPr>
        <w:pStyle w:val="ListNumber"/>
      </w:pPr>
      <w:r>
        <w:t xml:space="preserve">Perangkat menghasilkan bukti Schnorr atas konteks </w:t>
      </w:r>
      <w:r>
        <w:rPr>
          <w:rFonts w:ascii="Consolas" w:hAnsi="Consolas"/>
          <w:color w:val="B03060"/>
          <w:sz w:val="19"/>
        </w:rPr>
        <w:t>SIDESA-auth-v1|&lt;accountId&gt;|&lt;nonce&gt;</w:t>
      </w:r>
      <w:r>
        <w:t>.</w:t>
      </w:r>
    </w:p>
    <w:p>
      <w:pPr>
        <w:pStyle w:val="ListNumber"/>
      </w:pPr>
      <w:r>
        <w:t xml:space="preserve">Peladen memanggil </w:t>
      </w:r>
      <w:r>
        <w:rPr>
          <w:rFonts w:ascii="Consolas" w:hAnsi="Consolas"/>
          <w:color w:val="B03060"/>
          <w:sz w:val="19"/>
        </w:rPr>
        <w:t>verifyKnowledge(X, bukti, konteks)</w:t>
      </w:r>
      <w:r>
        <w:t xml:space="preserve"> terhadap X terdaftar, menandai </w:t>
      </w:r>
      <w:r>
        <w:rPr>
          <w:rFonts w:ascii="Consolas" w:hAnsi="Consolas"/>
          <w:color w:val="B03060"/>
          <w:sz w:val="19"/>
        </w:rPr>
        <w:t>nonce</w:t>
      </w:r>
    </w:p>
    <w:p>
      <w:pPr>
        <w:jc w:val="both"/>
      </w:pPr>
      <w:r>
        <w:t>terpakai, lalu menerbitkan token sesi.</w:t>
      </w:r>
    </w:p>
    <w:p>
      <w:pPr>
        <w:jc w:val="both"/>
      </w:pPr>
      <w:r>
        <w:t xml:space="preserve">Menggantikan tanda tangan ECDSA atas nonce. Membuktikan penguasaan kunci tanpa membuka x; </w:t>
      </w:r>
      <w:r>
        <w:rPr>
          <w:rFonts w:ascii="Consolas" w:hAnsi="Consolas"/>
          <w:color w:val="B03060"/>
          <w:sz w:val="19"/>
        </w:rPr>
        <w:t>nonce</w:t>
      </w:r>
    </w:p>
    <w:p>
      <w:pPr>
        <w:jc w:val="both"/>
      </w:pPr>
      <w:r>
        <w:t>mencegah pemutaran ulang.</w:t>
      </w:r>
    </w:p>
    <w:p>
      <w:pPr>
        <w:jc w:val="both"/>
      </w:pPr>
      <w:r>
        <w:rPr>
          <w:b/>
        </w:rPr>
        <w:t>Gerbang 2 — Pendaftaran perangkat (enrolment).</w:t>
      </w:r>
    </w:p>
    <w:p>
      <w:pPr>
        <w:pStyle w:val="ListNumber"/>
      </w:pPr>
      <w:r>
        <w:t>Operator memverifikasi kartu identitas secara fisik, lalu menerbitkan kode sekali pakai (identitas</w:t>
      </w:r>
    </w:p>
    <w:p>
      <w:pPr>
        <w:jc w:val="both"/>
      </w:pPr>
      <w:r>
        <w:t>hasil pemeriksaan melekat pada kode).</w:t>
      </w:r>
    </w:p>
    <w:p>
      <w:pPr>
        <w:pStyle w:val="ListNumber"/>
      </w:pPr>
      <w:r>
        <w:t xml:space="preserve">Perangkat mengklaim dengan bukti Schnorr atas konteks </w:t>
      </w:r>
      <w:r>
        <w:rPr>
          <w:rFonts w:ascii="Consolas" w:hAnsi="Consolas"/>
          <w:color w:val="B03060"/>
          <w:sz w:val="19"/>
        </w:rPr>
        <w:t>SIDESA-enroll-v1|&lt;kode&gt;|&lt;Xhex&gt;</w:t>
      </w:r>
      <w:r>
        <w:t>.</w:t>
      </w:r>
    </w:p>
    <w:p>
      <w:pPr>
        <w:pStyle w:val="ListNumber"/>
      </w:pPr>
      <w:r>
        <w:t>Peladen memverifikasi bukti terhadap X yang diajukan, mengikat akun ke X, dan membuat daun</w:t>
      </w:r>
    </w:p>
    <w:p>
      <w:pPr>
        <w:jc w:val="both"/>
      </w:pPr>
      <w:r>
        <w:t xml:space="preserve">registri </w:t>
      </w:r>
      <w:r>
        <w:rPr>
          <w:rFonts w:ascii="Consolas" w:hAnsi="Consolas"/>
          <w:color w:val="B03060"/>
          <w:sz w:val="19"/>
        </w:rPr>
        <w:t>leaf = H_d(resident-leaf, X ‖ A)</w:t>
      </w:r>
      <w:r>
        <w:t xml:space="preserve"> dengan A atribut kelayakan.</w:t>
      </w:r>
    </w:p>
    <w:p>
      <w:pPr>
        <w:jc w:val="both"/>
      </w:pPr>
      <w:r>
        <w:t>Menggantikan tanda tangan ECDSA atas pasangan (kode, kunci). Tetap menutup serangan pendaftaran kunci</w:t>
      </w:r>
    </w:p>
    <w:p>
      <w:pPr>
        <w:jc w:val="both"/>
      </w:pPr>
      <w:r>
        <w:t>milik orang lain: tanpa x, bukti tak dapat dibentuk untuk X yang diajukan.</w:t>
      </w:r>
    </w:p>
    <w:p>
      <w:pPr>
        <w:jc w:val="both"/>
      </w:pPr>
      <w:r>
        <w:rPr>
          <w:b/>
        </w:rPr>
        <w:t>Gerbang 3 — Kelayakan (saat memesan antrean).</w:t>
      </w:r>
    </w:p>
    <w:p>
      <w:pPr>
        <w:jc w:val="both"/>
      </w:pPr>
      <w:r>
        <w:t>Bukti kelayakan π = (X, A, mp, schnorr) terhadap akar registri R (dipelihara peladen) dan</w:t>
      </w:r>
    </w:p>
    <w:p>
      <w:pPr>
        <w:jc w:val="both"/>
      </w:pPr>
      <w:r>
        <w:t xml:space="preserve">konteks </w:t>
      </w:r>
      <w:r>
        <w:rPr>
          <w:rFonts w:ascii="Consolas" w:hAnsi="Consolas"/>
          <w:color w:val="B03060"/>
          <w:sz w:val="19"/>
        </w:rPr>
        <w:t>SIDESA-eligibility-v1|&lt;accountId&gt;|&lt;serviceType&gt;|&lt;nonce&gt;</w:t>
      </w:r>
      <w:r>
        <w:t>:</w:t>
      </w:r>
    </w:p>
    <w:p>
      <w:pPr>
        <w:pStyle w:val="ListNumber"/>
      </w:pPr>
      <w:r>
        <w:t xml:space="preserve">hitung </w:t>
      </w:r>
      <w:r>
        <w:rPr>
          <w:rFonts w:ascii="Consolas" w:hAnsi="Consolas"/>
          <w:color w:val="B03060"/>
          <w:sz w:val="19"/>
        </w:rPr>
        <w:t>leaf = H_d(resident-leaf, X ‖ A)</w:t>
      </w:r>
      <w:r>
        <w:t>;</w:t>
      </w:r>
    </w:p>
    <w:p>
      <w:pPr>
        <w:pStyle w:val="ListNumber"/>
      </w:pPr>
      <w:r>
        <w:t xml:space="preserve">terima hanya jika </w:t>
      </w:r>
      <w:r>
        <w:rPr>
          <w:rFonts w:ascii="Consolas" w:hAnsi="Consolas"/>
          <w:color w:val="B03060"/>
          <w:sz w:val="19"/>
        </w:rPr>
        <w:t>mp</w:t>
      </w:r>
      <w:r>
        <w:t xml:space="preserve"> memverifikasi </w:t>
      </w:r>
      <w:r>
        <w:rPr>
          <w:rFonts w:ascii="Consolas" w:hAnsi="Consolas"/>
          <w:color w:val="B03060"/>
          <w:sz w:val="19"/>
        </w:rPr>
        <w:t>leaf</w:t>
      </w:r>
      <w:r>
        <w:t xml:space="preserve"> terhadap R;</w:t>
      </w:r>
    </w:p>
    <w:p>
      <w:pPr>
        <w:pStyle w:val="ListNumber"/>
      </w:pPr>
      <w:r>
        <w:t>terima hanya jika bukti Schnorr sah atas konteks oleh X;</w:t>
      </w:r>
    </w:p>
    <w:p>
      <w:pPr>
        <w:pStyle w:val="ListNumber"/>
      </w:pPr>
      <w:r>
        <w:t xml:space="preserve">tolak bila </w:t>
      </w:r>
      <w:r>
        <w:rPr>
          <w:rFonts w:ascii="Consolas" w:hAnsi="Consolas"/>
          <w:color w:val="B03060"/>
          <w:sz w:val="19"/>
        </w:rPr>
        <w:t>nonce</w:t>
      </w:r>
      <w:r>
        <w:t xml:space="preserve"> telah terpakai (anti-replay).</w:t>
      </w:r>
    </w:p>
    <w:p>
      <w:pPr>
        <w:jc w:val="both"/>
      </w:pPr>
      <w:r>
        <w:t xml:space="preserve">Yang terungkap hanya X dan atribut kasar A; </w:t>
      </w:r>
      <w:r>
        <w:rPr>
          <w:b/>
        </w:rPr>
        <w:t>NIK tidak pernah menjadi bagian dari bukti</w:t>
      </w:r>
      <w:r>
        <w:t>.</w:t>
      </w:r>
    </w:p>
    <w:p>
      <w:pPr>
        <w:pStyle w:val="Heading3"/>
      </w:pPr>
      <w:r>
        <w:t>4.3 Registri penduduk</w:t>
      </w:r>
    </w:p>
    <w:p>
      <w:pPr>
        <w:jc w:val="both"/>
      </w:pPr>
      <w:r>
        <w:t xml:space="preserve">Registri adalah pohon Merkle dari daun </w:t>
      </w:r>
      <w:r>
        <w:rPr>
          <w:rFonts w:ascii="Consolas" w:hAnsi="Consolas"/>
          <w:color w:val="B03060"/>
          <w:sz w:val="19"/>
        </w:rPr>
        <w:t>H_d(resident-leaf, X ‖ A)</w:t>
      </w:r>
      <w:r>
        <w:t>, dengan penandaan ranah</w:t>
      </w:r>
    </w:p>
    <w:p>
      <w:pPr>
        <w:jc w:val="both"/>
      </w:pPr>
      <w:r>
        <w:t>daun/simpul untuk ketahanan pra-citra kedua. Berbeda dari versi lama, **akar tidak perlu ditandatangani</w:t>
      </w:r>
    </w:p>
    <w:p>
      <w:pPr>
        <w:jc w:val="both"/>
      </w:pPr>
      <w:r>
        <w:t>Kepala Desa**: tidak ada lagi pemverifikasi publik luring yang harus mempercayai akar secara mandiri;</w:t>
      </w:r>
    </w:p>
    <w:p>
      <w:pPr>
        <w:jc w:val="both"/>
      </w:pPr>
      <w:r>
        <w:t>kelayakan diverifikasi peladen pada saat pemesanan, sehingga peladen cukup menjadi pemelihara registri</w:t>
      </w:r>
    </w:p>
    <w:p>
      <w:pPr>
        <w:jc w:val="both"/>
      </w:pPr>
      <w:r>
        <w:t>berwenang. Pemutakhiran registri (penambahan/pencabutan penduduk) adalah aksi ber-otorisasi peran</w:t>
      </w:r>
    </w:p>
    <w:p>
      <w:pPr>
        <w:jc w:val="both"/>
      </w:pPr>
      <w:r>
        <w:t>OPERATOR/ADMIN yang dicatat pada log audit.</w:t>
      </w:r>
    </w:p>
    <w:p>
      <w:pPr>
        <w:pStyle w:val="Heading3"/>
      </w:pPr>
      <w:r>
        <w:t>4.4 Minimalisasi data dan privasi NIK</w:t>
      </w:r>
    </w:p>
    <w:p>
      <w:pPr>
        <w:jc w:val="both"/>
      </w:pPr>
      <w:r>
        <w:t xml:space="preserve">NIK diverifikasi </w:t>
      </w:r>
      <w:r>
        <w:rPr>
          <w:b/>
        </w:rPr>
        <w:t>secara fisik</w:t>
      </w:r>
      <w:r>
        <w:t xml:space="preserve"> saat enrolment (petugas melihat kartu identitas) dan **tidak pernah</w:t>
      </w:r>
    </w:p>
    <w:p>
      <w:pPr>
        <w:jc w:val="both"/>
      </w:pPr>
      <w:r>
        <w:t xml:space="preserve">didigitalkan** dalam bukti apa pun. Peladen menyimpan hanya </w:t>
      </w:r>
      <w:r>
        <w:rPr>
          <w:rFonts w:ascii="Consolas" w:hAnsi="Consolas"/>
          <w:color w:val="B03060"/>
          <w:sz w:val="19"/>
        </w:rPr>
        <w:t>nikCommitment</w:t>
      </w:r>
      <w:r>
        <w:t xml:space="preserve"> (nilai hash) untuk keperluan</w:t>
      </w:r>
    </w:p>
    <w:p>
      <w:pPr>
        <w:jc w:val="both"/>
      </w:pPr>
      <w:r>
        <w:t>audit dan pencegahan pendaftaran ganda, tidak untuk verifikasi kelayakan. Dengan demikian basis data</w:t>
      </w:r>
    </w:p>
    <w:p>
      <w:pPr>
        <w:jc w:val="both"/>
      </w:pPr>
      <w:r>
        <w:t>tidak pernah memuat NIK mentah (UU PDP).</w:t>
      </w:r>
    </w:p>
    <w:p>
      <w:pPr>
        <w:pStyle w:val="Heading3"/>
      </w:pPr>
      <w:r>
        <w:t>4.5 Format wire dan pemisahan domain</w:t>
      </w:r>
    </w:p>
    <w:p>
      <w:pPr>
        <w:jc w:val="both"/>
      </w:pPr>
      <w:r>
        <w:t>Kunci publik X direpresentasikan terkompresi 49 bita. Bukti Schnorr terdiri atas titik komitmen</w:t>
      </w:r>
    </w:p>
    <w:p>
      <w:pPr>
        <w:jc w:val="both"/>
      </w:pPr>
      <w:r>
        <w:t>terkompresi R (49 bita) dan skalar respons s (48 bita). Seluruh pencernaan hash memakai pemisahan</w:t>
      </w:r>
    </w:p>
    <w:p>
      <w:pPr>
        <w:jc w:val="both"/>
      </w:pPr>
      <w:r>
        <w:t>domain: masukan biner diberi awalan panjang 32-bit big-endian sebelum dirangkai; konteks berbasis untai</w:t>
      </w:r>
    </w:p>
    <w:p>
      <w:pPr>
        <w:jc w:val="both"/>
      </w:pPr>
      <w:r>
        <w:t>memakai penanda ranah berpembatas (</w:t>
      </w:r>
      <w:r>
        <w:rPr>
          <w:rFonts w:ascii="Consolas" w:hAnsi="Consolas"/>
          <w:color w:val="B03060"/>
          <w:sz w:val="19"/>
        </w:rPr>
        <w:t>SIDESA-*-v1|...</w:t>
      </w:r>
      <w:r>
        <w:t>).</w:t>
      </w:r>
    </w:p>
    <w:p>
      <w:pPr>
        <w:pStyle w:val="Heading3"/>
      </w:pPr>
      <w:r>
        <w:t>4.6 Keterbatasan yang harus dinyatakan: kunci tidak lagi berbasis perangkat keras</w:t>
      </w:r>
    </w:p>
    <w:p>
      <w:pPr>
        <w:jc w:val="both"/>
      </w:pPr>
      <w:r>
        <w:t>Schnorr memerlukan akses langsung ke skalar x untuk menghitung s = k + c· x. Android</w:t>
      </w:r>
    </w:p>
    <w:p>
      <w:pPr>
        <w:jc w:val="both"/>
      </w:pPr>
      <w:r>
        <w:t>Keystore/StrongBox tidak pernah mengekspos skalar tersebut, sehingga kunci identitas kini disimpan pada</w:t>
      </w:r>
    </w:p>
    <w:p>
      <w:pPr>
        <w:jc w:val="both"/>
      </w:pPr>
      <w:r>
        <w:t>penyimpanan yang dapat diakses aplikasi (</w:t>
      </w:r>
      <w:r>
        <w:rPr>
          <w:rFonts w:ascii="Consolas" w:hAnsi="Consolas"/>
          <w:color w:val="B03060"/>
          <w:sz w:val="19"/>
        </w:rPr>
        <w:t>flutter_secure_storage</w:t>
      </w:r>
      <w:r>
        <w:t>, boleh dibungkus Keystore namun tetap</w:t>
      </w:r>
    </w:p>
    <w:p>
      <w:pPr>
        <w:jc w:val="both"/>
      </w:pPr>
      <w:r>
        <w:t xml:space="preserve">dapat digunakan perangkat lunak), </w:t>
      </w:r>
      <w:r>
        <w:rPr>
          <w:b/>
        </w:rPr>
        <w:t>bukan</w:t>
      </w:r>
      <w:r>
        <w:t xml:space="preserve"> terisolasi pada StrongBox dengan gerbang biometrik pada</w:t>
      </w:r>
    </w:p>
    <w:p>
      <w:pPr>
        <w:jc w:val="both"/>
      </w:pPr>
      <w:r>
        <w:t>operasi kriptografis. Biometrik tetap dapat mengunci akses aplikasi, tetapi kunci identitas tidak lagi</w:t>
      </w:r>
    </w:p>
    <w:p>
      <w:pPr>
        <w:jc w:val="both"/>
      </w:pPr>
      <w:r>
        <w:t>terkurung perangkat keras. Untuk aplikasi antrean tanpa penandatanganan dokumen, model ancamannya lebih</w:t>
      </w:r>
    </w:p>
    <w:p>
      <w:pPr>
        <w:jc w:val="both"/>
      </w:pPr>
      <w:r>
        <w:t>rendah: kunci yang dicuri hanya memungkinkan pemesanan antrean atas nama korban, bukan pemalsuan dokumen</w:t>
      </w:r>
    </w:p>
    <w:p>
      <w:pPr>
        <w:jc w:val="both"/>
      </w:pPr>
      <w:r>
        <w:t>resmi. Trade-off ini wajar tetapi wajib dilaporkan sebagai keterbatasan.</w:t>
      </w:r>
    </w:p>
    <w:p>
      <w:pPr>
        <w:pStyle w:val="Heading2"/>
      </w:pPr>
      <w:r>
        <w:t>5. Fitur Produk</w:t>
      </w:r>
    </w:p>
    <w:p>
      <w:pPr>
        <w:pStyle w:val="Heading3"/>
      </w:pPr>
      <w:r>
        <w:t>5.1 Warga</w:t>
      </w:r>
    </w:p>
    <w:p>
      <w:pPr>
        <w:pStyle w:val="ListBullet"/>
      </w:pPr>
      <w:r>
        <w:rPr>
          <w:b/>
        </w:rPr>
        <w:t>Kelayakan sekali-set</w:t>
      </w:r>
      <w:r>
        <w:t>: setelah enrolment, perangkat menyimpan x dan atribut untuk membentuk bukti</w:t>
      </w:r>
    </w:p>
    <w:p>
      <w:pPr>
        <w:jc w:val="both"/>
      </w:pPr>
      <w:r>
        <w:t>kelayakan saat memesan.</w:t>
      </w:r>
    </w:p>
    <w:p>
      <w:pPr>
        <w:pStyle w:val="ListBullet"/>
      </w:pPr>
      <w:r>
        <w:rPr>
          <w:b/>
        </w:rPr>
        <w:t>Pesan janji temu / ambil antrean</w:t>
      </w:r>
      <w:r>
        <w:t>: pilih jenis layanan (mis. konsultasi, pengaduan, keperluan yang</w:t>
      </w:r>
    </w:p>
    <w:p>
      <w:pPr>
        <w:jc w:val="both"/>
      </w:pPr>
      <w:r>
        <w:t xml:space="preserve">perlu tatap muka Kepala Desa) dan tanggal/slot; sistem menerbitkan </w:t>
      </w:r>
      <w:r>
        <w:rPr>
          <w:b/>
        </w:rPr>
        <w:t>nomor antrean</w:t>
      </w:r>
      <w:r>
        <w:t xml:space="preserve"> setelah gerbang</w:t>
      </w:r>
    </w:p>
    <w:p>
      <w:pPr>
        <w:jc w:val="both"/>
      </w:pPr>
      <w:r>
        <w:t>kelayakan lolos.</w:t>
      </w:r>
    </w:p>
    <w:p>
      <w:pPr>
        <w:pStyle w:val="ListBullet"/>
      </w:pPr>
      <w:r>
        <w:rPr>
          <w:b/>
        </w:rPr>
        <w:t>Status antrean real-time</w:t>
      </w:r>
      <w:r>
        <w:t>: nomor yang sedang dilayani, posisi giliran, estimasi waktu tunggu.</w:t>
      </w:r>
    </w:p>
    <w:p>
      <w:pPr>
        <w:pStyle w:val="ListBullet"/>
      </w:pPr>
      <w:r>
        <w:rPr>
          <w:b/>
        </w:rPr>
        <w:t>Notifikasi</w:t>
      </w:r>
      <w:r>
        <w:t xml:space="preserve"> (memakai kembali infrastruktur FCM yang telah dibangun): "giliran Anda sebentar lagi",</w:t>
      </w:r>
    </w:p>
    <w:p>
      <w:pPr>
        <w:jc w:val="both"/>
      </w:pPr>
      <w:r>
        <w:t>konfirmasi/pembatalan jadwal.</w:t>
      </w:r>
    </w:p>
    <w:p>
      <w:pPr>
        <w:pStyle w:val="ListBullet"/>
      </w:pPr>
      <w:r>
        <w:rPr>
          <w:b/>
        </w:rPr>
        <w:t>Check-in</w:t>
      </w:r>
      <w:r>
        <w:t xml:space="preserve"> saat tiba di kantor desa.</w:t>
      </w:r>
    </w:p>
    <w:p>
      <w:pPr>
        <w:pStyle w:val="ListBullet"/>
      </w:pPr>
      <w:r>
        <w:rPr>
          <w:b/>
        </w:rPr>
        <w:t>Riwayat</w:t>
      </w:r>
      <w:r>
        <w:t xml:space="preserve"> kunjungan dan janji temu.</w:t>
      </w:r>
    </w:p>
    <w:p>
      <w:pPr>
        <w:pStyle w:val="Heading3"/>
      </w:pPr>
      <w:r>
        <w:t>5.2 Operator</w:t>
      </w:r>
    </w:p>
    <w:p>
      <w:pPr>
        <w:pStyle w:val="ListBullet"/>
      </w:pPr>
      <w:r>
        <w:t>Kelola slot dan kuota harian per jenis layanan.</w:t>
      </w:r>
    </w:p>
    <w:p>
      <w:pPr>
        <w:pStyle w:val="ListBullet"/>
      </w:pPr>
      <w:r>
        <w:t xml:space="preserve">Papan antrean: panggil berikutnya, tandai </w:t>
      </w:r>
      <w:r>
        <w:rPr>
          <w:b/>
        </w:rPr>
        <w:t>dilayani / tidak hadir</w:t>
      </w:r>
      <w:r>
        <w:t>, lewati.</w:t>
      </w:r>
    </w:p>
    <w:p>
      <w:pPr>
        <w:pStyle w:val="ListBullet"/>
      </w:pPr>
      <w:r>
        <w:t>Terbitkan kode enrolment setelah verifikasi kartu identitas.</w:t>
      </w:r>
    </w:p>
    <w:p>
      <w:pPr>
        <w:pStyle w:val="ListBullet"/>
      </w:pPr>
      <w:r>
        <w:t>Kelola registri penduduk (tambah/cabut daun) dengan pencatatan audit.</w:t>
      </w:r>
    </w:p>
    <w:p>
      <w:pPr>
        <w:pStyle w:val="Heading3"/>
      </w:pPr>
      <w:r>
        <w:t>5.3 Kepala Desa</w:t>
      </w:r>
    </w:p>
    <w:p>
      <w:pPr>
        <w:pStyle w:val="ListBullet"/>
      </w:pPr>
      <w:r>
        <w:t>Melihat agenda pertemuan harian dan ringkasan antrean. Tidak memegang kunci privat dan tidak</w:t>
      </w:r>
    </w:p>
    <w:p>
      <w:pPr>
        <w:jc w:val="both"/>
      </w:pPr>
      <w:r>
        <w:t>menandatangani apa pun di aplikasi.</w:t>
      </w:r>
    </w:p>
    <w:p>
      <w:pPr>
        <w:pStyle w:val="Heading2"/>
      </w:pPr>
      <w:r>
        <w:t>6. Model Data (perubahan Prisma)</w:t>
      </w:r>
    </w:p>
    <w:p>
      <w:pPr>
        <w:jc w:val="both"/>
      </w:pPr>
      <w:r>
        <w:rPr>
          <w:b/>
        </w:rPr>
        <w:t>Dihapus:</w:t>
      </w:r>
      <w:r>
        <w:t xml:space="preserve"> </w:t>
      </w:r>
      <w:r>
        <w:rPr>
          <w:rFonts w:ascii="Consolas" w:hAnsi="Consolas"/>
          <w:color w:val="B03060"/>
          <w:sz w:val="19"/>
        </w:rPr>
        <w:t>LetterRequest</w:t>
      </w:r>
      <w:r>
        <w:t xml:space="preserve">, </w:t>
      </w:r>
      <w:r>
        <w:rPr>
          <w:rFonts w:ascii="Consolas" w:hAnsi="Consolas"/>
          <w:color w:val="B03060"/>
          <w:sz w:val="19"/>
        </w:rPr>
        <w:t>Letter</w:t>
      </w:r>
      <w:r>
        <w:t xml:space="preserve">, </w:t>
      </w:r>
      <w:r>
        <w:rPr>
          <w:rFonts w:ascii="Consolas" w:hAnsi="Consolas"/>
          <w:color w:val="B03060"/>
          <w:sz w:val="19"/>
        </w:rPr>
        <w:t>LetterType</w:t>
      </w:r>
      <w:r>
        <w:t xml:space="preserve">, </w:t>
      </w:r>
      <w:r>
        <w:rPr>
          <w:rFonts w:ascii="Consolas" w:hAnsi="Consolas"/>
          <w:color w:val="B03060"/>
          <w:sz w:val="19"/>
        </w:rPr>
        <w:t>LetterStatus</w:t>
      </w:r>
      <w:r>
        <w:t>, dan jalur verifikasi publik</w:t>
      </w:r>
    </w:p>
    <w:p>
      <w:pPr>
        <w:jc w:val="both"/>
      </w:pPr>
      <w:r>
        <w:t>(</w:t>
      </w:r>
      <w:r>
        <w:rPr>
          <w:rFonts w:ascii="Consolas" w:hAnsi="Consolas"/>
          <w:color w:val="B03060"/>
          <w:sz w:val="19"/>
        </w:rPr>
        <w:t>qrToken</w:t>
      </w:r>
      <w:r>
        <w:t>).</w:t>
      </w:r>
    </w:p>
    <w:p>
      <w:pPr>
        <w:jc w:val="both"/>
      </w:pPr>
      <w:r>
        <w:rPr>
          <w:b/>
        </w:rPr>
        <w:t>Dipertahankan:</w:t>
      </w:r>
      <w:r>
        <w:t xml:space="preserve"> </w:t>
      </w:r>
      <w:r>
        <w:rPr>
          <w:rFonts w:ascii="Consolas" w:hAnsi="Consolas"/>
          <w:color w:val="B03060"/>
          <w:sz w:val="19"/>
        </w:rPr>
        <w:t>Account</w:t>
      </w:r>
      <w:r>
        <w:t xml:space="preserve"> (dengan </w:t>
      </w:r>
      <w:r>
        <w:rPr>
          <w:rFonts w:ascii="Consolas" w:hAnsi="Consolas"/>
          <w:color w:val="B03060"/>
          <w:sz w:val="19"/>
        </w:rPr>
        <w:t>publicKey</w:t>
      </w:r>
      <w:r>
        <w:t xml:space="preserve"> sebagai X, </w:t>
      </w:r>
      <w:r>
        <w:rPr>
          <w:rFonts w:ascii="Consolas" w:hAnsi="Consolas"/>
          <w:color w:val="B03060"/>
          <w:sz w:val="19"/>
        </w:rPr>
        <w:t>role</w:t>
      </w:r>
      <w:r>
        <w:t xml:space="preserve">, </w:t>
      </w:r>
      <w:r>
        <w:rPr>
          <w:rFonts w:ascii="Consolas" w:hAnsi="Consolas"/>
          <w:color w:val="B03060"/>
          <w:sz w:val="19"/>
        </w:rPr>
        <w:t>status</w:t>
      </w:r>
      <w:r>
        <w:t xml:space="preserve">, </w:t>
      </w:r>
      <w:r>
        <w:rPr>
          <w:rFonts w:ascii="Consolas" w:hAnsi="Consolas"/>
          <w:color w:val="B03060"/>
          <w:sz w:val="19"/>
        </w:rPr>
        <w:t>displayName</w:t>
      </w:r>
      <w:r>
        <w:t>,</w:t>
      </w:r>
    </w:p>
    <w:p>
      <w:pPr>
        <w:jc w:val="both"/>
      </w:pPr>
      <w:r>
        <w:rPr>
          <w:rFonts w:ascii="Consolas" w:hAnsi="Consolas"/>
          <w:color w:val="B03060"/>
          <w:sz w:val="19"/>
        </w:rPr>
        <w:t>nikCommitment</w:t>
      </w:r>
      <w:r>
        <w:t xml:space="preserve">, </w:t>
      </w:r>
      <w:r>
        <w:rPr>
          <w:rFonts w:ascii="Consolas" w:hAnsi="Consolas"/>
          <w:color w:val="B03060"/>
          <w:sz w:val="19"/>
        </w:rPr>
        <w:t>attributes</w:t>
      </w:r>
      <w:r>
        <w:t xml:space="preserve">, </w:t>
      </w:r>
      <w:r>
        <w:rPr>
          <w:rFonts w:ascii="Consolas" w:hAnsi="Consolas"/>
          <w:color w:val="B03060"/>
          <w:sz w:val="19"/>
        </w:rPr>
        <w:t>leafIndex</w:t>
      </w:r>
      <w:r>
        <w:t xml:space="preserve">), </w:t>
      </w:r>
      <w:r>
        <w:rPr>
          <w:rFonts w:ascii="Consolas" w:hAnsi="Consolas"/>
          <w:color w:val="B03060"/>
          <w:sz w:val="19"/>
        </w:rPr>
        <w:t>AuthChallenge</w:t>
      </w:r>
      <w:r>
        <w:t xml:space="preserve">, </w:t>
      </w:r>
      <w:r>
        <w:rPr>
          <w:rFonts w:ascii="Consolas" w:hAnsi="Consolas"/>
          <w:color w:val="B03060"/>
          <w:sz w:val="19"/>
        </w:rPr>
        <w:t>EligibilityChallenge</w:t>
      </w:r>
      <w:r>
        <w:t xml:space="preserve">, </w:t>
      </w:r>
      <w:r>
        <w:rPr>
          <w:rFonts w:ascii="Consolas" w:hAnsi="Consolas"/>
          <w:color w:val="B03060"/>
          <w:sz w:val="19"/>
        </w:rPr>
        <w:t>EnrollmentCode</w:t>
      </w:r>
      <w:r>
        <w:t>,</w:t>
      </w:r>
    </w:p>
    <w:p>
      <w:pPr>
        <w:jc w:val="both"/>
      </w:pPr>
      <w:r>
        <w:rPr>
          <w:rFonts w:ascii="Consolas" w:hAnsi="Consolas"/>
          <w:color w:val="B03060"/>
          <w:sz w:val="19"/>
        </w:rPr>
        <w:t>RegistryVersion</w:t>
      </w:r>
      <w:r>
        <w:t xml:space="preserve"> (kolom tanda tangan akar menjadi tidak terpakai), </w:t>
      </w:r>
      <w:r>
        <w:rPr>
          <w:rFonts w:ascii="Consolas" w:hAnsi="Consolas"/>
          <w:color w:val="B03060"/>
          <w:sz w:val="19"/>
        </w:rPr>
        <w:t>AuditLog</w:t>
      </w:r>
      <w:r>
        <w:t xml:space="preserve">, </w:t>
      </w:r>
      <w:r>
        <w:rPr>
          <w:rFonts w:ascii="Consolas" w:hAnsi="Consolas"/>
          <w:color w:val="B03060"/>
          <w:sz w:val="19"/>
        </w:rPr>
        <w:t>DeviceToken</w:t>
      </w:r>
      <w:r>
        <w:t xml:space="preserve"> (FCM).</w:t>
      </w:r>
    </w:p>
    <w:p>
      <w:pPr>
        <w:jc w:val="both"/>
      </w:pPr>
      <w:r>
        <w:rPr>
          <w:b/>
        </w:rPr>
        <w:t>Diubah/diperluas:</w:t>
      </w:r>
      <w:r>
        <w:t xml:space="preserve"> model antrean. </w:t>
      </w:r>
      <w:r>
        <w:rPr>
          <w:rFonts w:ascii="Consolas" w:hAnsi="Consolas"/>
          <w:color w:val="B03060"/>
          <w:sz w:val="19"/>
        </w:rPr>
        <w:t>Booking</w:t>
      </w:r>
      <w:r>
        <w:t xml:space="preserve"> diperluas atau digantikan </w:t>
      </w:r>
      <w:r>
        <w:rPr>
          <w:rFonts w:ascii="Consolas" w:hAnsi="Consolas"/>
          <w:color w:val="B03060"/>
          <w:sz w:val="19"/>
        </w:rPr>
        <w:t>QueueTicket</w:t>
      </w:r>
      <w:r>
        <w:t xml:space="preserve"> dengan medan:</w:t>
      </w:r>
    </w:p>
    <w:p>
      <w:pPr>
        <w:jc w:val="both"/>
      </w:pPr>
      <w:r>
        <w:t xml:space="preserve">jenis layanan, tanggal, </w:t>
      </w:r>
      <w:r>
        <w:rPr>
          <w:b/>
        </w:rPr>
        <w:t>nomor antrean harian</w:t>
      </w:r>
      <w:r>
        <w:t>, status (</w:t>
      </w:r>
      <w:r>
        <w:rPr>
          <w:rFonts w:ascii="Consolas" w:hAnsi="Consolas"/>
          <w:color w:val="B03060"/>
          <w:sz w:val="19"/>
        </w:rPr>
        <w:t>WAITING</w:t>
      </w:r>
      <w:r>
        <w:t xml:space="preserve"> → </w:t>
      </w:r>
      <w:r>
        <w:rPr>
          <w:rFonts w:ascii="Consolas" w:hAnsi="Consolas"/>
          <w:color w:val="B03060"/>
          <w:sz w:val="19"/>
        </w:rPr>
        <w:t>CALLED</w:t>
      </w:r>
      <w:r>
        <w:t xml:space="preserve"> → </w:t>
      </w:r>
      <w:r>
        <w:rPr>
          <w:rFonts w:ascii="Consolas" w:hAnsi="Consolas"/>
          <w:color w:val="B03060"/>
          <w:sz w:val="19"/>
        </w:rPr>
        <w:t>SERVED</w:t>
      </w:r>
      <w:r>
        <w:t xml:space="preserve"> / </w:t>
      </w:r>
      <w:r>
        <w:rPr>
          <w:rFonts w:ascii="Consolas" w:hAnsi="Consolas"/>
          <w:color w:val="B03060"/>
          <w:sz w:val="19"/>
        </w:rPr>
        <w:t>NO_SHOW</w:t>
      </w:r>
      <w:r>
        <w:t xml:space="preserve"> /</w:t>
      </w:r>
    </w:p>
    <w:p>
      <w:pPr>
        <w:jc w:val="both"/>
      </w:pPr>
      <w:r>
        <w:rPr>
          <w:rFonts w:ascii="Consolas" w:hAnsi="Consolas"/>
          <w:color w:val="B03060"/>
          <w:sz w:val="19"/>
        </w:rPr>
        <w:t>CANCELLED</w:t>
      </w:r>
      <w:r>
        <w:t xml:space="preserve">), token check-in, dan stempel waktu transisi. Ditambah konfigurasi </w:t>
      </w:r>
      <w:r>
        <w:rPr>
          <w:rFonts w:ascii="Consolas" w:hAnsi="Consolas"/>
          <w:color w:val="B03060"/>
          <w:sz w:val="19"/>
        </w:rPr>
        <w:t>ServiceType</w:t>
      </w:r>
      <w:r>
        <w:t xml:space="preserve"> dan kuota</w:t>
      </w:r>
    </w:p>
    <w:p>
      <w:pPr>
        <w:jc w:val="both"/>
      </w:pPr>
      <w:r>
        <w:t>slot harian.</w:t>
      </w:r>
    </w:p>
    <w:p>
      <w:pPr>
        <w:jc w:val="both"/>
      </w:pPr>
      <w:r>
        <w:rPr>
          <w:b/>
        </w:rPr>
        <w:t>Migrasi Prisma</w:t>
      </w:r>
      <w:r>
        <w:t xml:space="preserve"> mengikuti aturan non-interaktif proyek (</w:t>
      </w:r>
      <w:r>
        <w:rPr>
          <w:rFonts w:ascii="Consolas" w:hAnsi="Consolas"/>
          <w:color w:val="B03060"/>
          <w:sz w:val="19"/>
        </w:rPr>
        <w:t>migrate diff --script</w:t>
      </w:r>
      <w:r>
        <w:t xml:space="preserve"> → folder migrasi baru</w:t>
      </w:r>
    </w:p>
    <w:p>
      <w:pPr>
        <w:jc w:val="both"/>
      </w:pPr>
      <w:r>
        <w:t xml:space="preserve">→ </w:t>
      </w:r>
      <w:r>
        <w:rPr>
          <w:rFonts w:ascii="Consolas" w:hAnsi="Consolas"/>
          <w:color w:val="B03060"/>
          <w:sz w:val="19"/>
        </w:rPr>
        <w:t>migrate deploy</w:t>
      </w:r>
      <w:r>
        <w:t xml:space="preserve"> → </w:t>
      </w:r>
      <w:r>
        <w:rPr>
          <w:rFonts w:ascii="Consolas" w:hAnsi="Consolas"/>
          <w:color w:val="B03060"/>
          <w:sz w:val="19"/>
        </w:rPr>
        <w:t>generate</w:t>
      </w:r>
      <w:r>
        <w:t>), termasuk migrasi penghapusan tabel surat.</w:t>
      </w:r>
    </w:p>
    <w:p>
      <w:pPr>
        <w:pStyle w:val="Heading2"/>
      </w:pPr>
      <w:r>
        <w:t>7. Perubahan pada Pustaka Kripto</w:t>
      </w:r>
    </w:p>
    <w:p>
      <w:pPr>
        <w:pStyle w:val="ListBullet"/>
      </w:pPr>
      <w:r>
        <w:rPr>
          <w:b/>
        </w:rPr>
        <w:t>Dihidupkan kembali dan diperluas:</w:t>
      </w:r>
      <w:r>
        <w:t xml:space="preserve"> </w:t>
      </w:r>
      <w:r>
        <w:rPr>
          <w:rFonts w:ascii="Consolas" w:hAnsi="Consolas"/>
          <w:color w:val="B03060"/>
          <w:sz w:val="19"/>
        </w:rPr>
        <w:t>schnorr.ts</w:t>
      </w:r>
      <w:r>
        <w:t xml:space="preserve"> (TypeScript) untuk auth, enrolment, dan kelayakan;</w:t>
      </w:r>
    </w:p>
    <w:p>
      <w:pPr>
        <w:jc w:val="both"/>
      </w:pPr>
      <w:r>
        <w:t>padanannya ditambahkan pada sisi Dart agar interoperabel (perangkat membentuk bukti, peladen</w:t>
      </w:r>
    </w:p>
    <w:p>
      <w:pPr>
        <w:jc w:val="both"/>
      </w:pPr>
      <w:r>
        <w:t>memverifikasi).</w:t>
      </w:r>
    </w:p>
    <w:p>
      <w:pPr>
        <w:pStyle w:val="ListBullet"/>
      </w:pPr>
      <w:r>
        <w:rPr>
          <w:b/>
        </w:rPr>
        <w:t>Diubah:</w:t>
      </w:r>
      <w:r>
        <w:t xml:space="preserve"> </w:t>
      </w:r>
      <w:r>
        <w:rPr>
          <w:rFonts w:ascii="Consolas" w:hAnsi="Consolas"/>
          <w:color w:val="B03060"/>
          <w:sz w:val="19"/>
        </w:rPr>
        <w:t>eligibility.ts</w:t>
      </w:r>
      <w:r>
        <w:t xml:space="preserve"> — komponen kepemilikan dari tanda tangan ECDSA-atas-konteks menjadi bukti</w:t>
      </w:r>
    </w:p>
    <w:p>
      <w:pPr>
        <w:jc w:val="both"/>
      </w:pPr>
      <w:r>
        <w:t xml:space="preserve">Schnorr atas konteks; </w:t>
      </w:r>
      <w:r>
        <w:rPr>
          <w:rFonts w:ascii="Consolas" w:hAnsi="Consolas"/>
          <w:color w:val="B03060"/>
          <w:sz w:val="19"/>
        </w:rPr>
        <w:t>computeLeaf</w:t>
      </w:r>
      <w:r>
        <w:t xml:space="preserve"> tetap.</w:t>
      </w:r>
    </w:p>
    <w:p>
      <w:pPr>
        <w:pStyle w:val="ListBullet"/>
      </w:pPr>
      <w:r>
        <w:rPr>
          <w:b/>
        </w:rPr>
        <w:t>Dipensiunkan:</w:t>
      </w:r>
      <w:r>
        <w:t xml:space="preserve"> </w:t>
      </w:r>
      <w:r>
        <w:rPr>
          <w:rFonts w:ascii="Consolas" w:hAnsi="Consolas"/>
          <w:color w:val="B03060"/>
          <w:sz w:val="19"/>
        </w:rPr>
        <w:t>ecdsa.ts</w:t>
      </w:r>
      <w:r>
        <w:t xml:space="preserve"> (TypeScript dan Dart) beserta seluruh pemakaiannya pada auth</w:t>
      </w:r>
    </w:p>
    <w:p>
      <w:pPr>
        <w:jc w:val="both"/>
      </w:pPr>
      <w:r>
        <w:t>(</w:t>
      </w:r>
      <w:r>
        <w:rPr>
          <w:rFonts w:ascii="Consolas" w:hAnsi="Consolas"/>
          <w:color w:val="B03060"/>
          <w:sz w:val="19"/>
        </w:rPr>
        <w:t>auth.service</w:t>
      </w:r>
      <w:r>
        <w:t>), enrolment (</w:t>
      </w:r>
      <w:r>
        <w:rPr>
          <w:rFonts w:ascii="Consolas" w:hAnsi="Consolas"/>
          <w:color w:val="B03060"/>
          <w:sz w:val="19"/>
        </w:rPr>
        <w:t>enroll.service</w:t>
      </w:r>
      <w:r>
        <w:t>), dan penandatanganan surat (dihapus bersama subsistem</w:t>
      </w:r>
    </w:p>
    <w:p>
      <w:pPr>
        <w:jc w:val="both"/>
      </w:pPr>
      <w:r>
        <w:t>surat).</w:t>
      </w:r>
    </w:p>
    <w:p>
      <w:pPr>
        <w:pStyle w:val="ListBullet"/>
      </w:pPr>
      <w:r>
        <w:rPr>
          <w:b/>
        </w:rPr>
        <w:t>Interoperabilitas lintas bahasa</w:t>
      </w:r>
      <w:r>
        <w:t xml:space="preserve"> tetap dijaga melalui vektor uji: bukti Schnorr yang dibentuk Dart</w:t>
      </w:r>
    </w:p>
    <w:p>
      <w:pPr>
        <w:jc w:val="both"/>
      </w:pPr>
      <w:r>
        <w:t xml:space="preserve">diverifikasi </w:t>
      </w:r>
      <w:r>
        <w:rPr>
          <w:rFonts w:ascii="Consolas" w:hAnsi="Consolas"/>
          <w:color w:val="B03060"/>
          <w:sz w:val="19"/>
        </w:rPr>
        <w:t>@sidesa/crypto</w:t>
      </w:r>
      <w:r>
        <w:t>.</w:t>
      </w:r>
    </w:p>
    <w:p>
      <w:pPr>
        <w:pStyle w:val="Heading2"/>
      </w:pPr>
      <w:r>
        <w:t>8. Sifat Keamanan dan Model Ancaman</w:t>
      </w:r>
    </w:p>
    <w:p>
      <w:pPr>
        <w:pStyle w:val="ListBullet"/>
      </w:pPr>
      <w:r>
        <w:rPr>
          <w:b/>
        </w:rPr>
        <w:t>Kelayakan tak sah ditolak</w:t>
      </w:r>
      <w:r>
        <w:t>: bukan-anggota registri gagal pada keanggotaan Merkle; peniru yang</w:t>
      </w:r>
    </w:p>
    <w:p>
      <w:pPr>
        <w:jc w:val="both"/>
      </w:pPr>
      <w:r>
        <w:t>menyalin X gagal pada bukti Schnorr karena tak menguasai x.</w:t>
      </w:r>
    </w:p>
    <w:p>
      <w:pPr>
        <w:pStyle w:val="ListBullet"/>
      </w:pPr>
      <w:r>
        <w:rPr>
          <w:b/>
        </w:rPr>
        <w:t>Anti-replay</w:t>
      </w:r>
      <w:r>
        <w:t>: konteks ber-</w:t>
      </w:r>
      <w:r>
        <w:rPr>
          <w:rFonts w:ascii="Consolas" w:hAnsi="Consolas"/>
          <w:color w:val="B03060"/>
          <w:sz w:val="19"/>
        </w:rPr>
        <w:t>nonce</w:t>
      </w:r>
      <w:r>
        <w:t xml:space="preserve"> sekali pakai pada auth dan kelayakan.</w:t>
      </w:r>
    </w:p>
    <w:p>
      <w:pPr>
        <w:pStyle w:val="ListBullet"/>
      </w:pPr>
      <w:r>
        <w:rPr>
          <w:b/>
        </w:rPr>
        <w:t>Anti-penyamaran saat enrolment</w:t>
      </w:r>
      <w:r>
        <w:t>: bukti Schnorr atas X mencegah pendaftaran kunci milik orang lain.</w:t>
      </w:r>
    </w:p>
    <w:p>
      <w:pPr>
        <w:pStyle w:val="ListBullet"/>
      </w:pPr>
      <w:r>
        <w:rPr>
          <w:b/>
        </w:rPr>
        <w:t>Kerahasiaan NIK</w:t>
      </w:r>
      <w:r>
        <w:t>: NIK tidak pernah didigitalkan dalam bukti; hanya komitmen tersimpan.</w:t>
      </w:r>
    </w:p>
    <w:p>
      <w:pPr>
        <w:pStyle w:val="ListBullet"/>
      </w:pPr>
      <w:r>
        <w:rPr>
          <w:b/>
        </w:rPr>
        <w:t>Keterbatasan privasi</w:t>
      </w:r>
      <w:r>
        <w:t>: sistem pseudonim, bukan anonim penuh — X terungkap sehingga pemesanan dari</w:t>
      </w:r>
    </w:p>
    <w:p>
      <w:pPr>
        <w:jc w:val="both"/>
      </w:pPr>
      <w:r>
        <w:t>akun yang sama dapat ditautkan. Ini konsisten dengan pilihan "identified".</w:t>
      </w:r>
    </w:p>
    <w:p>
      <w:pPr>
        <w:pStyle w:val="ListBullet"/>
      </w:pPr>
      <w:r>
        <w:rPr>
          <w:b/>
        </w:rPr>
        <w:t>Audit</w:t>
      </w:r>
      <w:r>
        <w:t>: aksi sensitif (terbit/klaim kode, ubah registri, kelola antrean) dicatat pada log audit</w:t>
      </w:r>
    </w:p>
    <w:p>
      <w:pPr>
        <w:jc w:val="both"/>
      </w:pPr>
      <w:r>
        <w:t>berantai-hash.</w:t>
      </w:r>
    </w:p>
    <w:p>
      <w:pPr>
        <w:pStyle w:val="Heading2"/>
      </w:pPr>
      <w:r>
        <w:t>9. Kepatuhan (perlu validasi ke dosen/BSSN)</w:t>
      </w:r>
    </w:p>
    <w:p>
      <w:pPr>
        <w:jc w:val="both"/>
      </w:pPr>
      <w:r>
        <w:t>Keputusan Kepala BSSN Nomor 443 Tahun 2025 mengatur algoritma tanda tangan dan enkripsi. Karena aplikasi</w:t>
      </w:r>
    </w:p>
    <w:p>
      <w:pPr>
        <w:jc w:val="both"/>
      </w:pPr>
      <w:r>
        <w:t>tidak lagi memproduksi tanda tangan teregulasi, narasi kepatuhan bergeser: **tidak ada tanda tangan</w:t>
      </w:r>
    </w:p>
    <w:p>
      <w:pPr>
        <w:jc w:val="both"/>
      </w:pPr>
      <w:r>
        <w:t>teregulasi yang diproduksi aplikasi**; kelayakan memakai ZKP di atas grup kurva P-384 dan fungsi hash</w:t>
      </w:r>
    </w:p>
    <w:p>
      <w:pPr>
        <w:jc w:val="both"/>
      </w:pPr>
      <w:r>
        <w:t>SHA-384; enkripsi data saat diam (bila ada) memakai AES-256. Pergeseran ini wajar, tetapi **harus</w:t>
      </w:r>
    </w:p>
    <w:p>
      <w:pPr>
        <w:jc w:val="both"/>
      </w:pPr>
      <w:r>
        <w:t>dikonfirmasi** kepada dosen pembimbing agar tidak dianggap keluar dari kerangka kepatuhan yang selama ini</w:t>
      </w:r>
    </w:p>
    <w:p>
      <w:pPr>
        <w:jc w:val="both"/>
      </w:pPr>
      <w:r>
        <w:t>menjadi identitas proyek.</w:t>
      </w:r>
    </w:p>
    <w:p>
      <w:pPr>
        <w:pStyle w:val="Heading2"/>
      </w:pPr>
      <w:r>
        <w:t>10. Strategi Pengujian</w:t>
      </w:r>
    </w:p>
    <w:p>
      <w:pPr>
        <w:pStyle w:val="ListBullet"/>
      </w:pPr>
      <w:r>
        <w:t>Kripto: pengujian positif dan negatif untuk bukti Schnorr pada tiap gerbang (pemalsuan tanpa rahasia</w:t>
      </w:r>
    </w:p>
    <w:p>
      <w:pPr>
        <w:jc w:val="both"/>
      </w:pPr>
      <w:r>
        <w:t>ditolak, respons dirusak ditolak, konteks berbeda ditolak), keanggotaan Merkle, dan uji</w:t>
      </w:r>
    </w:p>
    <w:p>
      <w:pPr>
        <w:jc w:val="both"/>
      </w:pPr>
      <w:r>
        <w:t>interoperabilitas lintas bahasa Dart→TypeScript.</w:t>
      </w:r>
    </w:p>
    <w:p>
      <w:pPr>
        <w:pStyle w:val="ListBullet"/>
      </w:pPr>
      <w:r>
        <w:t>Peladen: e2e alur warga (enrolment Schnorr → login Schnorr → pesan antrean dengan bukti kelayakan →</w:t>
      </w:r>
    </w:p>
    <w:p>
      <w:pPr>
        <w:jc w:val="both"/>
      </w:pPr>
      <w:r>
        <w:t>operator memanggil → dilayani), termasuk uji negatif (bukan-anggota ditolak, nonce dipakai ulang</w:t>
      </w:r>
    </w:p>
    <w:p>
      <w:pPr>
        <w:jc w:val="both"/>
      </w:pPr>
      <w:r>
        <w:t>ditolak, lintas peran ditolak).</w:t>
      </w:r>
    </w:p>
    <w:p>
      <w:pPr>
        <w:pStyle w:val="ListBullet"/>
      </w:pPr>
      <w:r>
        <w:t>Aplikasi: alur tiap peran, pembentukan bukti Schnorr, dan degradasi anggun tanpa jaringan.</w:t>
      </w:r>
    </w:p>
    <w:p>
      <w:pPr>
        <w:pStyle w:val="Heading2"/>
      </w:pPr>
      <w:r>
        <w:t>11. Dampak terhadap Basis Kode Saat Ini</w:t>
      </w:r>
    </w:p>
    <w:p>
      <w:pPr>
        <w:pStyle w:val="ListBullet"/>
      </w:pPr>
      <w:r>
        <w:rPr>
          <w:b/>
        </w:rPr>
        <w:t>Dihapus:</w:t>
      </w:r>
      <w:r>
        <w:t xml:space="preserve"> modul surat peladen (</w:t>
      </w:r>
      <w:r>
        <w:rPr>
          <w:rFonts w:ascii="Consolas" w:hAnsi="Consolas"/>
          <w:color w:val="B03060"/>
          <w:sz w:val="19"/>
        </w:rPr>
        <w:t>letters/</w:t>
      </w:r>
      <w:r>
        <w:t>), verifikasi publik, template surat; layar surat pada</w:t>
      </w:r>
    </w:p>
    <w:p>
      <w:pPr>
        <w:jc w:val="both"/>
      </w:pPr>
      <w:r>
        <w:t>aplikasi; render PDF (</w:t>
      </w:r>
      <w:r>
        <w:rPr>
          <w:rFonts w:ascii="Consolas" w:hAnsi="Consolas"/>
          <w:color w:val="B03060"/>
          <w:sz w:val="19"/>
        </w:rPr>
        <w:t>letter_pdf.dart</w:t>
      </w:r>
      <w:r>
        <w:t>); kunci hardware (</w:t>
      </w:r>
      <w:r>
        <w:rPr>
          <w:rFonts w:ascii="Consolas" w:hAnsi="Consolas"/>
          <w:color w:val="B03060"/>
          <w:sz w:val="19"/>
        </w:rPr>
        <w:t>android_keystore.dart</w:t>
      </w:r>
      <w:r>
        <w:t>, wiring biometrik).</w:t>
      </w:r>
    </w:p>
    <w:p>
      <w:pPr>
        <w:pStyle w:val="ListBullet"/>
      </w:pPr>
      <w:r>
        <w:rPr>
          <w:b/>
        </w:rPr>
        <w:t>Diubah:</w:t>
      </w:r>
      <w:r>
        <w:t xml:space="preserve"> </w:t>
      </w:r>
      <w:r>
        <w:rPr>
          <w:rFonts w:ascii="Consolas" w:hAnsi="Consolas"/>
          <w:color w:val="B03060"/>
          <w:sz w:val="19"/>
        </w:rPr>
        <w:t>auth.service</w:t>
      </w:r>
      <w:r>
        <w:t xml:space="preserve">, </w:t>
      </w:r>
      <w:r>
        <w:rPr>
          <w:rFonts w:ascii="Consolas" w:hAnsi="Consolas"/>
          <w:color w:val="B03060"/>
          <w:sz w:val="19"/>
        </w:rPr>
        <w:t>enroll.service</w:t>
      </w:r>
      <w:r>
        <w:t xml:space="preserve">, dan </w:t>
      </w:r>
      <w:r>
        <w:rPr>
          <w:rFonts w:ascii="Consolas" w:hAnsi="Consolas"/>
          <w:color w:val="B03060"/>
          <w:sz w:val="19"/>
        </w:rPr>
        <w:t>eligibility</w:t>
      </w:r>
      <w:r>
        <w:t xml:space="preserve"> (ECDSA → Schnorr); Session pada</w:t>
      </w:r>
    </w:p>
    <w:p>
      <w:pPr>
        <w:jc w:val="both"/>
      </w:pPr>
      <w:r>
        <w:t>aplikasi (login/enrol/pesan memakai bukti Schnorr); skema Prisma (hapus surat, tambah antrean).</w:t>
      </w:r>
    </w:p>
    <w:p>
      <w:pPr>
        <w:pStyle w:val="ListBullet"/>
      </w:pPr>
      <w:r>
        <w:rPr>
          <w:b/>
        </w:rPr>
        <w:t>Ditambah:</w:t>
      </w:r>
      <w:r>
        <w:t xml:space="preserve"> subsistem antrean (model, service, controller, layar warga dan operator); padanan Schnorr</w:t>
      </w:r>
    </w:p>
    <w:p>
      <w:pPr>
        <w:jc w:val="both"/>
      </w:pPr>
      <w:r>
        <w:t>pada sisi Dart.</w:t>
      </w:r>
    </w:p>
    <w:p>
      <w:pPr>
        <w:pStyle w:val="ListBullet"/>
      </w:pPr>
      <w:r>
        <w:rPr>
          <w:b/>
        </w:rPr>
        <w:t>Dipertahankan utuh:</w:t>
      </w:r>
      <w:r>
        <w:t xml:space="preserve"> registri Merkle, enrolment Model B (kode operator), notifikasi FCM, log audit,</w:t>
      </w:r>
    </w:p>
    <w:p>
      <w:pPr>
        <w:jc w:val="both"/>
      </w:pPr>
      <w:r>
        <w:t>pembatasan laju, validasi masukan.</w:t>
      </w:r>
    </w:p>
    <w:p>
      <w:pPr>
        <w:pStyle w:val="Heading2"/>
      </w:pPr>
      <w:r>
        <w:t>12. Pekerjaan yang Menyusul (fase implementasi)</w:t>
      </w:r>
    </w:p>
    <w:p>
      <w:pPr>
        <w:jc w:val="both"/>
      </w:pPr>
      <w:r>
        <w:t>Dituangkan menjadi rencana implementasi tersendiri (skill writing-plans) setelah spec ini disetujui dan</w:t>
      </w:r>
    </w:p>
    <w:p>
      <w:pPr>
        <w:jc w:val="both"/>
      </w:pPr>
      <w:r>
        <w:t>divalidasi ke dosen. Urutan yang disarankan: (1) hidupkan Schnorr lintas bahasa + uji interop; (2)</w:t>
      </w:r>
    </w:p>
    <w:p>
      <w:pPr>
        <w:jc w:val="both"/>
      </w:pPr>
      <w:r>
        <w:t>migrasikan auth &amp; enrolment ke Schnorr; (3) migrasikan kelayakan ke Schnorr; (4) hapus subsistem surat +</w:t>
      </w:r>
    </w:p>
    <w:p>
      <w:pPr>
        <w:jc w:val="both"/>
      </w:pPr>
      <w:r>
        <w:t>kunci hardware; (5) bangun subsistem antrean; (6) sambungkan notifikasi antrean ke FCM.</w:t>
      </w:r>
    </w:p>
    <w:p>
      <w:pPr>
        <w:pStyle w:val="Heading2"/>
      </w:pPr>
      <w:r>
        <w:t>13. Pertanyaan Terbuka / Butuh Validasi</w:t>
      </w:r>
    </w:p>
    <w:p>
      <w:pPr>
        <w:pStyle w:val="ListBullet"/>
      </w:pPr>
      <w:r>
        <w:t>Konfirmasi kepatuhan Kepka 443 pada model tanpa tanda tangan (Bagian 9).</w:t>
      </w:r>
    </w:p>
    <w:p>
      <w:pPr>
        <w:pStyle w:val="ListBullet"/>
      </w:pPr>
      <w:r>
        <w:t>Apakah biometrik tetap dipertahankan sebagai kunci akses aplikasi meski bukan gerbang kripto.</w:t>
      </w:r>
    </w:p>
    <w:p>
      <w:pPr>
        <w:pStyle w:val="ListBullet"/>
      </w:pPr>
      <w:r>
        <w:t>Daftar jenis layanan (</w:t>
      </w:r>
      <w:r>
        <w:rPr>
          <w:rFonts w:ascii="Consolas" w:hAnsi="Consolas"/>
          <w:color w:val="B03060"/>
          <w:sz w:val="19"/>
        </w:rPr>
        <w:t>ServiceType</w:t>
      </w:r>
      <w:r>
        <w:t>) dan kuota slot per hari — kebutuhan dari perangkat desa.</w:t>
      </w:r>
    </w:p>
    <w:p>
      <w:pPr>
        <w:pStyle w:val="ListBullet"/>
      </w:pPr>
      <w:r>
        <w:t>Apakah janji temu berbasis slot waktu, nomor antrean harian, atau keduanya.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