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4"/>
        </w:rPr>
        <w:t>SIDESA-CM — Product Requirements Document (PRD) FINAL</w:t>
      </w:r>
    </w:p>
    <w:tbl>
      <w:tblPr>
        <w:tblW w:type="auto" w:w="0"/>
        <w:tblLayout w:type="fixed"/>
        <w:tblLook w:firstColumn="1" w:firstRow="1" w:lastColumn="0" w:lastRow="0" w:noHBand="0" w:noVBand="1" w:val="04A0"/>
      </w:tblPr>
      <w:tblGrid>
        <w:gridCol w:w="4677"/>
        <w:gridCol w:w="4677"/>
      </w:tblGrid>
      <w:tr>
        <w:tc>
          <w:tcPr>
            <w:tcW w:type="dxa" w:w="1814"/>
          </w:tcPr>
          <w:p>
            <w:r/>
            <w:r>
              <w:rPr>
                <w:b/>
                <w:color w:val="2E5A88"/>
              </w:rPr>
              <w:t>Produk:</w:t>
            </w:r>
          </w:p>
        </w:tc>
        <w:tc>
          <w:tcPr>
            <w:tcW w:type="dxa" w:w="7540"/>
          </w:tcPr>
          <w:p>
            <w:r/>
            <w:r>
              <w:t>SIDESA-CM — Layanan Digital Desa Cibeteung Muara</w:t>
            </w:r>
          </w:p>
        </w:tc>
      </w:tr>
      <w:tr>
        <w:tc>
          <w:tcPr>
            <w:tcW w:type="dxa" w:w="1814"/>
          </w:tcPr>
          <w:p>
            <w:r/>
            <w:r>
              <w:rPr>
                <w:b/>
                <w:color w:val="2E5A88"/>
              </w:rPr>
              <w:t>Versi:</w:t>
            </w:r>
          </w:p>
        </w:tc>
        <w:tc>
          <w:tcPr>
            <w:tcW w:type="dxa" w:w="7540"/>
          </w:tcPr>
          <w:p>
            <w:r/>
            <w:r>
              <w:t>1.0 (FINAL) — konsolidasi produk + penerapan Secure SDLC</w:t>
            </w:r>
          </w:p>
        </w:tc>
      </w:tr>
      <w:tr>
        <w:tc>
          <w:tcPr>
            <w:tcW w:type="dxa" w:w="1814"/>
          </w:tcPr>
          <w:p>
            <w:r/>
            <w:r>
              <w:rPr>
                <w:b/>
                <w:color w:val="2E5A88"/>
              </w:rPr>
              <w:t>Tanggal:</w:t>
            </w:r>
          </w:p>
        </w:tc>
        <w:tc>
          <w:tcPr>
            <w:tcW w:type="dxa" w:w="7540"/>
          </w:tcPr>
          <w:p>
            <w:r/>
            <w:r>
              <w:t>2026-07-26</w:t>
            </w:r>
          </w:p>
        </w:tc>
      </w:tr>
      <w:tr>
        <w:tc>
          <w:tcPr>
            <w:tcW w:type="dxa" w:w="1814"/>
          </w:tcPr>
          <w:p>
            <w:r/>
            <w:r>
              <w:rPr>
                <w:b/>
                <w:color w:val="2E5A88"/>
              </w:rPr>
              <w:t>Penyusun:</w:t>
            </w:r>
          </w:p>
        </w:tc>
        <w:tc>
          <w:tcPr>
            <w:tcW w:type="dxa" w:w="7540"/>
          </w:tcPr>
          <w:p>
            <w:r/>
            <w:r>
              <w:t>Muhammad Ezra Dhiatara — D4 Rekayasa Kriptografi, Politeknik Siber dan Sandi Negara</w:t>
            </w:r>
          </w:p>
        </w:tc>
      </w:tr>
      <w:tr>
        <w:tc>
          <w:tcPr>
            <w:tcW w:type="dxa" w:w="1814"/>
          </w:tcPr>
          <w:p>
            <w:r/>
            <w:r>
              <w:rPr>
                <w:b/>
                <w:color w:val="2E5A88"/>
              </w:rPr>
              <w:t>Mitra:</w:t>
            </w:r>
          </w:p>
        </w:tc>
        <w:tc>
          <w:tcPr>
            <w:tcW w:type="dxa" w:w="7540"/>
          </w:tcPr>
          <w:p>
            <w:r/>
            <w:r>
              <w:t>Pemerintah Desa Cibeteung Muara, Kecamatan Ciseeng, Kabupaten Bogor</w:t>
            </w:r>
          </w:p>
        </w:tc>
      </w:tr>
      <w:tr>
        <w:tc>
          <w:tcPr>
            <w:tcW w:type="dxa" w:w="1814"/>
          </w:tcPr>
          <w:p>
            <w:r/>
            <w:r>
              <w:rPr>
                <w:b/>
                <w:color w:val="2E5A88"/>
              </w:rPr>
              <w:t>Kerangka keamanan:</w:t>
            </w:r>
          </w:p>
        </w:tc>
        <w:tc>
          <w:tcPr>
            <w:tcW w:type="dxa" w:w="7540"/>
          </w:tcPr>
          <w:p>
            <w:r/>
            <w:r>
              <w:t>Microsoft SDL (utama) · NIST SSDF SP 800-218 (pelengkap) · PASTA + STRIDE (pemodelan ancaman)</w:t>
            </w:r>
          </w:p>
        </w:tc>
      </w:tr>
      <w:tr>
        <w:tc>
          <w:tcPr>
            <w:tcW w:type="dxa" w:w="1814"/>
          </w:tcPr>
          <w:p>
            <w:r/>
            <w:r>
              <w:rPr>
                <w:b/>
                <w:color w:val="2E5A88"/>
              </w:rPr>
              <w:t>Status:</w:t>
            </w:r>
          </w:p>
        </w:tc>
        <w:tc>
          <w:tcPr>
            <w:tcW w:type="dxa" w:w="7540"/>
          </w:tcPr>
          <w:p>
            <w:r/>
            <w:r>
              <w:t>Final untuk pengajuan; menggantikan PRD v0.2 dan v0.3</w:t>
            </w:r>
          </w:p>
        </w:tc>
      </w:tr>
    </w:tbl>
    <w:p/>
    <w:p>
      <w:r>
        <w:rPr>
          <w:b/>
          <w:color w:val="1F3A5F"/>
          <w:sz w:val="26"/>
        </w:rPr>
        <w:t>Daftar Isi</w:t>
      </w:r>
    </w:p>
    <w:p>
      <w:r>
        <w:fldChar w:fldCharType="begin"/>
        <w:instrText xml:space="preserve">TOC \o "1-2" \h \z \u</w:instrText>
        <w:fldChar w:fldCharType="separate"/>
        <w:t>Klik kanan → Update Field untuk memperbarui daftar isi.</w:t>
        <w:fldChar w:fldCharType="end"/>
      </w:r>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rPr>
                <w:b/>
              </w:rPr>
              <w:t>Ringkasan perubahan menuju versi final.</w:t>
            </w:r>
            <w:r>
              <w:t xml:space="preserve"> Atas masukan dosen pembimbing, fitur penerbitan dan penandatanganan surat digital dihapus; penandatanganan dokumen kembali dilakukan tatap muka. Aplikasi difokuskan menyelesaikan masalah ketidakpastian waktu bertemu Kepala Desa melalui janji temu dan nomor antrean, dengan verifikasi kelayakan berbasis zero-knowledge proof (ZKP) sebagai inti kriptografinya. Tidak ada tanda tangan digital ECDSA pada aplikasi. Dokumen ini menyatukan kebutuhan produk dan penerapan Secure SDLC dalam satu rujukan.</w:t>
            </w:r>
          </w:p>
        </w:tc>
      </w:tr>
    </w:tbl>
    <w:p/>
    <w:p>
      <w:pPr>
        <w:pStyle w:val="Heading1"/>
      </w:pPr>
      <w:r>
        <w:t>Bagian A — Produk</w:t>
      </w:r>
    </w:p>
    <w:p>
      <w:pPr>
        <w:pStyle w:val="Heading1"/>
      </w:pPr>
      <w:r>
        <w:t>A.1 Ringkasan Eksekutif</w:t>
      </w:r>
    </w:p>
    <w:p>
      <w:pPr>
        <w:jc w:val="both"/>
      </w:pPr>
      <w:r>
        <w:t>SIDESA-CM adalah aplikasi layanan warga Desa Cibeteung Muara yang menyediakan penjadwalan janji temu dan nomor antrean untuk keperluan yang mengharuskan pertemuan langsung dengan Kepala Desa atau perangkat desa. Masalah yang dipecahkan: warga harus datang ke kantor desa tanpa kepastian giliran, sehingga waktu terbuang dan pelayanan menumpuk. Aplikasi memberi kepastian giliran, transparansi antrean, dan pemberitahuan otomatis, dengan model rujukan fitur Antrean pada aplikasi Mobile JKN.</w:t>
      </w:r>
    </w:p>
    <w:p>
      <w:pPr>
        <w:jc w:val="both"/>
      </w:pPr>
      <w:r>
        <w:t>Nilai kriptografis produk terletak pada verifikasi kelayakan yang menjaga privasi: sebelum memesan antrean, warga membuktikan dirinya penduduk terdaftar yang berhak tanpa mengungkap NIK, memakai bukti-pengetahuan Schnorr (ZKP) dan keanggotaan pohon Merkle. Keamanan tidak ditambalkan di akhir tetapi disisipkan pada setiap tahap pengembangan melalui Secure SDLC (Bagian B).</w:t>
      </w:r>
    </w:p>
    <w:p>
      <w:pPr>
        <w:pStyle w:val="Heading1"/>
      </w:pPr>
      <w:r>
        <w:t>A.2 Latar dan Masalah</w:t>
      </w:r>
    </w:p>
    <w:p>
      <w:pPr>
        <w:jc w:val="both"/>
      </w:pPr>
      <w:r>
        <w:t>Keperluan warga yang menuntut kehadiran Kepala Desa — konsultasi, pengaduan, legalisir/tatap muka — mengharuskan datang fisik tanpa kepastian waktu, sehingga warga menunggu lama atau bolak-balik. Perangkat desa pun menghadapi antrean tak terkelola dan beban menumpuk pada jam tertentu tanpa data kebutuhan layanan. Penjadwalan dan antrean digital memberi kepastian bagi warga dan meratakan beban bagi kantor, sekaligus menjadi wadah penerapan ZKP untuk kelayakan yang menjaga data pribadi.</w:t>
      </w:r>
    </w:p>
    <w:p>
      <w:pPr>
        <w:pStyle w:val="Heading1"/>
      </w:pPr>
      <w:r>
        <w:t>A.3 Tujuan dan Metrik Keberhasilan</w:t>
      </w:r>
    </w:p>
    <w:tbl>
      <w:tblPr>
        <w:tblStyle w:val="TableGrid"/>
        <w:tblW w:type="auto" w:w="0"/>
        <w:jc w:val="center"/>
        <w:tblLayout w:type="fixed"/>
        <w:tblLook w:firstColumn="1" w:firstRow="1" w:lastColumn="0" w:lastRow="0" w:noHBand="0" w:noVBand="1" w:val="04A0"/>
      </w:tblPr>
      <w:tblGrid>
        <w:gridCol w:w="4677"/>
        <w:gridCol w:w="4677"/>
      </w:tblGrid>
      <w:tr>
        <w:tc>
          <w:tcPr>
            <w:tcW w:type="dxa" w:w="2684"/>
            <w:shd w:val="clear" w:fill="1F3A5F"/>
            <w:tcMar>
              <w:top w:w="40" w:type="dxa"/>
              <w:bottom w:w="40" w:type="dxa"/>
              <w:start w:w="80" w:type="dxa"/>
              <w:end w:w="80" w:type="dxa"/>
            </w:tcMar>
          </w:tcPr>
          <w:p>
            <w:r>
              <w:rPr>
                <w:b/>
                <w:color w:val="FFFFFF"/>
                <w:sz w:val="20"/>
              </w:rPr>
            </w:r>
            <w:r>
              <w:rPr>
                <w:b/>
                <w:color w:val="FFFFFF"/>
                <w:sz w:val="20"/>
              </w:rPr>
              <w:t>Tujuan</w:t>
            </w:r>
          </w:p>
        </w:tc>
        <w:tc>
          <w:tcPr>
            <w:tcW w:type="dxa" w:w="6670"/>
            <w:shd w:val="clear" w:fill="1F3A5F"/>
            <w:tcMar>
              <w:top w:w="40" w:type="dxa"/>
              <w:bottom w:w="40" w:type="dxa"/>
              <w:start w:w="80" w:type="dxa"/>
              <w:end w:w="80" w:type="dxa"/>
            </w:tcMar>
          </w:tcPr>
          <w:p>
            <w:r>
              <w:rPr>
                <w:b/>
                <w:color w:val="FFFFFF"/>
                <w:sz w:val="20"/>
              </w:rPr>
            </w:r>
            <w:r>
              <w:rPr>
                <w:b/>
                <w:color w:val="FFFFFF"/>
                <w:sz w:val="20"/>
              </w:rPr>
              <w:t>Metrik</w:t>
            </w:r>
          </w:p>
        </w:tc>
      </w:tr>
      <w:tr>
        <w:tc>
          <w:tcPr>
            <w:tcW w:type="dxa" w:w="2684"/>
            <w:tcMar>
              <w:top w:w="40" w:type="dxa"/>
              <w:bottom w:w="40" w:type="dxa"/>
              <w:start w:w="80" w:type="dxa"/>
              <w:end w:w="80" w:type="dxa"/>
            </w:tcMar>
          </w:tcPr>
          <w:p>
            <w:r>
              <w:rPr>
                <w:sz w:val="19"/>
              </w:rPr>
            </w:r>
            <w:r>
              <w:rPr>
                <w:sz w:val="19"/>
              </w:rPr>
              <w:t>Memberi kepastian giliran</w:t>
            </w:r>
          </w:p>
        </w:tc>
        <w:tc>
          <w:tcPr>
            <w:tcW w:type="dxa" w:w="6670"/>
            <w:tcMar>
              <w:top w:w="40" w:type="dxa"/>
              <w:bottom w:w="40" w:type="dxa"/>
              <w:start w:w="80" w:type="dxa"/>
              <w:end w:w="80" w:type="dxa"/>
            </w:tcMar>
          </w:tcPr>
          <w:p>
            <w:r>
              <w:rPr>
                <w:sz w:val="19"/>
              </w:rPr>
            </w:r>
            <w:r>
              <w:rPr>
                <w:sz w:val="19"/>
              </w:rPr>
              <w:t>Warga memperoleh nomor antrean/slot sebelum datang; estimasi waktu tunggu tersedia</w:t>
            </w:r>
          </w:p>
        </w:tc>
      </w:tr>
      <w:tr>
        <w:tc>
          <w:tcPr>
            <w:tcW w:type="dxa" w:w="2684"/>
            <w:tcMar>
              <w:top w:w="40" w:type="dxa"/>
              <w:bottom w:w="40" w:type="dxa"/>
              <w:start w:w="80" w:type="dxa"/>
              <w:end w:w="80" w:type="dxa"/>
            </w:tcMar>
            <w:shd w:val="clear" w:fill="EEF2F7"/>
          </w:tcPr>
          <w:p>
            <w:r>
              <w:rPr>
                <w:sz w:val="19"/>
              </w:rPr>
            </w:r>
            <w:r>
              <w:rPr>
                <w:sz w:val="19"/>
              </w:rPr>
              <w:t>Mengurangi penumpukan</w:t>
            </w:r>
          </w:p>
        </w:tc>
        <w:tc>
          <w:tcPr>
            <w:tcW w:type="dxa" w:w="6670"/>
            <w:tcMar>
              <w:top w:w="40" w:type="dxa"/>
              <w:bottom w:w="40" w:type="dxa"/>
              <w:start w:w="80" w:type="dxa"/>
              <w:end w:w="80" w:type="dxa"/>
            </w:tcMar>
            <w:shd w:val="clear" w:fill="EEF2F7"/>
          </w:tcPr>
          <w:p>
            <w:r>
              <w:rPr>
                <w:sz w:val="19"/>
              </w:rPr>
            </w:r>
            <w:r>
              <w:rPr>
                <w:sz w:val="19"/>
              </w:rPr>
              <w:t>Distribusi kedatangan lebih merata antar jam layanan</w:t>
            </w:r>
          </w:p>
        </w:tc>
      </w:tr>
      <w:tr>
        <w:tc>
          <w:tcPr>
            <w:tcW w:type="dxa" w:w="2684"/>
            <w:tcMar>
              <w:top w:w="40" w:type="dxa"/>
              <w:bottom w:w="40" w:type="dxa"/>
              <w:start w:w="80" w:type="dxa"/>
              <w:end w:w="80" w:type="dxa"/>
            </w:tcMar>
          </w:tcPr>
          <w:p>
            <w:r>
              <w:rPr>
                <w:sz w:val="19"/>
              </w:rPr>
            </w:r>
            <w:r>
              <w:rPr>
                <w:sz w:val="19"/>
              </w:rPr>
              <w:t>Menjaga privasi data kependudukan</w:t>
            </w:r>
          </w:p>
        </w:tc>
        <w:tc>
          <w:tcPr>
            <w:tcW w:type="dxa" w:w="6670"/>
            <w:tcMar>
              <w:top w:w="40" w:type="dxa"/>
              <w:bottom w:w="40" w:type="dxa"/>
              <w:start w:w="80" w:type="dxa"/>
              <w:end w:w="80" w:type="dxa"/>
            </w:tcMar>
          </w:tcPr>
          <w:p>
            <w:r>
              <w:rPr>
                <w:sz w:val="19"/>
              </w:rPr>
            </w:r>
            <w:r>
              <w:rPr>
                <w:sz w:val="19"/>
              </w:rPr>
              <w:t>NIK tidak pernah dikirim/disimpan mentah; kelayakan terbukti tanpa NIK</w:t>
            </w:r>
          </w:p>
        </w:tc>
      </w:tr>
      <w:tr>
        <w:tc>
          <w:tcPr>
            <w:tcW w:type="dxa" w:w="2684"/>
            <w:tcMar>
              <w:top w:w="40" w:type="dxa"/>
              <w:bottom w:w="40" w:type="dxa"/>
              <w:start w:w="80" w:type="dxa"/>
              <w:end w:w="80" w:type="dxa"/>
            </w:tcMar>
            <w:shd w:val="clear" w:fill="EEF2F7"/>
          </w:tcPr>
          <w:p>
            <w:r>
              <w:rPr>
                <w:sz w:val="19"/>
              </w:rPr>
            </w:r>
            <w:r>
              <w:rPr>
                <w:sz w:val="19"/>
              </w:rPr>
              <w:t>Menegakkan kelayakan</w:t>
            </w:r>
          </w:p>
        </w:tc>
        <w:tc>
          <w:tcPr>
            <w:tcW w:type="dxa" w:w="6670"/>
            <w:tcMar>
              <w:top w:w="40" w:type="dxa"/>
              <w:bottom w:w="40" w:type="dxa"/>
              <w:start w:w="80" w:type="dxa"/>
              <w:end w:w="80" w:type="dxa"/>
            </w:tcMar>
            <w:shd w:val="clear" w:fill="EEF2F7"/>
          </w:tcPr>
          <w:p>
            <w:r>
              <w:rPr>
                <w:sz w:val="19"/>
              </w:rPr>
            </w:r>
            <w:r>
              <w:rPr>
                <w:sz w:val="19"/>
              </w:rPr>
              <w:t>Hanya penduduk terdaftar yang dapat memesan; percobaan non-anggota ditolak</w:t>
            </w:r>
          </w:p>
        </w:tc>
      </w:tr>
      <w:tr>
        <w:tc>
          <w:tcPr>
            <w:tcW w:type="dxa" w:w="2684"/>
            <w:tcMar>
              <w:top w:w="40" w:type="dxa"/>
              <w:bottom w:w="40" w:type="dxa"/>
              <w:start w:w="80" w:type="dxa"/>
              <w:end w:w="80" w:type="dxa"/>
            </w:tcMar>
          </w:tcPr>
          <w:p>
            <w:r>
              <w:rPr>
                <w:sz w:val="19"/>
              </w:rPr>
            </w:r>
            <w:r>
              <w:rPr>
                <w:sz w:val="19"/>
              </w:rPr>
              <w:t>Keandalan</w:t>
            </w:r>
          </w:p>
        </w:tc>
        <w:tc>
          <w:tcPr>
            <w:tcW w:type="dxa" w:w="6670"/>
            <w:tcMar>
              <w:top w:w="40" w:type="dxa"/>
              <w:bottom w:w="40" w:type="dxa"/>
              <w:start w:w="80" w:type="dxa"/>
              <w:end w:w="80" w:type="dxa"/>
            </w:tcMar>
          </w:tcPr>
          <w:p>
            <w:r>
              <w:rPr>
                <w:sz w:val="19"/>
              </w:rPr>
            </w:r>
            <w:r>
              <w:rPr>
                <w:sz w:val="19"/>
              </w:rPr>
              <w:t>Alur pesan → panggil → dilayani berjalan pada perangkat nyata; notifikasi tiba</w:t>
            </w:r>
          </w:p>
        </w:tc>
      </w:tr>
    </w:tbl>
    <w:p/>
    <w:p>
      <w:pPr>
        <w:pStyle w:val="Heading1"/>
      </w:pPr>
      <w:r>
        <w:t>A.4 Pengguna dan Peran</w:t>
      </w:r>
    </w:p>
    <w:p>
      <w:pPr>
        <w:pStyle w:val="ListBullet"/>
      </w:pPr>
      <w:r>
        <w:rPr>
          <w:b/>
        </w:rPr>
        <w:t>Warga (WARGA).</w:t>
      </w:r>
      <w:r>
        <w:t xml:space="preserve"> Penduduk terdaftar. Memesan janji temu/antrean, memantau status, menerima notifikasi, check-in.</w:t>
      </w:r>
    </w:p>
    <w:p>
      <w:pPr>
        <w:pStyle w:val="ListBullet"/>
      </w:pPr>
      <w:r>
        <w:rPr>
          <w:b/>
        </w:rPr>
        <w:t>Operator (OPERATOR).</w:t>
      </w:r>
      <w:r>
        <w:t xml:space="preserve"> Petugas desa. Mengelola slot dan kuota, menjalankan papan antrean (panggil/dilayani/tidak hadir), menerbitkan kode enrolment setelah memeriksa kartu identitas, dan mengelola registri penduduk.</w:t>
      </w:r>
    </w:p>
    <w:p>
      <w:pPr>
        <w:pStyle w:val="ListBullet"/>
      </w:pPr>
      <w:r>
        <w:rPr>
          <w:b/>
        </w:rPr>
        <w:t>Kepala Desa (KADES).</w:t>
      </w:r>
      <w:r>
        <w:t xml:space="preserve"> Melihat agenda pertemuan harian dan ringkasan antrean. Tidak memegang kunci privat dan tidak menandatangani apa pun di aplikasi.</w:t>
      </w:r>
    </w:p>
    <w:p>
      <w:pPr>
        <w:pStyle w:val="ListBullet"/>
      </w:pPr>
      <w:r>
        <w:rPr>
          <w:b/>
        </w:rPr>
        <w:t>Administrator (ADMIN).</w:t>
      </w:r>
      <w:r>
        <w:t xml:space="preserve"> Konfigurasi sistem, tata kelola akun, dan audit.</w:t>
      </w:r>
    </w:p>
    <w:p>
      <w:pPr>
        <w:pStyle w:val="Heading1"/>
      </w:pPr>
      <w:r>
        <w:t>A.5 Produk Rujukan</w:t>
      </w:r>
    </w:p>
    <w:p>
      <w:pPr>
        <w:jc w:val="both"/>
      </w:pPr>
      <w:r>
        <w:t>Fitur Antrean Mobile JKN (BPJS Kesehatan): pengguna memilih fasilitas/poli dan memperoleh nomor antrean serta status giliran untuk keperluan kontrol/temu. SIDESA-CM mengadaptasi pola ini ke konteks layanan desa Cibeteung Muara, dengan tambahan gerbang kelayakan berbasis ZKP yang menjaga privasi.</w:t>
      </w:r>
    </w:p>
    <w:p>
      <w:pPr>
        <w:pStyle w:val="Heading1"/>
      </w:pPr>
      <w:r>
        <w:t>A.6 Arsitektur Sistem</w:t>
      </w:r>
    </w:p>
    <w:p>
      <w:pPr>
        <w:jc w:val="both"/>
      </w:pPr>
      <w:r>
        <w:t>Sistem disusun sebagai monorepo dengan tiga paket: pustaka kriptografi berbasis TypeScript (</w:t>
      </w:r>
      <w:r>
        <w:rPr>
          <w:rFonts w:ascii="Consolas" w:hAnsi="Consolas"/>
          <w:color w:val="B03060"/>
          <w:sz w:val="19"/>
        </w:rPr>
        <w:t>@sidesa/crypto</w:t>
      </w:r>
      <w:r>
        <w:t>) sebagai satu titik operasi kripto yang dapat diaudit; peladen berbasis NestJS dengan basis data PostgreSQL; dan aplikasi seluler berbasis Flutter. Peran ditegakkan melalui kendali akses berbasis peran pada setiap endpoint. Batas kepercayaan memisahkan perangkat warga dari peladen desa; peladen adalah pemelihara registri penduduk yang berwenang untuk verifikasi kelayakan.</w:t>
      </w:r>
    </w:p>
    <w:p>
      <w:pPr>
        <w:pStyle w:val="Heading1"/>
      </w:pPr>
      <w:r>
        <w:t>A.7 Rancangan Kriptografi (inti: ZKP)</w:t>
      </w:r>
    </w:p>
    <w:p>
      <w:pPr>
        <w:pStyle w:val="Heading2"/>
      </w:pPr>
      <w:r>
        <w:t xml:space="preserve"> A.7.1 Satu primitif untuk tiga gerbang</w:t>
      </w:r>
    </w:p>
    <w:p>
      <w:pPr>
        <w:pStyle w:val="ListBullet"/>
      </w:pPr>
      <w:r>
        <w:rPr>
          <w:b/>
        </w:rPr>
        <w:t>Autentikasi (login).</w:t>
      </w:r>
      <w:r>
        <w:t xml:space="preserve"> Perangkat membuktikan penguasaan kunci atas konteks </w:t>
      </w:r>
      <w:r>
        <w:rPr>
          <w:rFonts w:ascii="Consolas" w:hAnsi="Consolas"/>
          <w:color w:val="B03060"/>
          <w:sz w:val="19"/>
        </w:rPr>
        <w:t>SIDESA-auth-v1|akun|nonce</w:t>
      </w:r>
      <w:r>
        <w:t xml:space="preserve"> terhadap X terdaftar; nonce sekali pakai mencegah pemutaran ulang.</w:t>
      </w:r>
    </w:p>
    <w:p>
      <w:pPr>
        <w:pStyle w:val="ListBullet"/>
      </w:pPr>
      <w:r>
        <w:rPr>
          <w:b/>
        </w:rPr>
        <w:t>Enrolment.</w:t>
      </w:r>
      <w:r>
        <w:t xml:space="preserve"> Setelah operator memverifikasi kartu identitas secara fisik dan menerbitkan kode sekali pakai, perangkat mengklaim dengan bukti Schnorr atas </w:t>
      </w:r>
      <w:r>
        <w:rPr>
          <w:rFonts w:ascii="Consolas" w:hAnsi="Consolas"/>
          <w:color w:val="B03060"/>
          <w:sz w:val="19"/>
        </w:rPr>
        <w:t>SIDESA-enroll-v1|kode|X</w:t>
      </w:r>
      <w:r>
        <w:t xml:space="preserve">, mengikat akun ke X dan membentuk daun registri </w:t>
      </w:r>
      <w:r>
        <w:rPr>
          <w:rFonts w:ascii="Consolas" w:hAnsi="Consolas"/>
          <w:color w:val="B03060"/>
          <w:sz w:val="19"/>
        </w:rPr>
        <w:t>leaf = H(X ‖ atribut)</w:t>
      </w:r>
      <w:r>
        <w:t>. Menutup pendaftaran kunci milik orang lain.</w:t>
      </w:r>
    </w:p>
    <w:p>
      <w:pPr>
        <w:pStyle w:val="ListBullet"/>
      </w:pPr>
      <w:r>
        <w:rPr>
          <w:b/>
        </w:rPr>
        <w:t>Kelayakan (saat memesan).</w:t>
      </w:r>
      <w:r>
        <w:t xml:space="preserve"> Bukti Schnorr atas </w:t>
      </w:r>
      <w:r>
        <w:rPr>
          <w:rFonts w:ascii="Consolas" w:hAnsi="Consolas"/>
          <w:color w:val="B03060"/>
          <w:sz w:val="19"/>
        </w:rPr>
        <w:t>SIDESA-eligibility-v1|akun|jenis|nonce</w:t>
      </w:r>
      <w:r>
        <w:t xml:space="preserve"> ditambah keanggotaan Merkle daun </w:t>
      </w:r>
      <w:r>
        <w:rPr>
          <w:rFonts w:ascii="Consolas" w:hAnsi="Consolas"/>
          <w:color w:val="B03060"/>
          <w:sz w:val="19"/>
        </w:rPr>
        <w:t>H(X ‖ atribut)</w:t>
      </w:r>
      <w:r>
        <w:t xml:space="preserve"> di bawah akar registri. NIK tidak pernah ikut.</w:t>
      </w:r>
    </w:p>
    <w:p>
      <w:pPr>
        <w:pStyle w:val="Heading2"/>
      </w:pPr>
      <w:r>
        <w:t xml:space="preserve"> A.7.2 Registri penduduk dan minimalisasi data</w:t>
      </w:r>
    </w:p>
    <w:p>
      <w:pPr>
        <w:pStyle w:val="Heading2"/>
      </w:pPr>
      <w:r>
        <w:t xml:space="preserve"> A.7.3 Format wire dan pemisahan domain</w:t>
      </w:r>
    </w:p>
    <w:p>
      <w:pPr>
        <w:pStyle w:val="Heading2"/>
      </w:pPr>
      <w:r>
        <w:t xml:space="preserve"> A.7.4 Keterbatasan yang dinyatakan: kunci tidak berbasis perangkat keras</w:t>
      </w:r>
    </w:p>
    <w:p>
      <w:pPr>
        <w:pStyle w:val="Heading1"/>
      </w:pPr>
      <w:r>
        <w:t>A.8 Kebutuhan Fungsional</w:t>
      </w:r>
    </w:p>
    <w:p>
      <w:pPr>
        <w:pStyle w:val="Heading2"/>
      </w:pPr>
      <w:r>
        <w:t xml:space="preserve"> A.8.1 Onboarding dan Autentikasi</w:t>
      </w:r>
    </w:p>
    <w:p>
      <w:pPr>
        <w:pStyle w:val="Heading2"/>
      </w:pPr>
      <w:r>
        <w:t xml:space="preserve"> A.8.2 Kelayakan Menjaga Privasi</w:t>
      </w:r>
    </w:p>
    <w:p>
      <w:pPr>
        <w:pStyle w:val="Heading2"/>
      </w:pPr>
      <w:r>
        <w:t xml:space="preserve"> A.8.3 Janji Temu dan Antrean</w:t>
      </w:r>
    </w:p>
    <w:p>
      <w:pPr>
        <w:pStyle w:val="Heading2"/>
      </w:pPr>
      <w:r>
        <w:t xml:space="preserve"> A.8.4 Notifikasi</w:t>
      </w:r>
    </w:p>
    <w:p>
      <w:pPr>
        <w:pStyle w:val="Heading2"/>
      </w:pPr>
      <w:r>
        <w:t xml:space="preserve"> A.8.5 Registri dan Audit</w:t>
      </w:r>
    </w:p>
    <w:p>
      <w:pPr>
        <w:pStyle w:val="Heading1"/>
      </w:pPr>
      <w:r>
        <w:t>A.9 Kebutuhan Nonfungsional</w:t>
      </w:r>
    </w:p>
    <w:p>
      <w:pPr>
        <w:pStyle w:val="ListBullet"/>
      </w:pPr>
      <w:r>
        <w:rPr>
          <w:b/>
        </w:rPr>
        <w:t>NFR-1 Privasi (UU PDP).</w:t>
      </w:r>
      <w:r>
        <w:t xml:space="preserve"> NIK tidak pernah dikirim atau disimpan mentah; hanya komitmen tersimpan. Muatan notifikasi bebas data pribadi.</w:t>
      </w:r>
    </w:p>
    <w:p>
      <w:pPr>
        <w:pStyle w:val="ListBullet"/>
      </w:pPr>
      <w:r>
        <w:rPr>
          <w:b/>
        </w:rPr>
        <w:t>NFR-2 Kriptografi.</w:t>
      </w:r>
      <w:r>
        <w:t xml:space="preserve"> Inti kripto berupa ZKP Schnorr (NIZK) + keanggotaan Merkle di atas kurva P-384 dan hash SHA-384. Tidak ada tanda tangan digital ECDSA pada aplikasi. Enkripsi data saat diam (bila diperlukan) memakai AES-256.</w:t>
      </w:r>
    </w:p>
    <w:p>
      <w:pPr>
        <w:pStyle w:val="ListBullet"/>
      </w:pPr>
      <w:r>
        <w:rPr>
          <w:b/>
        </w:rPr>
        <w:t>NFR-3 Kepatuhan.</w:t>
      </w:r>
      <w:r>
        <w:t xml:space="preserve"> Karena aplikasi tidak memproduksi tanda tangan teregulasi, posisi terhadap Keputusan Kepala BSSN Nomor 443 Tahun 2025 perlu dikonfirmasi (Risiko R-1).</w:t>
      </w:r>
    </w:p>
    <w:p>
      <w:pPr>
        <w:pStyle w:val="ListBullet"/>
      </w:pPr>
      <w:r>
        <w:rPr>
          <w:b/>
        </w:rPr>
        <w:t>NFR-4 Keamanan.</w:t>
      </w:r>
      <w:r>
        <w:t xml:space="preserve"> Anti-replay dengan nonce sekali pakai; anti-penyamaran pada enrolment; pembatasan laju permintaan; validasi masukan berbasis skema; audit tamper-evident.</w:t>
      </w:r>
    </w:p>
    <w:p>
      <w:pPr>
        <w:pStyle w:val="ListBullet"/>
      </w:pPr>
      <w:r>
        <w:rPr>
          <w:b/>
        </w:rPr>
        <w:t>NFR-5 Keandalan/Keterpakaian.</w:t>
      </w:r>
      <w:r>
        <w:t xml:space="preserve"> Alur inti berjalan pada perangkat nyata; antarmuka mengikuti panduan Material 3; dapat dipakai warga awam.</w:t>
      </w:r>
    </w:p>
    <w:p>
      <w:pPr>
        <w:pStyle w:val="ListBullet"/>
      </w:pPr>
      <w:r>
        <w:rPr>
          <w:b/>
        </w:rPr>
        <w:t>NFR-6 Konektivitas.</w:t>
      </w:r>
      <w:r>
        <w:t xml:space="preserve"> Fungsi inti mensyaratkan jaringan; kegagalan jaringan ditangani anggun.</w:t>
      </w:r>
    </w:p>
    <w:p>
      <w:pPr>
        <w:pStyle w:val="Heading1"/>
      </w:pPr>
      <w:r>
        <w:t>A.10 Model Data (ringkas)</w:t>
      </w:r>
    </w:p>
    <w:p>
      <w:pPr>
        <w:pStyle w:val="ListBullet"/>
      </w:pPr>
      <w:r>
        <w:rPr>
          <w:b/>
        </w:rPr>
        <w:t>Dipertahankan:</w:t>
      </w:r>
      <w:r>
        <w:t xml:space="preserve"> </w:t>
      </w:r>
      <w:r>
        <w:rPr>
          <w:rFonts w:ascii="Consolas" w:hAnsi="Consolas"/>
          <w:color w:val="B03060"/>
          <w:sz w:val="19"/>
        </w:rPr>
        <w:t>Account</w:t>
      </w:r>
      <w:r>
        <w:t xml:space="preserve"> (dengan </w:t>
      </w:r>
      <w:r>
        <w:rPr>
          <w:rFonts w:ascii="Consolas" w:hAnsi="Consolas"/>
          <w:color w:val="B03060"/>
          <w:sz w:val="19"/>
        </w:rPr>
        <w:t>publicKey</w:t>
      </w:r>
      <w:r>
        <w:t xml:space="preserve"> sebagai X, peran, status, </w:t>
      </w:r>
      <w:r>
        <w:rPr>
          <w:rFonts w:ascii="Consolas" w:hAnsi="Consolas"/>
          <w:color w:val="B03060"/>
          <w:sz w:val="19"/>
        </w:rPr>
        <w:t>displayName</w:t>
      </w:r>
      <w:r>
        <w:t xml:space="preserve">, </w:t>
      </w:r>
      <w:r>
        <w:rPr>
          <w:rFonts w:ascii="Consolas" w:hAnsi="Consolas"/>
          <w:color w:val="B03060"/>
          <w:sz w:val="19"/>
        </w:rPr>
        <w:t>nikCommitment</w:t>
      </w:r>
      <w:r>
        <w:t xml:space="preserve">, </w:t>
      </w:r>
      <w:r>
        <w:rPr>
          <w:rFonts w:ascii="Consolas" w:hAnsi="Consolas"/>
          <w:color w:val="B03060"/>
          <w:sz w:val="19"/>
        </w:rPr>
        <w:t>attributes</w:t>
      </w:r>
      <w:r>
        <w:t xml:space="preserve">, </w:t>
      </w:r>
      <w:r>
        <w:rPr>
          <w:rFonts w:ascii="Consolas" w:hAnsi="Consolas"/>
          <w:color w:val="B03060"/>
          <w:sz w:val="19"/>
        </w:rPr>
        <w:t>leafIndex</w:t>
      </w:r>
      <w:r>
        <w:t xml:space="preserve">), </w:t>
      </w:r>
      <w:r>
        <w:rPr>
          <w:rFonts w:ascii="Consolas" w:hAnsi="Consolas"/>
          <w:color w:val="B03060"/>
          <w:sz w:val="19"/>
        </w:rPr>
        <w:t>AuthChallenge</w:t>
      </w:r>
      <w:r>
        <w:t xml:space="preserve">, </w:t>
      </w:r>
      <w:r>
        <w:rPr>
          <w:rFonts w:ascii="Consolas" w:hAnsi="Consolas"/>
          <w:color w:val="B03060"/>
          <w:sz w:val="19"/>
        </w:rPr>
        <w:t>EligibilityChallenge</w:t>
      </w:r>
      <w:r>
        <w:t xml:space="preserve">, </w:t>
      </w:r>
      <w:r>
        <w:rPr>
          <w:rFonts w:ascii="Consolas" w:hAnsi="Consolas"/>
          <w:color w:val="B03060"/>
          <w:sz w:val="19"/>
        </w:rPr>
        <w:t>EnrollmentCode</w:t>
      </w:r>
      <w:r>
        <w:t xml:space="preserve">, </w:t>
      </w:r>
      <w:r>
        <w:rPr>
          <w:rFonts w:ascii="Consolas" w:hAnsi="Consolas"/>
          <w:color w:val="B03060"/>
          <w:sz w:val="19"/>
        </w:rPr>
        <w:t>RegistryVersion</w:t>
      </w:r>
      <w:r>
        <w:t xml:space="preserve">, </w:t>
      </w:r>
      <w:r>
        <w:rPr>
          <w:rFonts w:ascii="Consolas" w:hAnsi="Consolas"/>
          <w:color w:val="B03060"/>
          <w:sz w:val="19"/>
        </w:rPr>
        <w:t>AuditLog</w:t>
      </w:r>
      <w:r>
        <w:t xml:space="preserve">, </w:t>
      </w:r>
      <w:r>
        <w:rPr>
          <w:rFonts w:ascii="Consolas" w:hAnsi="Consolas"/>
          <w:color w:val="B03060"/>
          <w:sz w:val="19"/>
        </w:rPr>
        <w:t>DeviceToken</w:t>
      </w:r>
      <w:r>
        <w:t xml:space="preserve"> (FCM).</w:t>
      </w:r>
    </w:p>
    <w:p>
      <w:pPr>
        <w:pStyle w:val="ListBullet"/>
      </w:pPr>
      <w:r>
        <w:rPr>
          <w:b/>
        </w:rPr>
        <w:t>Ditambah/diperluas:</w:t>
      </w:r>
      <w:r>
        <w:t xml:space="preserve"> model antrean — </w:t>
      </w:r>
      <w:r>
        <w:rPr>
          <w:rFonts w:ascii="Consolas" w:hAnsi="Consolas"/>
          <w:color w:val="B03060"/>
          <w:sz w:val="19"/>
        </w:rPr>
        <w:t>ServiceType</w:t>
      </w:r>
      <w:r>
        <w:t xml:space="preserve">, kuota/slot harian, dan tiket antrean dengan status </w:t>
      </w:r>
      <w:r>
        <w:rPr>
          <w:rFonts w:ascii="Consolas" w:hAnsi="Consolas"/>
          <w:color w:val="B03060"/>
          <w:sz w:val="19"/>
        </w:rPr>
        <w:t>WAITING</w:t>
      </w:r>
      <w:r>
        <w:t xml:space="preserve"> → </w:t>
      </w:r>
      <w:r>
        <w:rPr>
          <w:rFonts w:ascii="Consolas" w:hAnsi="Consolas"/>
          <w:color w:val="B03060"/>
          <w:sz w:val="19"/>
        </w:rPr>
        <w:t>CALLED</w:t>
      </w:r>
      <w:r>
        <w:t xml:space="preserve"> → </w:t>
      </w:r>
      <w:r>
        <w:rPr>
          <w:rFonts w:ascii="Consolas" w:hAnsi="Consolas"/>
          <w:color w:val="B03060"/>
          <w:sz w:val="19"/>
        </w:rPr>
        <w:t>SERVED</w:t>
      </w:r>
      <w:r>
        <w:t xml:space="preserve"> / </w:t>
      </w:r>
      <w:r>
        <w:rPr>
          <w:rFonts w:ascii="Consolas" w:hAnsi="Consolas"/>
          <w:color w:val="B03060"/>
          <w:sz w:val="19"/>
        </w:rPr>
        <w:t>NO_SHOW</w:t>
      </w:r>
      <w:r>
        <w:t xml:space="preserve"> / </w:t>
      </w:r>
      <w:r>
        <w:rPr>
          <w:rFonts w:ascii="Consolas" w:hAnsi="Consolas"/>
          <w:color w:val="B03060"/>
          <w:sz w:val="19"/>
        </w:rPr>
        <w:t>CANCELLED</w:t>
      </w:r>
      <w:r>
        <w:t>, token check-in, dan stempel waktu transisi.</w:t>
      </w:r>
    </w:p>
    <w:p>
      <w:pPr>
        <w:pStyle w:val="ListBullet"/>
      </w:pPr>
      <w:r>
        <w:rPr>
          <w:b/>
        </w:rPr>
        <w:t>Dihapus:</w:t>
      </w:r>
      <w:r>
        <w:t xml:space="preserve"> </w:t>
      </w:r>
      <w:r>
        <w:rPr>
          <w:rFonts w:ascii="Consolas" w:hAnsi="Consolas"/>
          <w:color w:val="B03060"/>
          <w:sz w:val="19"/>
        </w:rPr>
        <w:t>LetterRequest</w:t>
      </w:r>
      <w:r>
        <w:t xml:space="preserve">, </w:t>
      </w:r>
      <w:r>
        <w:rPr>
          <w:rFonts w:ascii="Consolas" w:hAnsi="Consolas"/>
          <w:color w:val="B03060"/>
          <w:sz w:val="19"/>
        </w:rPr>
        <w:t>Letter</w:t>
      </w:r>
      <w:r>
        <w:t>, jenis/status surat, dan jalur verifikasi publik.</w:t>
      </w:r>
    </w:p>
    <w:p>
      <w:pPr>
        <w:pStyle w:val="Heading1"/>
      </w:pPr>
      <w:r>
        <w:t>A.11 Di Luar Cakupan</w:t>
      </w:r>
    </w:p>
    <w:p>
      <w:pPr>
        <w:jc w:val="both"/>
      </w:pPr>
      <w:r>
        <w:t>Penerbitan dan penandatanganan surat digital; render PDF; kode QR; verifikasi publik dokumen; kunci identitas berbasis perangkat keras (StrongBox) dan gerbang biometrik pada operasi kripto; anonimitas penuh (unlinkability); integrasi Penyelenggara Sertifikasi Elektronik (PSrE/BSrE).</w:t>
      </w:r>
    </w:p>
    <w:p>
      <w:pPr>
        <w:pStyle w:val="Heading1"/>
      </w:pPr>
      <w:r>
        <w:t>Bagian B — Penerapan Secure SDLC (SSDLC)</w:t>
      </w:r>
    </w:p>
    <w:p>
      <w:pPr>
        <w:jc w:val="both"/>
      </w:pPr>
      <w:r>
        <w:t>Secure SDLC menyisipkan aktivitas keamanan pada setiap tahap pengembangan. Karena SIDESA-CM menangani data kependudukan yang dilindungi undang-undang, keamanan adalah syarat utama, bukan pelengkap. Bagian ini merangkum kerangka yang dipakai, perumusan kebutuhan keamanan dengan PASTA, pemodelan ancaman STRIDE, penerapan per fase Microsoft SDL, dan pemetaan ke NIST SSDF — disesuaikan dengan produk yang telah diorientasikan ulang.</w:t>
      </w:r>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rPr>
                <w:b/>
              </w:rPr>
              <w:t>Catatan status yang jujur.</w:t>
            </w:r>
            <w:r>
              <w:t xml:space="preserve"> Kebutuhan dan perancangan aman produk versi ini telah lengkap (PRD ini, dokumen desain, dan model ancaman STRIDE). Infrastruktur keamanan bersama telah terbangun dan teruji pada basis kode sebelumnya serta terbawa ke versi ini (log audit berantai-hash, pembatasan laju, validasi masukan, enrolment Model B, registri Merkle, notifikasi FCM, disiplin TDD). Implementasi khusus ZKP (migrasi auth/enrolment/kelayakan ke Schnorr) dan subsistem antrean adalah pekerjaan yang segera menyusul, diverifikasi dengan metodologi yang sama (uji soundness/negatif + interop + di perangkat).</w:t>
            </w:r>
          </w:p>
        </w:tc>
      </w:tr>
    </w:tbl>
    <w:p/>
    <w:p>
      <w:pPr>
        <w:pStyle w:val="Heading1"/>
      </w:pPr>
      <w:r>
        <w:t>B.1 Pemilihan Kerangka</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536"/>
            <w:shd w:val="clear" w:fill="1F3A5F"/>
            <w:tcMar>
              <w:top w:w="40" w:type="dxa"/>
              <w:bottom w:w="40" w:type="dxa"/>
              <w:start w:w="80" w:type="dxa"/>
              <w:end w:w="80" w:type="dxa"/>
            </w:tcMar>
          </w:tcPr>
          <w:p>
            <w:r>
              <w:rPr>
                <w:b/>
                <w:color w:val="FFFFFF"/>
                <w:sz w:val="20"/>
              </w:rPr>
            </w:r>
            <w:r>
              <w:rPr>
                <w:b/>
                <w:color w:val="FFFFFF"/>
                <w:sz w:val="20"/>
              </w:rPr>
              <w:t>Kerangka</w:t>
            </w:r>
          </w:p>
        </w:tc>
        <w:tc>
          <w:tcPr>
            <w:tcW w:type="dxa" w:w="1955"/>
            <w:shd w:val="clear" w:fill="1F3A5F"/>
            <w:tcMar>
              <w:top w:w="40" w:type="dxa"/>
              <w:bottom w:w="40" w:type="dxa"/>
              <w:start w:w="80" w:type="dxa"/>
              <w:end w:w="80" w:type="dxa"/>
            </w:tcMar>
          </w:tcPr>
          <w:p>
            <w:r>
              <w:rPr>
                <w:b/>
                <w:color w:val="FFFFFF"/>
                <w:sz w:val="20"/>
              </w:rPr>
            </w:r>
            <w:r>
              <w:rPr>
                <w:b/>
                <w:color w:val="FFFFFF"/>
                <w:sz w:val="20"/>
              </w:rPr>
              <w:t>Peran</w:t>
            </w:r>
          </w:p>
        </w:tc>
        <w:tc>
          <w:tcPr>
            <w:tcW w:type="dxa" w:w="5864"/>
            <w:shd w:val="clear" w:fill="1F3A5F"/>
            <w:tcMar>
              <w:top w:w="40" w:type="dxa"/>
              <w:bottom w:w="40" w:type="dxa"/>
              <w:start w:w="80" w:type="dxa"/>
              <w:end w:w="80" w:type="dxa"/>
            </w:tcMar>
          </w:tcPr>
          <w:p>
            <w:r>
              <w:rPr>
                <w:b/>
                <w:color w:val="FFFFFF"/>
                <w:sz w:val="20"/>
              </w:rPr>
            </w:r>
            <w:r>
              <w:rPr>
                <w:b/>
                <w:color w:val="FFFFFF"/>
                <w:sz w:val="20"/>
              </w:rPr>
              <w:t>Alasan</w:t>
            </w:r>
          </w:p>
        </w:tc>
      </w:tr>
      <w:tr>
        <w:tc>
          <w:tcPr>
            <w:tcW w:type="dxa" w:w="1536"/>
            <w:tcMar>
              <w:top w:w="40" w:type="dxa"/>
              <w:bottom w:w="40" w:type="dxa"/>
              <w:start w:w="80" w:type="dxa"/>
              <w:end w:w="80" w:type="dxa"/>
            </w:tcMar>
          </w:tcPr>
          <w:p>
            <w:r>
              <w:rPr>
                <w:sz w:val="19"/>
              </w:rPr>
            </w:r>
            <w:r>
              <w:rPr>
                <w:sz w:val="19"/>
              </w:rPr>
              <w:t>Microsoft SDL</w:t>
            </w:r>
          </w:p>
        </w:tc>
        <w:tc>
          <w:tcPr>
            <w:tcW w:type="dxa" w:w="1955"/>
            <w:tcMar>
              <w:top w:w="40" w:type="dxa"/>
              <w:bottom w:w="40" w:type="dxa"/>
              <w:start w:w="80" w:type="dxa"/>
              <w:end w:w="80" w:type="dxa"/>
            </w:tcMar>
          </w:tcPr>
          <w:p>
            <w:r>
              <w:rPr>
                <w:sz w:val="19"/>
              </w:rPr>
            </w:r>
            <w:r>
              <w:rPr>
                <w:sz w:val="19"/>
              </w:rPr>
              <w:t>Kerangka utama</w:t>
            </w:r>
          </w:p>
        </w:tc>
        <w:tc>
          <w:tcPr>
            <w:tcW w:type="dxa" w:w="5864"/>
            <w:tcMar>
              <w:top w:w="40" w:type="dxa"/>
              <w:bottom w:w="40" w:type="dxa"/>
              <w:start w:w="80" w:type="dxa"/>
              <w:end w:w="80" w:type="dxa"/>
            </w:tcMar>
          </w:tcPr>
          <w:p>
            <w:r>
              <w:rPr>
                <w:sz w:val="19"/>
              </w:rPr>
            </w:r>
            <w:r>
              <w:rPr>
                <w:sz w:val="19"/>
              </w:rPr>
              <w:t>Berbasis fase (Training → Response); selaras alur kerja; mudah dipresentasikan</w:t>
            </w:r>
          </w:p>
        </w:tc>
      </w:tr>
      <w:tr>
        <w:tc>
          <w:tcPr>
            <w:tcW w:type="dxa" w:w="1536"/>
            <w:tcMar>
              <w:top w:w="40" w:type="dxa"/>
              <w:bottom w:w="40" w:type="dxa"/>
              <w:start w:w="80" w:type="dxa"/>
              <w:end w:w="80" w:type="dxa"/>
            </w:tcMar>
            <w:shd w:val="clear" w:fill="EEF2F7"/>
          </w:tcPr>
          <w:p>
            <w:r>
              <w:rPr>
                <w:sz w:val="19"/>
              </w:rPr>
            </w:r>
            <w:r>
              <w:rPr>
                <w:sz w:val="19"/>
              </w:rPr>
              <w:t>NIST SSDF (SP 800-218)</w:t>
            </w:r>
          </w:p>
        </w:tc>
        <w:tc>
          <w:tcPr>
            <w:tcW w:type="dxa" w:w="1955"/>
            <w:tcMar>
              <w:top w:w="40" w:type="dxa"/>
              <w:bottom w:w="40" w:type="dxa"/>
              <w:start w:w="80" w:type="dxa"/>
              <w:end w:w="80" w:type="dxa"/>
            </w:tcMar>
            <w:shd w:val="clear" w:fill="EEF2F7"/>
          </w:tcPr>
          <w:p>
            <w:r>
              <w:rPr>
                <w:sz w:val="19"/>
              </w:rPr>
            </w:r>
            <w:r>
              <w:rPr>
                <w:sz w:val="19"/>
              </w:rPr>
              <w:t>Pelengkap/rujukan</w:t>
            </w:r>
          </w:p>
        </w:tc>
        <w:tc>
          <w:tcPr>
            <w:tcW w:type="dxa" w:w="5864"/>
            <w:tcMar>
              <w:top w:w="40" w:type="dxa"/>
              <w:bottom w:w="40" w:type="dxa"/>
              <w:start w:w="80" w:type="dxa"/>
              <w:end w:w="80" w:type="dxa"/>
            </w:tcMar>
            <w:shd w:val="clear" w:fill="EEF2F7"/>
          </w:tcPr>
          <w:p>
            <w:r>
              <w:rPr>
                <w:sz w:val="19"/>
              </w:rPr>
            </w:r>
            <w:r>
              <w:rPr>
                <w:sz w:val="19"/>
              </w:rPr>
              <w:t>Standar pemerintah; praktik PO/PS/PW/RV; memperkuat keselarasan standar</w:t>
            </w:r>
          </w:p>
        </w:tc>
      </w:tr>
      <w:tr>
        <w:tc>
          <w:tcPr>
            <w:tcW w:type="dxa" w:w="1536"/>
            <w:tcMar>
              <w:top w:w="40" w:type="dxa"/>
              <w:bottom w:w="40" w:type="dxa"/>
              <w:start w:w="80" w:type="dxa"/>
              <w:end w:w="80" w:type="dxa"/>
            </w:tcMar>
          </w:tcPr>
          <w:p>
            <w:r>
              <w:rPr>
                <w:sz w:val="19"/>
              </w:rPr>
            </w:r>
            <w:r>
              <w:rPr>
                <w:sz w:val="19"/>
              </w:rPr>
              <w:t>PASTA + STRIDE</w:t>
            </w:r>
          </w:p>
        </w:tc>
        <w:tc>
          <w:tcPr>
            <w:tcW w:type="dxa" w:w="1955"/>
            <w:tcMar>
              <w:top w:w="40" w:type="dxa"/>
              <w:bottom w:w="40" w:type="dxa"/>
              <w:start w:w="80" w:type="dxa"/>
              <w:end w:w="80" w:type="dxa"/>
            </w:tcMar>
          </w:tcPr>
          <w:p>
            <w:r>
              <w:rPr>
                <w:sz w:val="19"/>
              </w:rPr>
            </w:r>
            <w:r>
              <w:rPr>
                <w:sz w:val="19"/>
              </w:rPr>
              <w:t>Perumusan kebutuhan keamanan</w:t>
            </w:r>
          </w:p>
        </w:tc>
        <w:tc>
          <w:tcPr>
            <w:tcW w:type="dxa" w:w="5864"/>
            <w:tcMar>
              <w:top w:w="40" w:type="dxa"/>
              <w:bottom w:w="40" w:type="dxa"/>
              <w:start w:w="80" w:type="dxa"/>
              <w:end w:w="80" w:type="dxa"/>
            </w:tcMar>
          </w:tcPr>
          <w:p>
            <w:r>
              <w:rPr>
                <w:sz w:val="19"/>
              </w:rPr>
            </w:r>
            <w:r>
              <w:rPr>
                <w:sz w:val="19"/>
              </w:rPr>
              <w:t>PASTA menautkan objektif/kepatuhan ke ancaman; STRIDE mengisi tahap analisis ancaman</w:t>
            </w:r>
          </w:p>
        </w:tc>
      </w:tr>
      <w:tr>
        <w:tc>
          <w:tcPr>
            <w:tcW w:type="dxa" w:w="1536"/>
            <w:tcMar>
              <w:top w:w="40" w:type="dxa"/>
              <w:bottom w:w="40" w:type="dxa"/>
              <w:start w:w="80" w:type="dxa"/>
              <w:end w:w="80" w:type="dxa"/>
            </w:tcMar>
            <w:shd w:val="clear" w:fill="EEF2F7"/>
          </w:tcPr>
          <w:p>
            <w:r>
              <w:rPr>
                <w:sz w:val="19"/>
              </w:rPr>
            </w:r>
            <w:r>
              <w:rPr>
                <w:sz w:val="19"/>
              </w:rPr>
              <w:t>OWASP SAMM</w:t>
            </w:r>
          </w:p>
        </w:tc>
        <w:tc>
          <w:tcPr>
            <w:tcW w:type="dxa" w:w="1955"/>
            <w:tcMar>
              <w:top w:w="40" w:type="dxa"/>
              <w:bottom w:w="40" w:type="dxa"/>
              <w:start w:w="80" w:type="dxa"/>
              <w:end w:w="80" w:type="dxa"/>
            </w:tcMar>
            <w:shd w:val="clear" w:fill="EEF2F7"/>
          </w:tcPr>
          <w:p>
            <w:r>
              <w:rPr>
                <w:sz w:val="19"/>
              </w:rPr>
            </w:r>
            <w:r>
              <w:rPr>
                <w:sz w:val="19"/>
              </w:rPr>
              <w:t>Tidak dipakai</w:t>
            </w:r>
          </w:p>
        </w:tc>
        <w:tc>
          <w:tcPr>
            <w:tcW w:type="dxa" w:w="5864"/>
            <w:tcMar>
              <w:top w:w="40" w:type="dxa"/>
              <w:bottom w:w="40" w:type="dxa"/>
              <w:start w:w="80" w:type="dxa"/>
              <w:end w:w="80" w:type="dxa"/>
            </w:tcMar>
            <w:shd w:val="clear" w:fill="EEF2F7"/>
          </w:tcPr>
          <w:p>
            <w:r>
              <w:rPr>
                <w:sz w:val="19"/>
              </w:rPr>
            </w:r>
            <w:r>
              <w:rPr>
                <w:sz w:val="19"/>
              </w:rPr>
              <w:t>Penilaian kematangan organisasi di luar cakupan tim kecil</w:t>
            </w:r>
          </w:p>
        </w:tc>
      </w:tr>
    </w:tbl>
    <w:p/>
    <w:p>
      <w:pPr>
        <w:pStyle w:val="Heading1"/>
      </w:pPr>
      <w:r>
        <w:t>B.2 Perumusan Kebutuhan Keamanan dengan PASTA</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913"/>
            <w:shd w:val="clear" w:fill="1F3A5F"/>
            <w:tcMar>
              <w:top w:w="40" w:type="dxa"/>
              <w:bottom w:w="40" w:type="dxa"/>
              <w:start w:w="80" w:type="dxa"/>
              <w:end w:w="80" w:type="dxa"/>
            </w:tcMar>
          </w:tcPr>
          <w:p>
            <w:r>
              <w:rPr>
                <w:b/>
                <w:color w:val="FFFFFF"/>
                <w:sz w:val="20"/>
              </w:rPr>
            </w:r>
            <w:r>
              <w:rPr>
                <w:b/>
                <w:color w:val="FFFFFF"/>
                <w:sz w:val="20"/>
              </w:rPr>
              <w:t>Tahap PASTA</w:t>
            </w:r>
          </w:p>
        </w:tc>
        <w:tc>
          <w:tcPr>
            <w:tcW w:type="dxa" w:w="6560"/>
            <w:shd w:val="clear" w:fill="1F3A5F"/>
            <w:tcMar>
              <w:top w:w="40" w:type="dxa"/>
              <w:bottom w:w="40" w:type="dxa"/>
              <w:start w:w="80" w:type="dxa"/>
              <w:end w:w="80" w:type="dxa"/>
            </w:tcMar>
          </w:tcPr>
          <w:p>
            <w:r>
              <w:rPr>
                <w:b/>
                <w:color w:val="FFFFFF"/>
                <w:sz w:val="20"/>
              </w:rPr>
            </w:r>
            <w:r>
              <w:rPr>
                <w:b/>
                <w:color w:val="FFFFFF"/>
                <w:sz w:val="20"/>
              </w:rPr>
              <w:t>Aktivitas</w:t>
            </w:r>
          </w:p>
        </w:tc>
        <w:tc>
          <w:tcPr>
            <w:tcW w:type="dxa" w:w="881"/>
            <w:shd w:val="clear" w:fill="1F3A5F"/>
            <w:tcMar>
              <w:top w:w="40" w:type="dxa"/>
              <w:bottom w:w="40" w:type="dxa"/>
              <w:start w:w="80" w:type="dxa"/>
              <w:end w:w="80" w:type="dxa"/>
            </w:tcMar>
          </w:tcPr>
          <w:p>
            <w:r>
              <w:rPr>
                <w:b/>
                <w:color w:val="FFFFFF"/>
                <w:sz w:val="20"/>
              </w:rPr>
            </w:r>
            <w:r>
              <w:rPr>
                <w:b/>
                <w:color w:val="FFFFFF"/>
                <w:sz w:val="20"/>
              </w:rPr>
              <w:t>Status</w:t>
            </w:r>
          </w:p>
        </w:tc>
      </w:tr>
      <w:tr>
        <w:tc>
          <w:tcPr>
            <w:tcW w:type="dxa" w:w="1913"/>
            <w:tcMar>
              <w:top w:w="40" w:type="dxa"/>
              <w:bottom w:w="40" w:type="dxa"/>
              <w:start w:w="80" w:type="dxa"/>
              <w:end w:w="80" w:type="dxa"/>
            </w:tcMar>
          </w:tcPr>
          <w:p>
            <w:r>
              <w:rPr>
                <w:sz w:val="19"/>
              </w:rPr>
            </w:r>
            <w:r>
              <w:rPr>
                <w:sz w:val="19"/>
              </w:rPr>
              <w:t>1. Define Objectives</w:t>
            </w:r>
          </w:p>
        </w:tc>
        <w:tc>
          <w:tcPr>
            <w:tcW w:type="dxa" w:w="6560"/>
            <w:tcMar>
              <w:top w:w="40" w:type="dxa"/>
              <w:bottom w:w="40" w:type="dxa"/>
              <w:start w:w="80" w:type="dxa"/>
              <w:end w:w="80" w:type="dxa"/>
            </w:tcMar>
          </w:tcPr>
          <w:p>
            <w:r>
              <w:rPr>
                <w:sz w:val="19"/>
              </w:rPr>
            </w:r>
            <w:r>
              <w:rPr>
                <w:sz w:val="19"/>
              </w:rPr>
              <w:t>Tujuan layanan antrean + kewajiban regulasi (UU PDP; dokumen tetap tatap muka; posisi Kepka 443)</w:t>
            </w:r>
          </w:p>
        </w:tc>
        <w:tc>
          <w:tcPr>
            <w:tcW w:type="dxa" w:w="881"/>
            <w:tcMar>
              <w:top w:w="40" w:type="dxa"/>
              <w:bottom w:w="40" w:type="dxa"/>
              <w:start w:w="80" w:type="dxa"/>
              <w:end w:w="80" w:type="dxa"/>
            </w:tcMar>
          </w:tcPr>
          <w:p>
            <w:r>
              <w:rPr>
                <w:sz w:val="19"/>
              </w:rPr>
            </w:r>
            <w:r>
              <w:rPr>
                <w:sz w:val="19"/>
              </w:rPr>
              <w:t>Terpenuhi</w:t>
            </w:r>
          </w:p>
        </w:tc>
      </w:tr>
      <w:tr>
        <w:tc>
          <w:tcPr>
            <w:tcW w:type="dxa" w:w="1913"/>
            <w:tcMar>
              <w:top w:w="40" w:type="dxa"/>
              <w:bottom w:w="40" w:type="dxa"/>
              <w:start w:w="80" w:type="dxa"/>
              <w:end w:w="80" w:type="dxa"/>
            </w:tcMar>
            <w:shd w:val="clear" w:fill="EEF2F7"/>
          </w:tcPr>
          <w:p>
            <w:r>
              <w:rPr>
                <w:sz w:val="19"/>
              </w:rPr>
            </w:r>
            <w:r>
              <w:rPr>
                <w:sz w:val="19"/>
              </w:rPr>
              <w:t>2. Define Technical Scope</w:t>
            </w:r>
          </w:p>
        </w:tc>
        <w:tc>
          <w:tcPr>
            <w:tcW w:type="dxa" w:w="6560"/>
            <w:tcMar>
              <w:top w:w="40" w:type="dxa"/>
              <w:bottom w:w="40" w:type="dxa"/>
              <w:start w:w="80" w:type="dxa"/>
              <w:end w:w="80" w:type="dxa"/>
            </w:tcMar>
            <w:shd w:val="clear" w:fill="EEF2F7"/>
          </w:tcPr>
          <w:p>
            <w:r>
              <w:rPr>
                <w:sz w:val="19"/>
              </w:rPr>
            </w:r>
            <w:r>
              <w:rPr>
                <w:sz w:val="19"/>
              </w:rPr>
              <w:t>Batas sistem, komponen monorepo, batas kepercayaan, pemilihan pustaka kripto</w:t>
            </w:r>
          </w:p>
        </w:tc>
        <w:tc>
          <w:tcPr>
            <w:tcW w:type="dxa" w:w="881"/>
            <w:tcMar>
              <w:top w:w="40" w:type="dxa"/>
              <w:bottom w:w="40" w:type="dxa"/>
              <w:start w:w="80" w:type="dxa"/>
              <w:end w:w="80" w:type="dxa"/>
            </w:tcMar>
            <w:shd w:val="clear" w:fill="EEF2F7"/>
          </w:tcPr>
          <w:p>
            <w:r>
              <w:rPr>
                <w:sz w:val="19"/>
              </w:rPr>
            </w:r>
            <w:r>
              <w:rPr>
                <w:sz w:val="19"/>
              </w:rPr>
              <w:t>Terpenuhi</w:t>
            </w:r>
          </w:p>
        </w:tc>
      </w:tr>
      <w:tr>
        <w:tc>
          <w:tcPr>
            <w:tcW w:type="dxa" w:w="1913"/>
            <w:tcMar>
              <w:top w:w="40" w:type="dxa"/>
              <w:bottom w:w="40" w:type="dxa"/>
              <w:start w:w="80" w:type="dxa"/>
              <w:end w:w="80" w:type="dxa"/>
            </w:tcMar>
          </w:tcPr>
          <w:p>
            <w:r>
              <w:rPr>
                <w:sz w:val="19"/>
              </w:rPr>
            </w:r>
            <w:r>
              <w:rPr>
                <w:sz w:val="19"/>
              </w:rPr>
              <w:t>3. Application Decomposition</w:t>
            </w:r>
          </w:p>
        </w:tc>
        <w:tc>
          <w:tcPr>
            <w:tcW w:type="dxa" w:w="6560"/>
            <w:tcMar>
              <w:top w:w="40" w:type="dxa"/>
              <w:bottom w:w="40" w:type="dxa"/>
              <w:start w:w="80" w:type="dxa"/>
              <w:end w:w="80" w:type="dxa"/>
            </w:tcMar>
          </w:tcPr>
          <w:p>
            <w:r>
              <w:rPr>
                <w:sz w:val="19"/>
              </w:rPr>
            </w:r>
            <w:r>
              <w:rPr>
                <w:sz w:val="19"/>
              </w:rPr>
              <w:t>Dekomposisi empat peran, alur data, titik masuk; autentikasi kepemilikan kunci</w:t>
            </w:r>
          </w:p>
        </w:tc>
        <w:tc>
          <w:tcPr>
            <w:tcW w:type="dxa" w:w="881"/>
            <w:tcMar>
              <w:top w:w="40" w:type="dxa"/>
              <w:bottom w:w="40" w:type="dxa"/>
              <w:start w:w="80" w:type="dxa"/>
              <w:end w:w="80" w:type="dxa"/>
            </w:tcMar>
          </w:tcPr>
          <w:p>
            <w:r>
              <w:rPr>
                <w:sz w:val="19"/>
              </w:rPr>
            </w:r>
            <w:r>
              <w:rPr>
                <w:sz w:val="19"/>
              </w:rPr>
              <w:t>Terpenuhi</w:t>
            </w:r>
          </w:p>
        </w:tc>
      </w:tr>
      <w:tr>
        <w:tc>
          <w:tcPr>
            <w:tcW w:type="dxa" w:w="1913"/>
            <w:tcMar>
              <w:top w:w="40" w:type="dxa"/>
              <w:bottom w:w="40" w:type="dxa"/>
              <w:start w:w="80" w:type="dxa"/>
              <w:end w:w="80" w:type="dxa"/>
            </w:tcMar>
            <w:shd w:val="clear" w:fill="EEF2F7"/>
          </w:tcPr>
          <w:p>
            <w:r>
              <w:rPr>
                <w:sz w:val="19"/>
              </w:rPr>
            </w:r>
            <w:r>
              <w:rPr>
                <w:sz w:val="19"/>
              </w:rPr>
              <w:t>4. Threat Analysis (STRIDE)</w:t>
            </w:r>
          </w:p>
        </w:tc>
        <w:tc>
          <w:tcPr>
            <w:tcW w:type="dxa" w:w="6560"/>
            <w:tcMar>
              <w:top w:w="40" w:type="dxa"/>
              <w:bottom w:w="40" w:type="dxa"/>
              <w:start w:w="80" w:type="dxa"/>
              <w:end w:w="80" w:type="dxa"/>
            </w:tcMar>
            <w:shd w:val="clear" w:fill="EEF2F7"/>
          </w:tcPr>
          <w:p>
            <w:r>
              <w:rPr>
                <w:sz w:val="19"/>
              </w:rPr>
            </w:r>
            <w:r>
              <w:rPr>
                <w:sz w:val="19"/>
              </w:rPr>
              <w:t>Identifikasi ancaman dan mitigasi yang dapat diuji (Tabel B.3)</w:t>
            </w:r>
          </w:p>
        </w:tc>
        <w:tc>
          <w:tcPr>
            <w:tcW w:type="dxa" w:w="881"/>
            <w:tcMar>
              <w:top w:w="40" w:type="dxa"/>
              <w:bottom w:w="40" w:type="dxa"/>
              <w:start w:w="80" w:type="dxa"/>
              <w:end w:w="80" w:type="dxa"/>
            </w:tcMar>
            <w:shd w:val="clear" w:fill="EEF2F7"/>
          </w:tcPr>
          <w:p>
            <w:r>
              <w:rPr>
                <w:sz w:val="19"/>
              </w:rPr>
            </w:r>
            <w:r>
              <w:rPr>
                <w:sz w:val="19"/>
              </w:rPr>
              <w:t>Terpenuhi</w:t>
            </w:r>
          </w:p>
        </w:tc>
      </w:tr>
      <w:tr>
        <w:tc>
          <w:tcPr>
            <w:tcW w:type="dxa" w:w="1913"/>
            <w:tcMar>
              <w:top w:w="40" w:type="dxa"/>
              <w:bottom w:w="40" w:type="dxa"/>
              <w:start w:w="80" w:type="dxa"/>
              <w:end w:w="80" w:type="dxa"/>
            </w:tcMar>
          </w:tcPr>
          <w:p>
            <w:r>
              <w:rPr>
                <w:sz w:val="19"/>
              </w:rPr>
            </w:r>
            <w:r>
              <w:rPr>
                <w:sz w:val="19"/>
              </w:rPr>
              <w:t>5. Vulnerability Analysis</w:t>
            </w:r>
          </w:p>
        </w:tc>
        <w:tc>
          <w:tcPr>
            <w:tcW w:type="dxa" w:w="6560"/>
            <w:tcMar>
              <w:top w:w="40" w:type="dxa"/>
              <w:bottom w:w="40" w:type="dxa"/>
              <w:start w:w="80" w:type="dxa"/>
              <w:end w:w="80" w:type="dxa"/>
            </w:tcMar>
          </w:tcPr>
          <w:p>
            <w:r>
              <w:rPr>
                <w:sz w:val="19"/>
              </w:rPr>
            </w:r>
            <w:r>
              <w:rPr>
                <w:sz w:val="19"/>
              </w:rPr>
              <w:t>Uji negatif/soundness + audit dependensi, tanpa uji penetrasi</w:t>
            </w:r>
          </w:p>
        </w:tc>
        <w:tc>
          <w:tcPr>
            <w:tcW w:type="dxa" w:w="881"/>
            <w:tcMar>
              <w:top w:w="40" w:type="dxa"/>
              <w:bottom w:w="40" w:type="dxa"/>
              <w:start w:w="80" w:type="dxa"/>
              <w:end w:w="80" w:type="dxa"/>
            </w:tcMar>
          </w:tcPr>
          <w:p>
            <w:r>
              <w:rPr>
                <w:sz w:val="19"/>
              </w:rPr>
            </w:r>
            <w:r>
              <w:rPr>
                <w:sz w:val="19"/>
              </w:rPr>
              <w:t>Parsial</w:t>
            </w:r>
          </w:p>
        </w:tc>
      </w:tr>
      <w:tr>
        <w:tc>
          <w:tcPr>
            <w:tcW w:type="dxa" w:w="1913"/>
            <w:tcMar>
              <w:top w:w="40" w:type="dxa"/>
              <w:bottom w:w="40" w:type="dxa"/>
              <w:start w:w="80" w:type="dxa"/>
              <w:end w:w="80" w:type="dxa"/>
            </w:tcMar>
            <w:shd w:val="clear" w:fill="EEF2F7"/>
          </w:tcPr>
          <w:p>
            <w:r>
              <w:rPr>
                <w:sz w:val="19"/>
              </w:rPr>
            </w:r>
            <w:r>
              <w:rPr>
                <w:sz w:val="19"/>
              </w:rPr>
              <w:t>6. Attack Modeling</w:t>
            </w:r>
          </w:p>
        </w:tc>
        <w:tc>
          <w:tcPr>
            <w:tcW w:type="dxa" w:w="6560"/>
            <w:tcMar>
              <w:top w:w="40" w:type="dxa"/>
              <w:bottom w:w="40" w:type="dxa"/>
              <w:start w:w="80" w:type="dxa"/>
              <w:end w:w="80" w:type="dxa"/>
            </w:tcMar>
            <w:shd w:val="clear" w:fill="EEF2F7"/>
          </w:tcPr>
          <w:p>
            <w:r>
              <w:rPr>
                <w:sz w:val="19"/>
              </w:rPr>
            </w:r>
            <w:r>
              <w:rPr>
                <w:sz w:val="19"/>
              </w:rPr>
              <w:t>Skenario serangan naratif, tanpa attack tree formal</w:t>
            </w:r>
          </w:p>
        </w:tc>
        <w:tc>
          <w:tcPr>
            <w:tcW w:type="dxa" w:w="881"/>
            <w:tcMar>
              <w:top w:w="40" w:type="dxa"/>
              <w:bottom w:w="40" w:type="dxa"/>
              <w:start w:w="80" w:type="dxa"/>
              <w:end w:w="80" w:type="dxa"/>
            </w:tcMar>
            <w:shd w:val="clear" w:fill="EEF2F7"/>
          </w:tcPr>
          <w:p>
            <w:r>
              <w:rPr>
                <w:sz w:val="19"/>
              </w:rPr>
            </w:r>
            <w:r>
              <w:rPr>
                <w:sz w:val="19"/>
              </w:rPr>
              <w:t>Parsial</w:t>
            </w:r>
          </w:p>
        </w:tc>
      </w:tr>
      <w:tr>
        <w:tc>
          <w:tcPr>
            <w:tcW w:type="dxa" w:w="1913"/>
            <w:tcMar>
              <w:top w:w="40" w:type="dxa"/>
              <w:bottom w:w="40" w:type="dxa"/>
              <w:start w:w="80" w:type="dxa"/>
              <w:end w:w="80" w:type="dxa"/>
            </w:tcMar>
          </w:tcPr>
          <w:p>
            <w:r>
              <w:rPr>
                <w:sz w:val="19"/>
              </w:rPr>
            </w:r>
            <w:r>
              <w:rPr>
                <w:sz w:val="19"/>
              </w:rPr>
              <w:t>7. Risk &amp; Impact Analysis</w:t>
            </w:r>
          </w:p>
        </w:tc>
        <w:tc>
          <w:tcPr>
            <w:tcW w:type="dxa" w:w="6560"/>
            <w:tcMar>
              <w:top w:w="40" w:type="dxa"/>
              <w:bottom w:w="40" w:type="dxa"/>
              <w:start w:w="80" w:type="dxa"/>
              <w:end w:w="80" w:type="dxa"/>
            </w:tcMar>
          </w:tcPr>
          <w:p>
            <w:r>
              <w:rPr>
                <w:sz w:val="19"/>
              </w:rPr>
            </w:r>
            <w:r>
              <w:rPr>
                <w:sz w:val="19"/>
              </w:rPr>
              <w:t>Risiko residual secara kualitatif (Bagian C.1)</w:t>
            </w:r>
          </w:p>
        </w:tc>
        <w:tc>
          <w:tcPr>
            <w:tcW w:type="dxa" w:w="881"/>
            <w:tcMar>
              <w:top w:w="40" w:type="dxa"/>
              <w:bottom w:w="40" w:type="dxa"/>
              <w:start w:w="80" w:type="dxa"/>
              <w:end w:w="80" w:type="dxa"/>
            </w:tcMar>
          </w:tcPr>
          <w:p>
            <w:r>
              <w:rPr>
                <w:sz w:val="19"/>
              </w:rPr>
            </w:r>
            <w:r>
              <w:rPr>
                <w:sz w:val="19"/>
              </w:rPr>
              <w:t>Parsial</w:t>
            </w:r>
          </w:p>
        </w:tc>
      </w:tr>
    </w:tbl>
    <w:p/>
    <w:p>
      <w:pPr>
        <w:pStyle w:val="Heading1"/>
      </w:pPr>
      <w:r>
        <w:t>B.3 Pemodelan Ancaman STRIDE (disesuaikan produk baru)</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75"/>
            <w:shd w:val="clear" w:fill="1F3A5F"/>
            <w:tcMar>
              <w:top w:w="40" w:type="dxa"/>
              <w:bottom w:w="40" w:type="dxa"/>
              <w:start w:w="80" w:type="dxa"/>
              <w:end w:w="80" w:type="dxa"/>
            </w:tcMar>
          </w:tcPr>
          <w:p>
            <w:r>
              <w:rPr>
                <w:b/>
                <w:color w:val="FFFFFF"/>
                <w:sz w:val="20"/>
              </w:rPr>
            </w:r>
            <w:r>
              <w:rPr>
                <w:b/>
                <w:color w:val="FFFFFF"/>
                <w:sz w:val="20"/>
              </w:rPr>
              <w:t>Kategori</w:t>
            </w:r>
          </w:p>
        </w:tc>
        <w:tc>
          <w:tcPr>
            <w:tcW w:type="dxa" w:w="1951"/>
            <w:shd w:val="clear" w:fill="1F3A5F"/>
            <w:tcMar>
              <w:top w:w="40" w:type="dxa"/>
              <w:bottom w:w="40" w:type="dxa"/>
              <w:start w:w="80" w:type="dxa"/>
              <w:end w:w="80" w:type="dxa"/>
            </w:tcMar>
          </w:tcPr>
          <w:p>
            <w:r>
              <w:rPr>
                <w:b/>
                <w:color w:val="FFFFFF"/>
                <w:sz w:val="20"/>
              </w:rPr>
            </w:r>
            <w:r>
              <w:rPr>
                <w:b/>
                <w:color w:val="FFFFFF"/>
                <w:sz w:val="20"/>
              </w:rPr>
              <w:t>Ancaman</w:t>
            </w:r>
          </w:p>
        </w:tc>
        <w:tc>
          <w:tcPr>
            <w:tcW w:type="dxa" w:w="6428"/>
            <w:shd w:val="clear" w:fill="1F3A5F"/>
            <w:tcMar>
              <w:top w:w="40" w:type="dxa"/>
              <w:bottom w:w="40" w:type="dxa"/>
              <w:start w:w="80" w:type="dxa"/>
              <w:end w:w="80" w:type="dxa"/>
            </w:tcMar>
          </w:tcPr>
          <w:p>
            <w:r>
              <w:rPr>
                <w:b/>
                <w:color w:val="FFFFFF"/>
                <w:sz w:val="20"/>
              </w:rPr>
            </w:r>
            <w:r>
              <w:rPr>
                <w:b/>
                <w:color w:val="FFFFFF"/>
                <w:sz w:val="20"/>
              </w:rPr>
              <w:t>Mitigasi dan cara pengujiannya</w:t>
            </w:r>
          </w:p>
        </w:tc>
      </w:tr>
      <w:tr>
        <w:tc>
          <w:tcPr>
            <w:tcW w:type="dxa" w:w="975"/>
            <w:tcMar>
              <w:top w:w="40" w:type="dxa"/>
              <w:bottom w:w="40" w:type="dxa"/>
              <w:start w:w="80" w:type="dxa"/>
              <w:end w:w="80" w:type="dxa"/>
            </w:tcMar>
          </w:tcPr>
          <w:p>
            <w:r>
              <w:rPr>
                <w:sz w:val="19"/>
              </w:rPr>
            </w:r>
            <w:r>
              <w:rPr>
                <w:sz w:val="19"/>
              </w:rPr>
              <w:t>Spoofing</w:t>
            </w:r>
          </w:p>
        </w:tc>
        <w:tc>
          <w:tcPr>
            <w:tcW w:type="dxa" w:w="1951"/>
            <w:tcMar>
              <w:top w:w="40" w:type="dxa"/>
              <w:bottom w:w="40" w:type="dxa"/>
              <w:start w:w="80" w:type="dxa"/>
              <w:end w:w="80" w:type="dxa"/>
            </w:tcMar>
          </w:tcPr>
          <w:p>
            <w:r>
              <w:rPr>
                <w:sz w:val="19"/>
              </w:rPr>
            </w:r>
            <w:r>
              <w:rPr>
                <w:sz w:val="19"/>
              </w:rPr>
              <w:t>Pemalsuan identitas warga saat login</w:t>
            </w:r>
          </w:p>
        </w:tc>
        <w:tc>
          <w:tcPr>
            <w:tcW w:type="dxa" w:w="6428"/>
            <w:tcMar>
              <w:top w:w="40" w:type="dxa"/>
              <w:bottom w:w="40" w:type="dxa"/>
              <w:start w:w="80" w:type="dxa"/>
              <w:end w:w="80" w:type="dxa"/>
            </w:tcMar>
          </w:tcPr>
          <w:p>
            <w:r>
              <w:rPr>
                <w:sz w:val="19"/>
              </w:rPr>
            </w:r>
            <w:r>
              <w:rPr>
                <w:sz w:val="19"/>
              </w:rPr>
              <w:t>Autentikasi kepemilikan kunci (ZKP Schnorr); diuji melalui penolakan bukti dari kunci lain</w:t>
            </w:r>
          </w:p>
        </w:tc>
      </w:tr>
      <w:tr>
        <w:tc>
          <w:tcPr>
            <w:tcW w:type="dxa" w:w="975"/>
            <w:tcMar>
              <w:top w:w="40" w:type="dxa"/>
              <w:bottom w:w="40" w:type="dxa"/>
              <w:start w:w="80" w:type="dxa"/>
              <w:end w:w="80" w:type="dxa"/>
            </w:tcMar>
            <w:shd w:val="clear" w:fill="EEF2F7"/>
          </w:tcPr>
          <w:p>
            <w:r>
              <w:rPr>
                <w:sz w:val="19"/>
              </w:rPr>
            </w:r>
            <w:r>
              <w:rPr>
                <w:sz w:val="19"/>
              </w:rPr>
              <w:t>Spoofing</w:t>
            </w:r>
          </w:p>
        </w:tc>
        <w:tc>
          <w:tcPr>
            <w:tcW w:type="dxa" w:w="1951"/>
            <w:tcMar>
              <w:top w:w="40" w:type="dxa"/>
              <w:bottom w:w="40" w:type="dxa"/>
              <w:start w:w="80" w:type="dxa"/>
              <w:end w:w="80" w:type="dxa"/>
            </w:tcMar>
            <w:shd w:val="clear" w:fill="EEF2F7"/>
          </w:tcPr>
          <w:p>
            <w:r>
              <w:rPr>
                <w:sz w:val="19"/>
              </w:rPr>
            </w:r>
            <w:r>
              <w:rPr>
                <w:sz w:val="19"/>
              </w:rPr>
              <w:t>Pendaftaran kunci milik orang lain</w:t>
            </w:r>
          </w:p>
        </w:tc>
        <w:tc>
          <w:tcPr>
            <w:tcW w:type="dxa" w:w="6428"/>
            <w:tcMar>
              <w:top w:w="40" w:type="dxa"/>
              <w:bottom w:w="40" w:type="dxa"/>
              <w:start w:w="80" w:type="dxa"/>
              <w:end w:w="80" w:type="dxa"/>
            </w:tcMar>
            <w:shd w:val="clear" w:fill="EEF2F7"/>
          </w:tcPr>
          <w:p>
            <w:r>
              <w:rPr>
                <w:sz w:val="19"/>
              </w:rPr>
            </w:r>
            <w:r>
              <w:rPr>
                <w:sz w:val="19"/>
              </w:rPr>
              <w:t>Bukti Schnorr atas (kode, X) saat klaim; diuji melalui klaim yang ditandatangani kunci berbeda</w:t>
            </w:r>
          </w:p>
        </w:tc>
      </w:tr>
      <w:tr>
        <w:tc>
          <w:tcPr>
            <w:tcW w:type="dxa" w:w="975"/>
            <w:tcMar>
              <w:top w:w="40" w:type="dxa"/>
              <w:bottom w:w="40" w:type="dxa"/>
              <w:start w:w="80" w:type="dxa"/>
              <w:end w:w="80" w:type="dxa"/>
            </w:tcMar>
          </w:tcPr>
          <w:p>
            <w:r>
              <w:rPr>
                <w:sz w:val="19"/>
              </w:rPr>
            </w:r>
            <w:r>
              <w:rPr>
                <w:sz w:val="19"/>
              </w:rPr>
              <w:t>Tampering</w:t>
            </w:r>
          </w:p>
        </w:tc>
        <w:tc>
          <w:tcPr>
            <w:tcW w:type="dxa" w:w="1951"/>
            <w:tcMar>
              <w:top w:w="40" w:type="dxa"/>
              <w:bottom w:w="40" w:type="dxa"/>
              <w:start w:w="80" w:type="dxa"/>
              <w:end w:w="80" w:type="dxa"/>
            </w:tcMar>
          </w:tcPr>
          <w:p>
            <w:r>
              <w:rPr>
                <w:sz w:val="19"/>
              </w:rPr>
            </w:r>
            <w:r>
              <w:rPr>
                <w:sz w:val="19"/>
              </w:rPr>
              <w:t>Manipulasi data/status antrean</w:t>
            </w:r>
          </w:p>
        </w:tc>
        <w:tc>
          <w:tcPr>
            <w:tcW w:type="dxa" w:w="6428"/>
            <w:tcMar>
              <w:top w:w="40" w:type="dxa"/>
              <w:bottom w:w="40" w:type="dxa"/>
              <w:start w:w="80" w:type="dxa"/>
              <w:end w:w="80" w:type="dxa"/>
            </w:tcMar>
          </w:tcPr>
          <w:p>
            <w:r>
              <w:rPr>
                <w:sz w:val="19"/>
              </w:rPr>
            </w:r>
            <w:r>
              <w:rPr>
                <w:sz w:val="19"/>
              </w:rPr>
              <w:t>Kendali akses per endpoint + integritas peladen + rantai audit; diuji transisi hanya oleh peran berwenang</w:t>
            </w:r>
          </w:p>
        </w:tc>
      </w:tr>
      <w:tr>
        <w:tc>
          <w:tcPr>
            <w:tcW w:type="dxa" w:w="975"/>
            <w:tcMar>
              <w:top w:w="40" w:type="dxa"/>
              <w:bottom w:w="40" w:type="dxa"/>
              <w:start w:w="80" w:type="dxa"/>
              <w:end w:w="80" w:type="dxa"/>
            </w:tcMar>
            <w:shd w:val="clear" w:fill="EEF2F7"/>
          </w:tcPr>
          <w:p>
            <w:r>
              <w:rPr>
                <w:sz w:val="19"/>
              </w:rPr>
            </w:r>
            <w:r>
              <w:rPr>
                <w:sz w:val="19"/>
              </w:rPr>
              <w:t>Repudiation</w:t>
            </w:r>
          </w:p>
        </w:tc>
        <w:tc>
          <w:tcPr>
            <w:tcW w:type="dxa" w:w="1951"/>
            <w:tcMar>
              <w:top w:w="40" w:type="dxa"/>
              <w:bottom w:w="40" w:type="dxa"/>
              <w:start w:w="80" w:type="dxa"/>
              <w:end w:w="80" w:type="dxa"/>
            </w:tcMar>
            <w:shd w:val="clear" w:fill="EEF2F7"/>
          </w:tcPr>
          <w:p>
            <w:r>
              <w:rPr>
                <w:sz w:val="19"/>
              </w:rPr>
            </w:r>
            <w:r>
              <w:rPr>
                <w:sz w:val="19"/>
              </w:rPr>
              <w:t>Penyangkalan aksi petugas</w:t>
            </w:r>
          </w:p>
        </w:tc>
        <w:tc>
          <w:tcPr>
            <w:tcW w:type="dxa" w:w="6428"/>
            <w:tcMar>
              <w:top w:w="40" w:type="dxa"/>
              <w:bottom w:w="40" w:type="dxa"/>
              <w:start w:w="80" w:type="dxa"/>
              <w:end w:w="80" w:type="dxa"/>
            </w:tcMar>
            <w:shd w:val="clear" w:fill="EEF2F7"/>
          </w:tcPr>
          <w:p>
            <w:r>
              <w:rPr>
                <w:sz w:val="19"/>
              </w:rPr>
            </w:r>
            <w:r>
              <w:rPr>
                <w:sz w:val="19"/>
              </w:rPr>
              <w:t>Log audit append-only berantai-hash; diuji pengubahan satu entri membuat verifikasi rantai gagal</w:t>
            </w:r>
          </w:p>
        </w:tc>
      </w:tr>
      <w:tr>
        <w:tc>
          <w:tcPr>
            <w:tcW w:type="dxa" w:w="975"/>
            <w:tcMar>
              <w:top w:w="40" w:type="dxa"/>
              <w:bottom w:w="40" w:type="dxa"/>
              <w:start w:w="80" w:type="dxa"/>
              <w:end w:w="80" w:type="dxa"/>
            </w:tcMar>
          </w:tcPr>
          <w:p>
            <w:r>
              <w:rPr>
                <w:sz w:val="19"/>
              </w:rPr>
            </w:r>
            <w:r>
              <w:rPr>
                <w:sz w:val="19"/>
              </w:rPr>
              <w:t>Information disclosure</w:t>
            </w:r>
          </w:p>
        </w:tc>
        <w:tc>
          <w:tcPr>
            <w:tcW w:type="dxa" w:w="1951"/>
            <w:tcMar>
              <w:top w:w="40" w:type="dxa"/>
              <w:bottom w:w="40" w:type="dxa"/>
              <w:start w:w="80" w:type="dxa"/>
              <w:end w:w="80" w:type="dxa"/>
            </w:tcMar>
          </w:tcPr>
          <w:p>
            <w:r>
              <w:rPr>
                <w:sz w:val="19"/>
              </w:rPr>
            </w:r>
            <w:r>
              <w:rPr>
                <w:sz w:val="19"/>
              </w:rPr>
              <w:t>Kebocoran data kependudukan</w:t>
            </w:r>
          </w:p>
        </w:tc>
        <w:tc>
          <w:tcPr>
            <w:tcW w:type="dxa" w:w="6428"/>
            <w:tcMar>
              <w:top w:w="40" w:type="dxa"/>
              <w:bottom w:w="40" w:type="dxa"/>
              <w:start w:w="80" w:type="dxa"/>
              <w:end w:w="80" w:type="dxa"/>
            </w:tcMar>
          </w:tcPr>
          <w:p>
            <w:r>
              <w:rPr>
                <w:sz w:val="19"/>
              </w:rPr>
            </w:r>
            <w:r>
              <w:rPr>
                <w:sz w:val="19"/>
              </w:rPr>
              <w:t>Simpan komitmen NIK, bukan NIK mentah; NIK tak pernah didigitalkan dalam bukti; muatan notifikasi minimal; diuji bukti kelayakan tidak memuat NIK</w:t>
            </w:r>
          </w:p>
        </w:tc>
      </w:tr>
      <w:tr>
        <w:tc>
          <w:tcPr>
            <w:tcW w:type="dxa" w:w="975"/>
            <w:tcMar>
              <w:top w:w="40" w:type="dxa"/>
              <w:bottom w:w="40" w:type="dxa"/>
              <w:start w:w="80" w:type="dxa"/>
              <w:end w:w="80" w:type="dxa"/>
            </w:tcMar>
            <w:shd w:val="clear" w:fill="EEF2F7"/>
          </w:tcPr>
          <w:p>
            <w:r>
              <w:rPr>
                <w:sz w:val="19"/>
              </w:rPr>
            </w:r>
            <w:r>
              <w:rPr>
                <w:sz w:val="19"/>
              </w:rPr>
              <w:t>Denial of service</w:t>
            </w:r>
          </w:p>
        </w:tc>
        <w:tc>
          <w:tcPr>
            <w:tcW w:type="dxa" w:w="1951"/>
            <w:tcMar>
              <w:top w:w="40" w:type="dxa"/>
              <w:bottom w:w="40" w:type="dxa"/>
              <w:start w:w="80" w:type="dxa"/>
              <w:end w:w="80" w:type="dxa"/>
            </w:tcMar>
            <w:shd w:val="clear" w:fill="EEF2F7"/>
          </w:tcPr>
          <w:p>
            <w:r>
              <w:rPr>
                <w:sz w:val="19"/>
              </w:rPr>
            </w:r>
            <w:r>
              <w:rPr>
                <w:sz w:val="19"/>
              </w:rPr>
              <w:t>Pembanjiran permintaan autentikasi/pemesanan</w:t>
            </w:r>
          </w:p>
        </w:tc>
        <w:tc>
          <w:tcPr>
            <w:tcW w:type="dxa" w:w="6428"/>
            <w:tcMar>
              <w:top w:w="40" w:type="dxa"/>
              <w:bottom w:w="40" w:type="dxa"/>
              <w:start w:w="80" w:type="dxa"/>
              <w:end w:w="80" w:type="dxa"/>
            </w:tcMar>
            <w:shd w:val="clear" w:fill="EEF2F7"/>
          </w:tcPr>
          <w:p>
            <w:r>
              <w:rPr>
                <w:sz w:val="19"/>
              </w:rPr>
            </w:r>
            <w:r>
              <w:rPr>
                <w:sz w:val="19"/>
              </w:rPr>
              <w:t>Pembatasan laju (120/menit global, 15/menit autentikasi) + kuota slot; diuji pembatas aktif pada produksi</w:t>
            </w:r>
          </w:p>
        </w:tc>
      </w:tr>
      <w:tr>
        <w:tc>
          <w:tcPr>
            <w:tcW w:type="dxa" w:w="975"/>
            <w:tcMar>
              <w:top w:w="40" w:type="dxa"/>
              <w:bottom w:w="40" w:type="dxa"/>
              <w:start w:w="80" w:type="dxa"/>
              <w:end w:w="80" w:type="dxa"/>
            </w:tcMar>
          </w:tcPr>
          <w:p>
            <w:r>
              <w:rPr>
                <w:sz w:val="19"/>
              </w:rPr>
            </w:r>
            <w:r>
              <w:rPr>
                <w:sz w:val="19"/>
              </w:rPr>
              <w:t>Elevation of privilege</w:t>
            </w:r>
          </w:p>
        </w:tc>
        <w:tc>
          <w:tcPr>
            <w:tcW w:type="dxa" w:w="1951"/>
            <w:tcMar>
              <w:top w:w="40" w:type="dxa"/>
              <w:bottom w:w="40" w:type="dxa"/>
              <w:start w:w="80" w:type="dxa"/>
              <w:end w:w="80" w:type="dxa"/>
            </w:tcMar>
          </w:tcPr>
          <w:p>
            <w:r>
              <w:rPr>
                <w:sz w:val="19"/>
              </w:rPr>
            </w:r>
            <w:r>
              <w:rPr>
                <w:sz w:val="19"/>
              </w:rPr>
              <w:t>Warga menjalankan aksi operator</w:t>
            </w:r>
          </w:p>
        </w:tc>
        <w:tc>
          <w:tcPr>
            <w:tcW w:type="dxa" w:w="6428"/>
            <w:tcMar>
              <w:top w:w="40" w:type="dxa"/>
              <w:bottom w:w="40" w:type="dxa"/>
              <w:start w:w="80" w:type="dxa"/>
              <w:end w:w="80" w:type="dxa"/>
            </w:tcMar>
          </w:tcPr>
          <w:p>
            <w:r>
              <w:rPr>
                <w:sz w:val="19"/>
              </w:rPr>
            </w:r>
            <w:r>
              <w:rPr>
                <w:sz w:val="19"/>
              </w:rPr>
              <w:t>Kendali akses berbasis peran pada setiap endpoint; diuji penolakan permintaan lintas peran</w:t>
            </w:r>
          </w:p>
        </w:tc>
      </w:tr>
      <w:tr>
        <w:tc>
          <w:tcPr>
            <w:tcW w:type="dxa" w:w="975"/>
            <w:tcMar>
              <w:top w:w="40" w:type="dxa"/>
              <w:bottom w:w="40" w:type="dxa"/>
              <w:start w:w="80" w:type="dxa"/>
              <w:end w:w="80" w:type="dxa"/>
            </w:tcMar>
            <w:shd w:val="clear" w:fill="EEF2F7"/>
          </w:tcPr>
          <w:p>
            <w:r>
              <w:rPr>
                <w:sz w:val="19"/>
              </w:rPr>
            </w:r>
            <w:r>
              <w:rPr>
                <w:sz w:val="19"/>
              </w:rPr>
              <w:t>Replay</w:t>
            </w:r>
          </w:p>
        </w:tc>
        <w:tc>
          <w:tcPr>
            <w:tcW w:type="dxa" w:w="1951"/>
            <w:tcMar>
              <w:top w:w="40" w:type="dxa"/>
              <w:bottom w:w="40" w:type="dxa"/>
              <w:start w:w="80" w:type="dxa"/>
              <w:end w:w="80" w:type="dxa"/>
            </w:tcMar>
            <w:shd w:val="clear" w:fill="EEF2F7"/>
          </w:tcPr>
          <w:p>
            <w:r>
              <w:rPr>
                <w:sz w:val="19"/>
              </w:rPr>
            </w:r>
            <w:r>
              <w:rPr>
                <w:sz w:val="19"/>
              </w:rPr>
              <w:t>Penggunaan ulang bukti kelayakan/auth</w:t>
            </w:r>
          </w:p>
        </w:tc>
        <w:tc>
          <w:tcPr>
            <w:tcW w:type="dxa" w:w="6428"/>
            <w:tcMar>
              <w:top w:w="40" w:type="dxa"/>
              <w:bottom w:w="40" w:type="dxa"/>
              <w:start w:w="80" w:type="dxa"/>
              <w:end w:w="80" w:type="dxa"/>
            </w:tcMar>
            <w:shd w:val="clear" w:fill="EEF2F7"/>
          </w:tcPr>
          <w:p>
            <w:r>
              <w:rPr>
                <w:sz w:val="19"/>
              </w:rPr>
            </w:r>
            <w:r>
              <w:rPr>
                <w:sz w:val="19"/>
              </w:rPr>
              <w:t>Konteks ber-nonce sekali pakai; diuji pengiriman ulang bukti yang sama ditolak</w:t>
            </w:r>
          </w:p>
        </w:tc>
      </w:tr>
    </w:tbl>
    <w:p/>
    <w:p>
      <w:pPr>
        <w:pStyle w:val="Heading1"/>
      </w:pPr>
      <w:r>
        <w:t>B.4 Penerapan per Fase Microsoft SDL</w:t>
      </w:r>
    </w:p>
    <w:p>
      <w:pPr>
        <w:pStyle w:val="ListBullet"/>
      </w:pPr>
      <w:r>
        <w:rPr>
          <w:b/>
        </w:rPr>
        <w:t>B.4.1 Training.</w:t>
      </w:r>
      <w:r>
        <w:t xml:space="preserve"> Pendalaman ZKP (Schnorr/Fiat-Shamir), pohon Merkle, prinsip minimalisasi data (UU PDP), posisi Kepka 443, serta pemodelan ancaman PASTA/STRIDE.</w:t>
      </w:r>
    </w:p>
    <w:p>
      <w:pPr>
        <w:pStyle w:val="ListBullet"/>
      </w:pPr>
      <w:r>
        <w:rPr>
          <w:b/>
        </w:rPr>
        <w:t>B.4.2 Requirements.</w:t>
      </w:r>
      <w:r>
        <w:t xml:space="preserve"> PRD ini dan dokumen desain memuat kebutuhan fungsional dan keamanan secara eksplisit beserta kriteria sukses terukur.</w:t>
      </w:r>
    </w:p>
    <w:p>
      <w:pPr>
        <w:pStyle w:val="ListBullet"/>
      </w:pPr>
      <w:r>
        <w:rPr>
          <w:b/>
        </w:rPr>
        <w:t>B.4.3 Design.</w:t>
      </w:r>
      <w:r>
        <w:t xml:space="preserve"> Pemodelan ancaman STRIDE; autentikasi kepemilikan kunci berbasis ZKP; minimalisasi data (</w:t>
      </w:r>
      <w:r>
        <w:rPr>
          <w:rFonts w:ascii="Consolas" w:hAnsi="Consolas"/>
          <w:color w:val="B03060"/>
          <w:sz w:val="19"/>
        </w:rPr>
        <w:t>nikCommitment</w:t>
      </w:r>
      <w:r>
        <w:t>); registri Merkle beranchor peladen; kendali akses empat peran; log audit berantai-hash.</w:t>
      </w:r>
    </w:p>
    <w:p>
      <w:pPr>
        <w:pStyle w:val="ListBullet"/>
      </w:pPr>
      <w:r>
        <w:rPr>
          <w:b/>
        </w:rPr>
        <w:t>B.4.4 Implementation.</w:t>
      </w:r>
      <w:r>
        <w:t xml:space="preserve"> TDD sebagai jaring pengaman; primitif dari pustaka teraudit (</w:t>
      </w:r>
      <w:r>
        <w:rPr>
          <w:rFonts w:ascii="Consolas" w:hAnsi="Consolas"/>
          <w:color w:val="B03060"/>
          <w:sz w:val="19"/>
        </w:rPr>
        <w:t>@noble/curves</w:t>
      </w:r>
      <w:r>
        <w:t>), tidak menggulung primitif sendiri; pemisahan domain pada semua hashing; bukti Schnorr lintas bahasa (Dart↔TypeScript); validasi masukan berbasis DTO; manajemen rahasia (</w:t>
      </w:r>
      <w:r>
        <w:rPr>
          <w:rFonts w:ascii="Consolas" w:hAnsi="Consolas"/>
          <w:color w:val="B03060"/>
          <w:sz w:val="19"/>
        </w:rPr>
        <w:t>.env</w:t>
      </w:r>
      <w:r>
        <w:t xml:space="preserve"> dikecualikan). Kunci identitas disimpan pada secure storage perangkat lunak (konsekuensi pemilihan Schnorr, lihat A.7.4).</w:t>
      </w:r>
    </w:p>
    <w:p>
      <w:pPr>
        <w:pStyle w:val="ListBullet"/>
      </w:pPr>
      <w:r>
        <w:rPr>
          <w:b/>
        </w:rPr>
        <w:t>B.4.5 Verification.</w:t>
      </w:r>
      <w:r>
        <w:t xml:space="preserve"> Pengujian positif dan negatif/soundness untuk bukti Schnorr pada tiap gerbang dan keanggotaan Merkle; uji interoperabilitas lintas bahasa; verifikasi menyeluruh alur antrean pada perangkat bersama layanan berjalan, dengan pemeriksaan keadaan basis data pada tiap transisi.</w:t>
      </w:r>
    </w:p>
    <w:p>
      <w:pPr>
        <w:pStyle w:val="ListBullet"/>
      </w:pPr>
      <w:r>
        <w:rPr>
          <w:b/>
        </w:rPr>
        <w:t>B.4.6 Release.</w:t>
      </w:r>
      <w:r>
        <w:t xml:space="preserve"> Pengelolaan rahasia; migrasi basis data terkendali (non-interaktif); pembatasan laju permintaan. Menyusul: penerapan TLS saat deploy.</w:t>
      </w:r>
    </w:p>
    <w:p>
      <w:pPr>
        <w:pStyle w:val="ListBullet"/>
      </w:pPr>
      <w:r>
        <w:rPr>
          <w:b/>
        </w:rPr>
        <w:t>B.4.7 Response.</w:t>
      </w:r>
      <w:r>
        <w:t xml:space="preserve"> Log audit append-only berantai-hash yang tamper-evident dan dapat diverifikasi ulang; dirancang mekanisme rotasi dan pencabutan kunci identitas beserta tata kelola administrator.</w:t>
      </w:r>
    </w:p>
    <w:p>
      <w:pPr>
        <w:pStyle w:val="Heading1"/>
      </w:pPr>
      <w:r>
        <w:t>B.5 Pemetaan ke NIST SSDF (SP 800-218)</w:t>
      </w:r>
    </w:p>
    <w:tbl>
      <w:tblPr>
        <w:tblStyle w:val="TableGrid"/>
        <w:tblW w:type="auto" w:w="0"/>
        <w:jc w:val="center"/>
        <w:tblLayout w:type="fixed"/>
        <w:tblLook w:firstColumn="1" w:firstRow="1" w:lastColumn="0" w:lastRow="0" w:noHBand="0" w:noVBand="1" w:val="04A0"/>
      </w:tblPr>
      <w:tblGrid>
        <w:gridCol w:w="4677"/>
        <w:gridCol w:w="4677"/>
      </w:tblGrid>
      <w:tr>
        <w:tc>
          <w:tcPr>
            <w:tcW w:type="dxa" w:w="2417"/>
            <w:shd w:val="clear" w:fill="1F3A5F"/>
            <w:tcMar>
              <w:top w:w="40" w:type="dxa"/>
              <w:bottom w:w="40" w:type="dxa"/>
              <w:start w:w="80" w:type="dxa"/>
              <w:end w:w="80" w:type="dxa"/>
            </w:tcMar>
          </w:tcPr>
          <w:p>
            <w:r>
              <w:rPr>
                <w:b/>
                <w:color w:val="FFFFFF"/>
                <w:sz w:val="20"/>
              </w:rPr>
            </w:r>
            <w:r>
              <w:rPr>
                <w:b/>
                <w:color w:val="FFFFFF"/>
                <w:sz w:val="20"/>
              </w:rPr>
              <w:t>Praktik SSDF</w:t>
            </w:r>
          </w:p>
        </w:tc>
        <w:tc>
          <w:tcPr>
            <w:tcW w:type="dxa" w:w="6938"/>
            <w:shd w:val="clear" w:fill="1F3A5F"/>
            <w:tcMar>
              <w:top w:w="40" w:type="dxa"/>
              <w:bottom w:w="40" w:type="dxa"/>
              <w:start w:w="80" w:type="dxa"/>
              <w:end w:w="80" w:type="dxa"/>
            </w:tcMar>
          </w:tcPr>
          <w:p>
            <w:r>
              <w:rPr>
                <w:b/>
                <w:color w:val="FFFFFF"/>
                <w:sz w:val="20"/>
              </w:rPr>
            </w:r>
            <w:r>
              <w:rPr>
                <w:b/>
                <w:color w:val="FFFFFF"/>
                <w:sz w:val="20"/>
              </w:rPr>
              <w:t>Penerapan pada SIDESA-CM</w:t>
            </w:r>
          </w:p>
        </w:tc>
      </w:tr>
      <w:tr>
        <w:tc>
          <w:tcPr>
            <w:tcW w:type="dxa" w:w="2417"/>
            <w:tcMar>
              <w:top w:w="40" w:type="dxa"/>
              <w:bottom w:w="40" w:type="dxa"/>
              <w:start w:w="80" w:type="dxa"/>
              <w:end w:w="80" w:type="dxa"/>
            </w:tcMar>
          </w:tcPr>
          <w:p>
            <w:r>
              <w:rPr>
                <w:sz w:val="19"/>
              </w:rPr>
            </w:r>
            <w:r>
              <w:rPr>
                <w:sz w:val="19"/>
              </w:rPr>
              <w:t>PO — Prepare the Organization</w:t>
            </w:r>
          </w:p>
        </w:tc>
        <w:tc>
          <w:tcPr>
            <w:tcW w:type="dxa" w:w="6938"/>
            <w:tcMar>
              <w:top w:w="40" w:type="dxa"/>
              <w:bottom w:w="40" w:type="dxa"/>
              <w:start w:w="80" w:type="dxa"/>
              <w:end w:w="80" w:type="dxa"/>
            </w:tcMar>
          </w:tcPr>
          <w:p>
            <w:r>
              <w:rPr>
                <w:sz w:val="19"/>
              </w:rPr>
            </w:r>
            <w:r>
              <w:rPr>
                <w:sz w:val="19"/>
              </w:rPr>
              <w:t>Aturan proyek terdokumentasi (</w:t>
            </w:r>
            <w:r>
              <w:rPr>
                <w:rFonts w:ascii="Consolas" w:hAnsi="Consolas"/>
                <w:color w:val="B03060"/>
                <w:sz w:val="19"/>
              </w:rPr>
              <w:t>CLAUDE.md</w:t>
            </w:r>
            <w:r>
              <w:rPr>
                <w:sz w:val="19"/>
              </w:rPr>
              <w:t>), konvensi TDD dan commit, dasar kepatuhan</w:t>
            </w:r>
          </w:p>
        </w:tc>
      </w:tr>
      <w:tr>
        <w:tc>
          <w:tcPr>
            <w:tcW w:type="dxa" w:w="2417"/>
            <w:tcMar>
              <w:top w:w="40" w:type="dxa"/>
              <w:bottom w:w="40" w:type="dxa"/>
              <w:start w:w="80" w:type="dxa"/>
              <w:end w:w="80" w:type="dxa"/>
            </w:tcMar>
            <w:shd w:val="clear" w:fill="EEF2F7"/>
          </w:tcPr>
          <w:p>
            <w:r>
              <w:rPr>
                <w:sz w:val="19"/>
              </w:rPr>
            </w:r>
            <w:r>
              <w:rPr>
                <w:sz w:val="19"/>
              </w:rPr>
              <w:t>PS — Protect the Software</w:t>
            </w:r>
          </w:p>
        </w:tc>
        <w:tc>
          <w:tcPr>
            <w:tcW w:type="dxa" w:w="6938"/>
            <w:tcMar>
              <w:top w:w="40" w:type="dxa"/>
              <w:bottom w:w="40" w:type="dxa"/>
              <w:start w:w="80" w:type="dxa"/>
              <w:end w:w="80" w:type="dxa"/>
            </w:tcMar>
            <w:shd w:val="clear" w:fill="EEF2F7"/>
          </w:tcPr>
          <w:p>
            <w:r>
              <w:rPr>
                <w:sz w:val="19"/>
              </w:rPr>
            </w:r>
            <w:r>
              <w:rPr>
                <w:rFonts w:ascii="Consolas" w:hAnsi="Consolas"/>
                <w:color w:val="B03060"/>
                <w:sz w:val="19"/>
              </w:rPr>
              <w:t>.env</w:t>
            </w:r>
            <w:r>
              <w:rPr>
                <w:sz w:val="19"/>
              </w:rPr>
              <w:t xml:space="preserve"> dikecualikan; integritas dijaga rantai audit; NIK tidak disimpan mentah</w:t>
            </w:r>
          </w:p>
        </w:tc>
      </w:tr>
      <w:tr>
        <w:tc>
          <w:tcPr>
            <w:tcW w:type="dxa" w:w="2417"/>
            <w:tcMar>
              <w:top w:w="40" w:type="dxa"/>
              <w:bottom w:w="40" w:type="dxa"/>
              <w:start w:w="80" w:type="dxa"/>
              <w:end w:w="80" w:type="dxa"/>
            </w:tcMar>
          </w:tcPr>
          <w:p>
            <w:r>
              <w:rPr>
                <w:sz w:val="19"/>
              </w:rPr>
            </w:r>
            <w:r>
              <w:rPr>
                <w:sz w:val="19"/>
              </w:rPr>
              <w:t>PW.1 — desain aman</w:t>
            </w:r>
          </w:p>
        </w:tc>
        <w:tc>
          <w:tcPr>
            <w:tcW w:type="dxa" w:w="6938"/>
            <w:tcMar>
              <w:top w:w="40" w:type="dxa"/>
              <w:bottom w:w="40" w:type="dxa"/>
              <w:start w:w="80" w:type="dxa"/>
              <w:end w:w="80" w:type="dxa"/>
            </w:tcMar>
          </w:tcPr>
          <w:p>
            <w:r>
              <w:rPr>
                <w:sz w:val="19"/>
              </w:rPr>
            </w:r>
            <w:r>
              <w:rPr>
                <w:sz w:val="19"/>
              </w:rPr>
              <w:t>Pemodelan ancaman STRIDE + arsitektur kepemilikan kunci dan minimalisasi data</w:t>
            </w:r>
          </w:p>
        </w:tc>
      </w:tr>
      <w:tr>
        <w:tc>
          <w:tcPr>
            <w:tcW w:type="dxa" w:w="2417"/>
            <w:tcMar>
              <w:top w:w="40" w:type="dxa"/>
              <w:bottom w:w="40" w:type="dxa"/>
              <w:start w:w="80" w:type="dxa"/>
              <w:end w:w="80" w:type="dxa"/>
            </w:tcMar>
            <w:shd w:val="clear" w:fill="EEF2F7"/>
          </w:tcPr>
          <w:p>
            <w:r>
              <w:rPr>
                <w:sz w:val="19"/>
              </w:rPr>
            </w:r>
            <w:r>
              <w:rPr>
                <w:sz w:val="19"/>
              </w:rPr>
              <w:t>PW.4 — komponen tepercaya</w:t>
            </w:r>
          </w:p>
        </w:tc>
        <w:tc>
          <w:tcPr>
            <w:tcW w:type="dxa" w:w="6938"/>
            <w:tcMar>
              <w:top w:w="40" w:type="dxa"/>
              <w:bottom w:w="40" w:type="dxa"/>
              <w:start w:w="80" w:type="dxa"/>
              <w:end w:w="80" w:type="dxa"/>
            </w:tcMar>
            <w:shd w:val="clear" w:fill="EEF2F7"/>
          </w:tcPr>
          <w:p>
            <w:r>
              <w:rPr>
                <w:sz w:val="19"/>
              </w:rPr>
            </w:r>
            <w:r>
              <w:rPr>
                <w:sz w:val="19"/>
              </w:rPr>
              <w:t>Primitif kriptografi dari pustaka teraudit (</w:t>
            </w:r>
            <w:r>
              <w:rPr>
                <w:rFonts w:ascii="Consolas" w:hAnsi="Consolas"/>
                <w:color w:val="B03060"/>
                <w:sz w:val="19"/>
              </w:rPr>
              <w:t>@noble/curves</w:t>
            </w:r>
            <w:r>
              <w:rPr>
                <w:sz w:val="19"/>
              </w:rPr>
              <w:t>), bukan implementasi sendiri</w:t>
            </w:r>
          </w:p>
        </w:tc>
      </w:tr>
      <w:tr>
        <w:tc>
          <w:tcPr>
            <w:tcW w:type="dxa" w:w="2417"/>
            <w:tcMar>
              <w:top w:w="40" w:type="dxa"/>
              <w:bottom w:w="40" w:type="dxa"/>
              <w:start w:w="80" w:type="dxa"/>
              <w:end w:w="80" w:type="dxa"/>
            </w:tcMar>
          </w:tcPr>
          <w:p>
            <w:r>
              <w:rPr>
                <w:sz w:val="19"/>
              </w:rPr>
            </w:r>
            <w:r>
              <w:rPr>
                <w:sz w:val="19"/>
              </w:rPr>
              <w:t>PW.5 — penulisan kode aman</w:t>
            </w:r>
          </w:p>
        </w:tc>
        <w:tc>
          <w:tcPr>
            <w:tcW w:type="dxa" w:w="6938"/>
            <w:tcMar>
              <w:top w:w="40" w:type="dxa"/>
              <w:bottom w:w="40" w:type="dxa"/>
              <w:start w:w="80" w:type="dxa"/>
              <w:end w:w="80" w:type="dxa"/>
            </w:tcMar>
          </w:tcPr>
          <w:p>
            <w:r>
              <w:rPr>
                <w:sz w:val="19"/>
              </w:rPr>
            </w:r>
            <w:r>
              <w:rPr>
                <w:sz w:val="19"/>
              </w:rPr>
              <w:t>Validasi masukan berbasis DTO; pembatasan laju; penanganan galat tanpa membocorkan detail</w:t>
            </w:r>
          </w:p>
        </w:tc>
      </w:tr>
      <w:tr>
        <w:tc>
          <w:tcPr>
            <w:tcW w:type="dxa" w:w="2417"/>
            <w:tcMar>
              <w:top w:w="40" w:type="dxa"/>
              <w:bottom w:w="40" w:type="dxa"/>
              <w:start w:w="80" w:type="dxa"/>
              <w:end w:w="80" w:type="dxa"/>
            </w:tcMar>
            <w:shd w:val="clear" w:fill="EEF2F7"/>
          </w:tcPr>
          <w:p>
            <w:r>
              <w:rPr>
                <w:sz w:val="19"/>
              </w:rPr>
            </w:r>
            <w:r>
              <w:rPr>
                <w:sz w:val="19"/>
              </w:rPr>
              <w:t>PW.7, PW.8 — review &amp; pengujian</w:t>
            </w:r>
          </w:p>
        </w:tc>
        <w:tc>
          <w:tcPr>
            <w:tcW w:type="dxa" w:w="6938"/>
            <w:tcMar>
              <w:top w:w="40" w:type="dxa"/>
              <w:bottom w:w="40" w:type="dxa"/>
              <w:start w:w="80" w:type="dxa"/>
              <w:end w:w="80" w:type="dxa"/>
            </w:tcMar>
            <w:shd w:val="clear" w:fill="EEF2F7"/>
          </w:tcPr>
          <w:p>
            <w:r>
              <w:rPr>
                <w:sz w:val="19"/>
              </w:rPr>
            </w:r>
            <w:r>
              <w:rPr>
                <w:sz w:val="19"/>
              </w:rPr>
              <w:t>Peninjauan kode antartugas; pengujian negatif/soundness + interop + di perangkat</w:t>
            </w:r>
          </w:p>
        </w:tc>
      </w:tr>
      <w:tr>
        <w:tc>
          <w:tcPr>
            <w:tcW w:type="dxa" w:w="2417"/>
            <w:tcMar>
              <w:top w:w="40" w:type="dxa"/>
              <w:bottom w:w="40" w:type="dxa"/>
              <w:start w:w="80" w:type="dxa"/>
              <w:end w:w="80" w:type="dxa"/>
            </w:tcMar>
          </w:tcPr>
          <w:p>
            <w:r>
              <w:rPr>
                <w:sz w:val="19"/>
              </w:rPr>
            </w:r>
            <w:r>
              <w:rPr>
                <w:sz w:val="19"/>
              </w:rPr>
              <w:t>RV — Respond to Vulnerabilities</w:t>
            </w:r>
          </w:p>
        </w:tc>
        <w:tc>
          <w:tcPr>
            <w:tcW w:type="dxa" w:w="6938"/>
            <w:tcMar>
              <w:top w:w="40" w:type="dxa"/>
              <w:bottom w:w="40" w:type="dxa"/>
              <w:start w:w="80" w:type="dxa"/>
              <w:end w:w="80" w:type="dxa"/>
            </w:tcMar>
          </w:tcPr>
          <w:p>
            <w:r>
              <w:rPr>
                <w:sz w:val="19"/>
              </w:rPr>
            </w:r>
            <w:r>
              <w:rPr>
                <w:sz w:val="19"/>
              </w:rPr>
              <w:t>Jejak audit tamper-evident; rancangan rotasi/pencabutan kunci</w:t>
            </w:r>
          </w:p>
        </w:tc>
      </w:tr>
    </w:tbl>
    <w:p/>
    <w:p>
      <w:pPr>
        <w:pStyle w:val="Heading1"/>
      </w:pPr>
      <w:r>
        <w:t>B.6 Status Penerapan SSDLC</w:t>
      </w:r>
    </w:p>
    <w:tbl>
      <w:tblPr>
        <w:tblStyle w:val="TableGrid"/>
        <w:tblW w:type="auto" w:w="0"/>
        <w:jc w:val="center"/>
        <w:tblLayout w:type="fixed"/>
        <w:tblLook w:firstColumn="1" w:firstRow="1" w:lastColumn="0" w:lastRow="0" w:noHBand="0" w:noVBand="1" w:val="04A0"/>
      </w:tblPr>
      <w:tblGrid>
        <w:gridCol w:w="4677"/>
        <w:gridCol w:w="4677"/>
      </w:tblGrid>
      <w:tr>
        <w:tc>
          <w:tcPr>
            <w:tcW w:type="dxa" w:w="1604"/>
            <w:shd w:val="clear" w:fill="1F3A5F"/>
            <w:tcMar>
              <w:top w:w="40" w:type="dxa"/>
              <w:bottom w:w="40" w:type="dxa"/>
              <w:start w:w="80" w:type="dxa"/>
              <w:end w:w="80" w:type="dxa"/>
            </w:tcMar>
          </w:tcPr>
          <w:p>
            <w:r>
              <w:rPr>
                <w:b/>
                <w:color w:val="FFFFFF"/>
                <w:sz w:val="20"/>
              </w:rPr>
            </w:r>
            <w:r>
              <w:rPr>
                <w:b/>
                <w:color w:val="FFFFFF"/>
                <w:sz w:val="20"/>
              </w:rPr>
              <w:t>Fase</w:t>
            </w:r>
          </w:p>
        </w:tc>
        <w:tc>
          <w:tcPr>
            <w:tcW w:type="dxa" w:w="7751"/>
            <w:shd w:val="clear" w:fill="1F3A5F"/>
            <w:tcMar>
              <w:top w:w="40" w:type="dxa"/>
              <w:bottom w:w="40" w:type="dxa"/>
              <w:start w:w="80" w:type="dxa"/>
              <w:end w:w="80" w:type="dxa"/>
            </w:tcMar>
          </w:tcPr>
          <w:p>
            <w:r>
              <w:rPr>
                <w:b/>
                <w:color w:val="FFFFFF"/>
                <w:sz w:val="20"/>
              </w:rPr>
            </w:r>
            <w:r>
              <w:rPr>
                <w:b/>
                <w:color w:val="FFFFFF"/>
                <w:sz w:val="20"/>
              </w:rPr>
              <w:t>Status</w:t>
            </w:r>
          </w:p>
        </w:tc>
      </w:tr>
      <w:tr>
        <w:tc>
          <w:tcPr>
            <w:tcW w:type="dxa" w:w="1604"/>
            <w:tcMar>
              <w:top w:w="40" w:type="dxa"/>
              <w:bottom w:w="40" w:type="dxa"/>
              <w:start w:w="80" w:type="dxa"/>
              <w:end w:w="80" w:type="dxa"/>
            </w:tcMar>
          </w:tcPr>
          <w:p>
            <w:r>
              <w:rPr>
                <w:sz w:val="19"/>
              </w:rPr>
            </w:r>
            <w:r>
              <w:rPr>
                <w:sz w:val="19"/>
              </w:rPr>
              <w:t>Training, Requirements, Design</w:t>
            </w:r>
          </w:p>
        </w:tc>
        <w:tc>
          <w:tcPr>
            <w:tcW w:type="dxa" w:w="7751"/>
            <w:tcMar>
              <w:top w:w="40" w:type="dxa"/>
              <w:bottom w:w="40" w:type="dxa"/>
              <w:start w:w="80" w:type="dxa"/>
              <w:end w:w="80" w:type="dxa"/>
            </w:tcMar>
          </w:tcPr>
          <w:p>
            <w:r>
              <w:rPr>
                <w:sz w:val="19"/>
              </w:rPr>
            </w:r>
            <w:r>
              <w:rPr>
                <w:sz w:val="19"/>
              </w:rPr>
              <w:t>Terpenuhi — kerangka, kebutuhan, dan pemodelan ancaman lengkap untuk produk versi ini</w:t>
            </w:r>
          </w:p>
        </w:tc>
      </w:tr>
      <w:tr>
        <w:tc>
          <w:tcPr>
            <w:tcW w:type="dxa" w:w="1604"/>
            <w:tcMar>
              <w:top w:w="40" w:type="dxa"/>
              <w:bottom w:w="40" w:type="dxa"/>
              <w:start w:w="80" w:type="dxa"/>
              <w:end w:w="80" w:type="dxa"/>
            </w:tcMar>
            <w:shd w:val="clear" w:fill="EEF2F7"/>
          </w:tcPr>
          <w:p>
            <w:r>
              <w:rPr>
                <w:sz w:val="19"/>
              </w:rPr>
            </w:r>
            <w:r>
              <w:rPr>
                <w:sz w:val="19"/>
              </w:rPr>
              <w:t>Implementation</w:t>
            </w:r>
          </w:p>
        </w:tc>
        <w:tc>
          <w:tcPr>
            <w:tcW w:type="dxa" w:w="7751"/>
            <w:tcMar>
              <w:top w:w="40" w:type="dxa"/>
              <w:bottom w:w="40" w:type="dxa"/>
              <w:start w:w="80" w:type="dxa"/>
              <w:end w:w="80" w:type="dxa"/>
            </w:tcMar>
            <w:shd w:val="clear" w:fill="EEF2F7"/>
          </w:tcPr>
          <w:p>
            <w:r>
              <w:rPr>
                <w:sz w:val="19"/>
              </w:rPr>
            </w:r>
            <w:r>
              <w:rPr>
                <w:sz w:val="19"/>
              </w:rPr>
              <w:t>Parsial — infrastruktur bersama (audit, rate limit, validasi, enrolment, registri, FCM) terbawa; migrasi ZKP Schnorr + subsistem antrean menyusul</w:t>
            </w:r>
          </w:p>
        </w:tc>
      </w:tr>
      <w:tr>
        <w:tc>
          <w:tcPr>
            <w:tcW w:type="dxa" w:w="1604"/>
            <w:tcMar>
              <w:top w:w="40" w:type="dxa"/>
              <w:bottom w:w="40" w:type="dxa"/>
              <w:start w:w="80" w:type="dxa"/>
              <w:end w:w="80" w:type="dxa"/>
            </w:tcMar>
          </w:tcPr>
          <w:p>
            <w:r>
              <w:rPr>
                <w:sz w:val="19"/>
              </w:rPr>
            </w:r>
            <w:r>
              <w:rPr>
                <w:sz w:val="19"/>
              </w:rPr>
              <w:t>Verification</w:t>
            </w:r>
          </w:p>
        </w:tc>
        <w:tc>
          <w:tcPr>
            <w:tcW w:type="dxa" w:w="7751"/>
            <w:tcMar>
              <w:top w:w="40" w:type="dxa"/>
              <w:bottom w:w="40" w:type="dxa"/>
              <w:start w:w="80" w:type="dxa"/>
              <w:end w:w="80" w:type="dxa"/>
            </w:tcMar>
          </w:tcPr>
          <w:p>
            <w:r>
              <w:rPr>
                <w:sz w:val="19"/>
              </w:rPr>
            </w:r>
            <w:r>
              <w:rPr>
                <w:sz w:val="19"/>
              </w:rPr>
              <w:t>Parsial — metodologi &amp; suite pengujian bersama terbawa; verifikasi khusus ZKP/antrean menyusul</w:t>
            </w:r>
          </w:p>
        </w:tc>
      </w:tr>
      <w:tr>
        <w:tc>
          <w:tcPr>
            <w:tcW w:type="dxa" w:w="1604"/>
            <w:tcMar>
              <w:top w:w="40" w:type="dxa"/>
              <w:bottom w:w="40" w:type="dxa"/>
              <w:start w:w="80" w:type="dxa"/>
              <w:end w:w="80" w:type="dxa"/>
            </w:tcMar>
            <w:shd w:val="clear" w:fill="EEF2F7"/>
          </w:tcPr>
          <w:p>
            <w:r>
              <w:rPr>
                <w:sz w:val="19"/>
              </w:rPr>
            </w:r>
            <w:r>
              <w:rPr>
                <w:sz w:val="19"/>
              </w:rPr>
              <w:t>Release</w:t>
            </w:r>
          </w:p>
        </w:tc>
        <w:tc>
          <w:tcPr>
            <w:tcW w:type="dxa" w:w="7751"/>
            <w:tcMar>
              <w:top w:w="40" w:type="dxa"/>
              <w:bottom w:w="40" w:type="dxa"/>
              <w:start w:w="80" w:type="dxa"/>
              <w:end w:w="80" w:type="dxa"/>
            </w:tcMar>
            <w:shd w:val="clear" w:fill="EEF2F7"/>
          </w:tcPr>
          <w:p>
            <w:r>
              <w:rPr>
                <w:sz w:val="19"/>
              </w:rPr>
            </w:r>
            <w:r>
              <w:rPr>
                <w:sz w:val="19"/>
              </w:rPr>
              <w:t>Parsial — pembatasan laju &amp; migrasi terkendali terpenuhi; TLS menyusul</w:t>
            </w:r>
          </w:p>
        </w:tc>
      </w:tr>
      <w:tr>
        <w:tc>
          <w:tcPr>
            <w:tcW w:type="dxa" w:w="1604"/>
            <w:tcMar>
              <w:top w:w="40" w:type="dxa"/>
              <w:bottom w:w="40" w:type="dxa"/>
              <w:start w:w="80" w:type="dxa"/>
              <w:end w:w="80" w:type="dxa"/>
            </w:tcMar>
          </w:tcPr>
          <w:p>
            <w:r>
              <w:rPr>
                <w:sz w:val="19"/>
              </w:rPr>
            </w:r>
            <w:r>
              <w:rPr>
                <w:sz w:val="19"/>
              </w:rPr>
              <w:t>Response</w:t>
            </w:r>
          </w:p>
        </w:tc>
        <w:tc>
          <w:tcPr>
            <w:tcW w:type="dxa" w:w="7751"/>
            <w:tcMar>
              <w:top w:w="40" w:type="dxa"/>
              <w:bottom w:w="40" w:type="dxa"/>
              <w:start w:w="80" w:type="dxa"/>
              <w:end w:w="80" w:type="dxa"/>
            </w:tcMar>
          </w:tcPr>
          <w:p>
            <w:r>
              <w:rPr>
                <w:sz w:val="19"/>
              </w:rPr>
            </w:r>
            <w:r>
              <w:rPr>
                <w:sz w:val="19"/>
              </w:rPr>
              <w:t>Sebagian besar terpenuhi — audit tamper-evident terpasang; rotasi/pencabutan kunci menyusul</w:t>
            </w:r>
          </w:p>
        </w:tc>
      </w:tr>
    </w:tbl>
    <w:p/>
    <w:p>
      <w:pPr>
        <w:pStyle w:val="Heading1"/>
      </w:pPr>
      <w:r>
        <w:t>Bagian C — Penutup</w:t>
      </w:r>
    </w:p>
    <w:p>
      <w:pPr>
        <w:pStyle w:val="Heading1"/>
      </w:pPr>
      <w:r>
        <w:t>C.1 Risiko</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38"/>
            <w:shd w:val="clear" w:fill="1F3A5F"/>
            <w:tcMar>
              <w:top w:w="40" w:type="dxa"/>
              <w:bottom w:w="40" w:type="dxa"/>
              <w:start w:w="80" w:type="dxa"/>
              <w:end w:w="80" w:type="dxa"/>
            </w:tcMar>
          </w:tcPr>
          <w:p>
            <w:r>
              <w:rPr>
                <w:b/>
                <w:color w:val="FFFFFF"/>
                <w:sz w:val="20"/>
              </w:rPr>
            </w:r>
            <w:r>
              <w:rPr>
                <w:b/>
                <w:color w:val="FFFFFF"/>
                <w:sz w:val="20"/>
              </w:rPr>
              <w:t>ID</w:t>
            </w:r>
          </w:p>
        </w:tc>
        <w:tc>
          <w:tcPr>
            <w:tcW w:type="dxa" w:w="3269"/>
            <w:shd w:val="clear" w:fill="1F3A5F"/>
            <w:tcMar>
              <w:top w:w="40" w:type="dxa"/>
              <w:bottom w:w="40" w:type="dxa"/>
              <w:start w:w="80" w:type="dxa"/>
              <w:end w:w="80" w:type="dxa"/>
            </w:tcMar>
          </w:tcPr>
          <w:p>
            <w:r>
              <w:rPr>
                <w:b/>
                <w:color w:val="FFFFFF"/>
                <w:sz w:val="20"/>
              </w:rPr>
            </w:r>
            <w:r>
              <w:rPr>
                <w:b/>
                <w:color w:val="FFFFFF"/>
                <w:sz w:val="20"/>
              </w:rPr>
              <w:t>Risiko</w:t>
            </w:r>
          </w:p>
        </w:tc>
        <w:tc>
          <w:tcPr>
            <w:tcW w:type="dxa" w:w="5247"/>
            <w:shd w:val="clear" w:fill="1F3A5F"/>
            <w:tcMar>
              <w:top w:w="40" w:type="dxa"/>
              <w:bottom w:w="40" w:type="dxa"/>
              <w:start w:w="80" w:type="dxa"/>
              <w:end w:w="80" w:type="dxa"/>
            </w:tcMar>
          </w:tcPr>
          <w:p>
            <w:r>
              <w:rPr>
                <w:b/>
                <w:color w:val="FFFFFF"/>
                <w:sz w:val="20"/>
              </w:rPr>
            </w:r>
            <w:r>
              <w:rPr>
                <w:b/>
                <w:color w:val="FFFFFF"/>
                <w:sz w:val="20"/>
              </w:rPr>
              <w:t>Mitigasi</w:t>
            </w:r>
          </w:p>
        </w:tc>
      </w:tr>
      <w:tr>
        <w:tc>
          <w:tcPr>
            <w:tcW w:type="dxa" w:w="838"/>
            <w:tcMar>
              <w:top w:w="40" w:type="dxa"/>
              <w:bottom w:w="40" w:type="dxa"/>
              <w:start w:w="80" w:type="dxa"/>
              <w:end w:w="80" w:type="dxa"/>
            </w:tcMar>
          </w:tcPr>
          <w:p>
            <w:r>
              <w:rPr>
                <w:sz w:val="19"/>
              </w:rPr>
            </w:r>
            <w:r>
              <w:rPr>
                <w:sz w:val="19"/>
              </w:rPr>
              <w:t>R-1</w:t>
            </w:r>
          </w:p>
        </w:tc>
        <w:tc>
          <w:tcPr>
            <w:tcW w:type="dxa" w:w="3269"/>
            <w:tcMar>
              <w:top w:w="40" w:type="dxa"/>
              <w:bottom w:w="40" w:type="dxa"/>
              <w:start w:w="80" w:type="dxa"/>
              <w:end w:w="80" w:type="dxa"/>
            </w:tcMar>
          </w:tcPr>
          <w:p>
            <w:r>
              <w:rPr>
                <w:sz w:val="19"/>
              </w:rPr>
            </w:r>
            <w:r>
              <w:rPr>
                <w:sz w:val="19"/>
              </w:rPr>
              <w:t>Pergeseran kepatuhan Kepka 443 (tanpa tanda tangan) dianggap keluar kerangka</w:t>
            </w:r>
          </w:p>
        </w:tc>
        <w:tc>
          <w:tcPr>
            <w:tcW w:type="dxa" w:w="5247"/>
            <w:tcMar>
              <w:top w:w="40" w:type="dxa"/>
              <w:bottom w:w="40" w:type="dxa"/>
              <w:start w:w="80" w:type="dxa"/>
              <w:end w:w="80" w:type="dxa"/>
            </w:tcMar>
          </w:tcPr>
          <w:p>
            <w:r>
              <w:rPr>
                <w:sz w:val="19"/>
              </w:rPr>
            </w:r>
            <w:r>
              <w:rPr>
                <w:sz w:val="19"/>
              </w:rPr>
              <w:t>Konfirmasi ke dosen pembimbing; dokumentasikan bahwa tak ada tanda tangan teregulasi diproduksi, ZKP di atas P-384/SHA-384</w:t>
            </w:r>
          </w:p>
        </w:tc>
      </w:tr>
      <w:tr>
        <w:tc>
          <w:tcPr>
            <w:tcW w:type="dxa" w:w="838"/>
            <w:tcMar>
              <w:top w:w="40" w:type="dxa"/>
              <w:bottom w:w="40" w:type="dxa"/>
              <w:start w:w="80" w:type="dxa"/>
              <w:end w:w="80" w:type="dxa"/>
            </w:tcMar>
            <w:shd w:val="clear" w:fill="EEF2F7"/>
          </w:tcPr>
          <w:p>
            <w:r>
              <w:rPr>
                <w:sz w:val="19"/>
              </w:rPr>
            </w:r>
            <w:r>
              <w:rPr>
                <w:sz w:val="19"/>
              </w:rPr>
              <w:t>R-2</w:t>
            </w:r>
          </w:p>
        </w:tc>
        <w:tc>
          <w:tcPr>
            <w:tcW w:type="dxa" w:w="3269"/>
            <w:tcMar>
              <w:top w:w="40" w:type="dxa"/>
              <w:bottom w:w="40" w:type="dxa"/>
              <w:start w:w="80" w:type="dxa"/>
              <w:end w:w="80" w:type="dxa"/>
            </w:tcMar>
            <w:shd w:val="clear" w:fill="EEF2F7"/>
          </w:tcPr>
          <w:p>
            <w:r>
              <w:rPr>
                <w:sz w:val="19"/>
              </w:rPr>
            </w:r>
            <w:r>
              <w:rPr>
                <w:sz w:val="19"/>
              </w:rPr>
              <w:t>Kunci identitas tak lagi terisolasi perangkat keras (konsekuensi Schnorr)</w:t>
            </w:r>
          </w:p>
        </w:tc>
        <w:tc>
          <w:tcPr>
            <w:tcW w:type="dxa" w:w="5247"/>
            <w:tcMar>
              <w:top w:w="40" w:type="dxa"/>
              <w:bottom w:w="40" w:type="dxa"/>
              <w:start w:w="80" w:type="dxa"/>
              <w:end w:w="80" w:type="dxa"/>
            </w:tcMar>
            <w:shd w:val="clear" w:fill="EEF2F7"/>
          </w:tcPr>
          <w:p>
            <w:r>
              <w:rPr>
                <w:sz w:val="19"/>
              </w:rPr>
            </w:r>
            <w:r>
              <w:rPr>
                <w:sz w:val="19"/>
              </w:rPr>
              <w:t>Model ancaman lebih rendah (tak ada dokumen dipalsukan); simpan kunci di secure storage; nyatakan sebagai keterbatasan</w:t>
            </w:r>
          </w:p>
        </w:tc>
      </w:tr>
      <w:tr>
        <w:tc>
          <w:tcPr>
            <w:tcW w:type="dxa" w:w="838"/>
            <w:tcMar>
              <w:top w:w="40" w:type="dxa"/>
              <w:bottom w:w="40" w:type="dxa"/>
              <w:start w:w="80" w:type="dxa"/>
              <w:end w:w="80" w:type="dxa"/>
            </w:tcMar>
          </w:tcPr>
          <w:p>
            <w:r>
              <w:rPr>
                <w:sz w:val="19"/>
              </w:rPr>
            </w:r>
            <w:r>
              <w:rPr>
                <w:sz w:val="19"/>
              </w:rPr>
              <w:t>R-3</w:t>
            </w:r>
          </w:p>
        </w:tc>
        <w:tc>
          <w:tcPr>
            <w:tcW w:type="dxa" w:w="3269"/>
            <w:tcMar>
              <w:top w:w="40" w:type="dxa"/>
              <w:bottom w:w="40" w:type="dxa"/>
              <w:start w:w="80" w:type="dxa"/>
              <w:end w:w="80" w:type="dxa"/>
            </w:tcMar>
          </w:tcPr>
          <w:p>
            <w:r>
              <w:rPr>
                <w:sz w:val="19"/>
              </w:rPr>
            </w:r>
            <w:r>
              <w:rPr>
                <w:sz w:val="19"/>
              </w:rPr>
              <w:t>Ketertautan antarpemesanan (pseudonim, bukan anonim)</w:t>
            </w:r>
          </w:p>
        </w:tc>
        <w:tc>
          <w:tcPr>
            <w:tcW w:type="dxa" w:w="5247"/>
            <w:tcMar>
              <w:top w:w="40" w:type="dxa"/>
              <w:bottom w:w="40" w:type="dxa"/>
              <w:start w:w="80" w:type="dxa"/>
              <w:end w:w="80" w:type="dxa"/>
            </w:tcMar>
          </w:tcPr>
          <w:p>
            <w:r>
              <w:rPr>
                <w:sz w:val="19"/>
              </w:rPr>
            </w:r>
            <w:r>
              <w:rPr>
                <w:sz w:val="19"/>
              </w:rPr>
              <w:t>Konsisten dengan pilihan "identified"; kredensial anonim dicatat sebagai pekerjaan lanjutan</w:t>
            </w:r>
          </w:p>
        </w:tc>
      </w:tr>
      <w:tr>
        <w:tc>
          <w:tcPr>
            <w:tcW w:type="dxa" w:w="838"/>
            <w:tcMar>
              <w:top w:w="40" w:type="dxa"/>
              <w:bottom w:w="40" w:type="dxa"/>
              <w:start w:w="80" w:type="dxa"/>
              <w:end w:w="80" w:type="dxa"/>
            </w:tcMar>
            <w:shd w:val="clear" w:fill="EEF2F7"/>
          </w:tcPr>
          <w:p>
            <w:r>
              <w:rPr>
                <w:sz w:val="19"/>
              </w:rPr>
            </w:r>
            <w:r>
              <w:rPr>
                <w:sz w:val="19"/>
              </w:rPr>
              <w:t>R-4</w:t>
            </w:r>
          </w:p>
        </w:tc>
        <w:tc>
          <w:tcPr>
            <w:tcW w:type="dxa" w:w="3269"/>
            <w:tcMar>
              <w:top w:w="40" w:type="dxa"/>
              <w:bottom w:w="40" w:type="dxa"/>
              <w:start w:w="80" w:type="dxa"/>
              <w:end w:w="80" w:type="dxa"/>
            </w:tcMar>
            <w:shd w:val="clear" w:fill="EEF2F7"/>
          </w:tcPr>
          <w:p>
            <w:r>
              <w:rPr>
                <w:sz w:val="19"/>
              </w:rPr>
            </w:r>
            <w:r>
              <w:rPr>
                <w:sz w:val="19"/>
              </w:rPr>
              <w:t>Adopsi warga rendah / literasi digital</w:t>
            </w:r>
          </w:p>
        </w:tc>
        <w:tc>
          <w:tcPr>
            <w:tcW w:type="dxa" w:w="5247"/>
            <w:tcMar>
              <w:top w:w="40" w:type="dxa"/>
              <w:bottom w:w="40" w:type="dxa"/>
              <w:start w:w="80" w:type="dxa"/>
              <w:end w:w="80" w:type="dxa"/>
            </w:tcMar>
            <w:shd w:val="clear" w:fill="EEF2F7"/>
          </w:tcPr>
          <w:p>
            <w:r>
              <w:rPr>
                <w:sz w:val="19"/>
              </w:rPr>
            </w:r>
            <w:r>
              <w:rPr>
                <w:sz w:val="19"/>
              </w:rPr>
              <w:t>Antarmuka sederhana; pendampingan operator; pelatihan lapangan</w:t>
            </w:r>
          </w:p>
        </w:tc>
      </w:tr>
      <w:tr>
        <w:tc>
          <w:tcPr>
            <w:tcW w:type="dxa" w:w="838"/>
            <w:tcMar>
              <w:top w:w="40" w:type="dxa"/>
              <w:bottom w:w="40" w:type="dxa"/>
              <w:start w:w="80" w:type="dxa"/>
              <w:end w:w="80" w:type="dxa"/>
            </w:tcMar>
          </w:tcPr>
          <w:p>
            <w:r>
              <w:rPr>
                <w:sz w:val="19"/>
              </w:rPr>
            </w:r>
            <w:r>
              <w:rPr>
                <w:sz w:val="19"/>
              </w:rPr>
              <w:t>R-5</w:t>
            </w:r>
          </w:p>
        </w:tc>
        <w:tc>
          <w:tcPr>
            <w:tcW w:type="dxa" w:w="3269"/>
            <w:tcMar>
              <w:top w:w="40" w:type="dxa"/>
              <w:bottom w:w="40" w:type="dxa"/>
              <w:start w:w="80" w:type="dxa"/>
              <w:end w:w="80" w:type="dxa"/>
            </w:tcMar>
          </w:tcPr>
          <w:p>
            <w:r>
              <w:rPr>
                <w:sz w:val="19"/>
              </w:rPr>
            </w:r>
            <w:r>
              <w:rPr>
                <w:sz w:val="19"/>
              </w:rPr>
              <w:t>Ketergantungan Google FCM untuk notifikasi</w:t>
            </w:r>
          </w:p>
        </w:tc>
        <w:tc>
          <w:tcPr>
            <w:tcW w:type="dxa" w:w="5247"/>
            <w:tcMar>
              <w:top w:w="40" w:type="dxa"/>
              <w:bottom w:w="40" w:type="dxa"/>
              <w:start w:w="80" w:type="dxa"/>
              <w:end w:w="80" w:type="dxa"/>
            </w:tcMar>
          </w:tcPr>
          <w:p>
            <w:r>
              <w:rPr>
                <w:sz w:val="19"/>
              </w:rPr>
            </w:r>
            <w:r>
              <w:rPr>
                <w:sz w:val="19"/>
              </w:rPr>
              <w:t>Muatan minimal; degradasi anggun bila push tak tersedia</w:t>
            </w:r>
          </w:p>
        </w:tc>
      </w:tr>
    </w:tbl>
    <w:p/>
    <w:p>
      <w:pPr>
        <w:pStyle w:val="Heading1"/>
      </w:pPr>
      <w:r>
        <w:t>C.2 Peta Jalan</w:t>
      </w:r>
    </w:p>
    <w:p>
      <w:pPr>
        <w:pStyle w:val="ListBullet"/>
      </w:pPr>
      <w:r>
        <w:rPr>
          <w:b/>
        </w:rPr>
        <w:t>Tahap 1 — Kripto ZKP.</w:t>
      </w:r>
      <w:r>
        <w:t xml:space="preserve"> Hidupkan Schnorr lintas bahasa + uji interop; migrasikan auth, enrolment, dan kelayakan ke Schnorr; pensiunkan ECDSA.</w:t>
      </w:r>
    </w:p>
    <w:p>
      <w:pPr>
        <w:pStyle w:val="ListBullet"/>
      </w:pPr>
      <w:r>
        <w:rPr>
          <w:b/>
        </w:rPr>
        <w:t>Tahap 2 — Pembersihan.</w:t>
      </w:r>
      <w:r>
        <w:t xml:space="preserve"> Hapus subsistem surat, PDF/QR, verifikasi publik, dan kunci hardware.</w:t>
      </w:r>
    </w:p>
    <w:p>
      <w:pPr>
        <w:pStyle w:val="ListBullet"/>
      </w:pPr>
      <w:r>
        <w:rPr>
          <w:b/>
        </w:rPr>
        <w:t>Tahap 3 — Antrean.</w:t>
      </w:r>
      <w:r>
        <w:t xml:space="preserve"> Bangun jenis layanan, kuota/slot, pemesanan + nomor antrean, papan antrean operator, status real-time, check-in, riwayat.</w:t>
      </w:r>
    </w:p>
    <w:p>
      <w:pPr>
        <w:pStyle w:val="ListBullet"/>
      </w:pPr>
      <w:r>
        <w:rPr>
          <w:b/>
        </w:rPr>
        <w:t>Tahap 4 — Notifikasi.</w:t>
      </w:r>
      <w:r>
        <w:t xml:space="preserve"> Sambungkan notifikasi antrean ke infrastruktur FCM yang telah ada.</w:t>
      </w:r>
    </w:p>
    <w:p>
      <w:pPr>
        <w:pStyle w:val="ListBullet"/>
      </w:pPr>
      <w:r>
        <w:rPr>
          <w:b/>
        </w:rPr>
        <w:t>Tahap 5 — Uji lapangan.</w:t>
      </w:r>
      <w:r>
        <w:t xml:space="preserve"> Uji bersama perangkat desa; kumpulkan umpan balik keterpakaian dan data yang memungkinkan analisis risiko kuantitatif.</w:t>
      </w:r>
    </w:p>
    <w:p>
      <w:pPr>
        <w:pStyle w:val="Heading1"/>
      </w:pPr>
      <w:r>
        <w:t>C.3 Lampiran: Perbandingan v0.2 → Final</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407"/>
            <w:shd w:val="clear" w:fill="1F3A5F"/>
            <w:tcMar>
              <w:top w:w="40" w:type="dxa"/>
              <w:bottom w:w="40" w:type="dxa"/>
              <w:start w:w="80" w:type="dxa"/>
              <w:end w:w="80" w:type="dxa"/>
            </w:tcMar>
          </w:tcPr>
          <w:p>
            <w:r>
              <w:rPr>
                <w:b/>
                <w:color w:val="FFFFFF"/>
                <w:sz w:val="20"/>
              </w:rPr>
            </w:r>
            <w:r>
              <w:rPr>
                <w:b/>
                <w:color w:val="FFFFFF"/>
                <w:sz w:val="20"/>
              </w:rPr>
              <w:t>Aspek</w:t>
            </w:r>
          </w:p>
        </w:tc>
        <w:tc>
          <w:tcPr>
            <w:tcW w:type="dxa" w:w="3891"/>
            <w:shd w:val="clear" w:fill="1F3A5F"/>
            <w:tcMar>
              <w:top w:w="40" w:type="dxa"/>
              <w:bottom w:w="40" w:type="dxa"/>
              <w:start w:w="80" w:type="dxa"/>
              <w:end w:w="80" w:type="dxa"/>
            </w:tcMar>
          </w:tcPr>
          <w:p>
            <w:r>
              <w:rPr>
                <w:b/>
                <w:color w:val="FFFFFF"/>
                <w:sz w:val="20"/>
              </w:rPr>
            </w:r>
            <w:r>
              <w:rPr>
                <w:b/>
                <w:color w:val="FFFFFF"/>
                <w:sz w:val="20"/>
              </w:rPr>
              <w:t>v0.2 (surat bertanda tangan)</w:t>
            </w:r>
          </w:p>
        </w:tc>
        <w:tc>
          <w:tcPr>
            <w:tcW w:type="dxa" w:w="4056"/>
            <w:shd w:val="clear" w:fill="1F3A5F"/>
            <w:tcMar>
              <w:top w:w="40" w:type="dxa"/>
              <w:bottom w:w="40" w:type="dxa"/>
              <w:start w:w="80" w:type="dxa"/>
              <w:end w:w="80" w:type="dxa"/>
            </w:tcMar>
          </w:tcPr>
          <w:p>
            <w:r>
              <w:rPr>
                <w:b/>
                <w:color w:val="FFFFFF"/>
                <w:sz w:val="20"/>
              </w:rPr>
            </w:r>
            <w:r>
              <w:rPr>
                <w:b/>
                <w:color w:val="FFFFFF"/>
                <w:sz w:val="20"/>
              </w:rPr>
              <w:t>Final (antrean + ZKP)</w:t>
            </w:r>
          </w:p>
        </w:tc>
      </w:tr>
      <w:tr>
        <w:tc>
          <w:tcPr>
            <w:tcW w:type="dxa" w:w="1407"/>
            <w:tcMar>
              <w:top w:w="40" w:type="dxa"/>
              <w:bottom w:w="40" w:type="dxa"/>
              <w:start w:w="80" w:type="dxa"/>
              <w:end w:w="80" w:type="dxa"/>
            </w:tcMar>
          </w:tcPr>
          <w:p>
            <w:r>
              <w:rPr>
                <w:sz w:val="19"/>
              </w:rPr>
            </w:r>
            <w:r>
              <w:rPr>
                <w:sz w:val="19"/>
              </w:rPr>
              <w:t>Inti produk</w:t>
            </w:r>
          </w:p>
        </w:tc>
        <w:tc>
          <w:tcPr>
            <w:tcW w:type="dxa" w:w="3891"/>
            <w:tcMar>
              <w:top w:w="40" w:type="dxa"/>
              <w:bottom w:w="40" w:type="dxa"/>
              <w:start w:w="80" w:type="dxa"/>
              <w:end w:w="80" w:type="dxa"/>
            </w:tcMar>
          </w:tcPr>
          <w:p>
            <w:r>
              <w:rPr>
                <w:sz w:val="19"/>
              </w:rPr>
            </w:r>
            <w:r>
              <w:rPr>
                <w:sz w:val="19"/>
              </w:rPr>
              <w:t>Penerbitan surat bertanda tangan digital</w:t>
            </w:r>
          </w:p>
        </w:tc>
        <w:tc>
          <w:tcPr>
            <w:tcW w:type="dxa" w:w="4056"/>
            <w:tcMar>
              <w:top w:w="40" w:type="dxa"/>
              <w:bottom w:w="40" w:type="dxa"/>
              <w:start w:w="80" w:type="dxa"/>
              <w:end w:w="80" w:type="dxa"/>
            </w:tcMar>
          </w:tcPr>
          <w:p>
            <w:r>
              <w:rPr>
                <w:sz w:val="19"/>
              </w:rPr>
            </w:r>
            <w:r>
              <w:rPr>
                <w:sz w:val="19"/>
              </w:rPr>
              <w:t>Janji temu + nomor antrean</w:t>
            </w:r>
          </w:p>
        </w:tc>
      </w:tr>
      <w:tr>
        <w:tc>
          <w:tcPr>
            <w:tcW w:type="dxa" w:w="1407"/>
            <w:tcMar>
              <w:top w:w="40" w:type="dxa"/>
              <w:bottom w:w="40" w:type="dxa"/>
              <w:start w:w="80" w:type="dxa"/>
              <w:end w:w="80" w:type="dxa"/>
            </w:tcMar>
            <w:shd w:val="clear" w:fill="EEF2F7"/>
          </w:tcPr>
          <w:p>
            <w:r>
              <w:rPr>
                <w:sz w:val="19"/>
              </w:rPr>
            </w:r>
            <w:r>
              <w:rPr>
                <w:sz w:val="19"/>
              </w:rPr>
              <w:t>Penandatanganan</w:t>
            </w:r>
          </w:p>
        </w:tc>
        <w:tc>
          <w:tcPr>
            <w:tcW w:type="dxa" w:w="3891"/>
            <w:tcMar>
              <w:top w:w="40" w:type="dxa"/>
              <w:bottom w:w="40" w:type="dxa"/>
              <w:start w:w="80" w:type="dxa"/>
              <w:end w:w="80" w:type="dxa"/>
            </w:tcMar>
            <w:shd w:val="clear" w:fill="EEF2F7"/>
          </w:tcPr>
          <w:p>
            <w:r>
              <w:rPr>
                <w:sz w:val="19"/>
              </w:rPr>
            </w:r>
            <w:r>
              <w:rPr>
                <w:sz w:val="19"/>
              </w:rPr>
              <w:t>ECDSA P-384 oleh Kepala Desa di aplikasi</w:t>
            </w:r>
          </w:p>
        </w:tc>
        <w:tc>
          <w:tcPr>
            <w:tcW w:type="dxa" w:w="4056"/>
            <w:tcMar>
              <w:top w:w="40" w:type="dxa"/>
              <w:bottom w:w="40" w:type="dxa"/>
              <w:start w:w="80" w:type="dxa"/>
              <w:end w:w="80" w:type="dxa"/>
            </w:tcMar>
            <w:shd w:val="clear" w:fill="EEF2F7"/>
          </w:tcPr>
          <w:p>
            <w:r>
              <w:rPr>
                <w:sz w:val="19"/>
              </w:rPr>
            </w:r>
            <w:r>
              <w:rPr>
                <w:sz w:val="19"/>
              </w:rPr>
              <w:t>Tatap muka langsung, di luar aplikasi</w:t>
            </w:r>
          </w:p>
        </w:tc>
      </w:tr>
      <w:tr>
        <w:tc>
          <w:tcPr>
            <w:tcW w:type="dxa" w:w="1407"/>
            <w:tcMar>
              <w:top w:w="40" w:type="dxa"/>
              <w:bottom w:w="40" w:type="dxa"/>
              <w:start w:w="80" w:type="dxa"/>
              <w:end w:w="80" w:type="dxa"/>
            </w:tcMar>
          </w:tcPr>
          <w:p>
            <w:r>
              <w:rPr>
                <w:sz w:val="19"/>
              </w:rPr>
            </w:r>
            <w:r>
              <w:rPr>
                <w:sz w:val="19"/>
              </w:rPr>
              <w:t>Inti kripto</w:t>
            </w:r>
          </w:p>
        </w:tc>
        <w:tc>
          <w:tcPr>
            <w:tcW w:type="dxa" w:w="3891"/>
            <w:tcMar>
              <w:top w:w="40" w:type="dxa"/>
              <w:bottom w:w="40" w:type="dxa"/>
              <w:start w:w="80" w:type="dxa"/>
              <w:end w:w="80" w:type="dxa"/>
            </w:tcMar>
          </w:tcPr>
          <w:p>
            <w:r>
              <w:rPr>
                <w:sz w:val="19"/>
              </w:rPr>
            </w:r>
            <w:r>
              <w:rPr>
                <w:sz w:val="19"/>
              </w:rPr>
              <w:t>Tanda tangan ECDSA + kelayakan (Merkle + ECDSA)</w:t>
            </w:r>
          </w:p>
        </w:tc>
        <w:tc>
          <w:tcPr>
            <w:tcW w:type="dxa" w:w="4056"/>
            <w:tcMar>
              <w:top w:w="40" w:type="dxa"/>
              <w:bottom w:w="40" w:type="dxa"/>
              <w:start w:w="80" w:type="dxa"/>
              <w:end w:w="80" w:type="dxa"/>
            </w:tcMar>
          </w:tcPr>
          <w:p>
            <w:r>
              <w:rPr>
                <w:sz w:val="19"/>
              </w:rPr>
            </w:r>
            <w:r>
              <w:rPr>
                <w:sz w:val="19"/>
              </w:rPr>
              <w:t>ZKP Schnorr (auth, enrolment, kelayakan) + Merkle</w:t>
            </w:r>
          </w:p>
        </w:tc>
      </w:tr>
      <w:tr>
        <w:tc>
          <w:tcPr>
            <w:tcW w:type="dxa" w:w="1407"/>
            <w:tcMar>
              <w:top w:w="40" w:type="dxa"/>
              <w:bottom w:w="40" w:type="dxa"/>
              <w:start w:w="80" w:type="dxa"/>
              <w:end w:w="80" w:type="dxa"/>
            </w:tcMar>
            <w:shd w:val="clear" w:fill="EEF2F7"/>
          </w:tcPr>
          <w:p>
            <w:r>
              <w:rPr>
                <w:sz w:val="19"/>
              </w:rPr>
            </w:r>
            <w:r>
              <w:rPr>
                <w:sz w:val="19"/>
              </w:rPr>
              <w:t>Kunci identitas</w:t>
            </w:r>
          </w:p>
        </w:tc>
        <w:tc>
          <w:tcPr>
            <w:tcW w:type="dxa" w:w="3891"/>
            <w:tcMar>
              <w:top w:w="40" w:type="dxa"/>
              <w:bottom w:w="40" w:type="dxa"/>
              <w:start w:w="80" w:type="dxa"/>
              <w:end w:w="80" w:type="dxa"/>
            </w:tcMar>
            <w:shd w:val="clear" w:fill="EEF2F7"/>
          </w:tcPr>
          <w:p>
            <w:r>
              <w:rPr>
                <w:sz w:val="19"/>
              </w:rPr>
            </w:r>
            <w:r>
              <w:rPr>
                <w:sz w:val="19"/>
              </w:rPr>
              <w:t>Berbasis perangkat keras + biometrik</w:t>
            </w:r>
          </w:p>
        </w:tc>
        <w:tc>
          <w:tcPr>
            <w:tcW w:type="dxa" w:w="4056"/>
            <w:tcMar>
              <w:top w:w="40" w:type="dxa"/>
              <w:bottom w:w="40" w:type="dxa"/>
              <w:start w:w="80" w:type="dxa"/>
              <w:end w:w="80" w:type="dxa"/>
            </w:tcMar>
            <w:shd w:val="clear" w:fill="EEF2F7"/>
          </w:tcPr>
          <w:p>
            <w:r>
              <w:rPr>
                <w:sz w:val="19"/>
              </w:rPr>
            </w:r>
            <w:r>
              <w:rPr>
                <w:sz w:val="19"/>
              </w:rPr>
              <w:t>Secure storage perangkat lunak</w:t>
            </w:r>
          </w:p>
        </w:tc>
      </w:tr>
      <w:tr>
        <w:tc>
          <w:tcPr>
            <w:tcW w:type="dxa" w:w="1407"/>
            <w:tcMar>
              <w:top w:w="40" w:type="dxa"/>
              <w:bottom w:w="40" w:type="dxa"/>
              <w:start w:w="80" w:type="dxa"/>
              <w:end w:w="80" w:type="dxa"/>
            </w:tcMar>
          </w:tcPr>
          <w:p>
            <w:r>
              <w:rPr>
                <w:sz w:val="19"/>
              </w:rPr>
            </w:r>
            <w:r>
              <w:rPr>
                <w:sz w:val="19"/>
              </w:rPr>
              <w:t>Verifikasi publik</w:t>
            </w:r>
          </w:p>
        </w:tc>
        <w:tc>
          <w:tcPr>
            <w:tcW w:type="dxa" w:w="3891"/>
            <w:tcMar>
              <w:top w:w="40" w:type="dxa"/>
              <w:bottom w:w="40" w:type="dxa"/>
              <w:start w:w="80" w:type="dxa"/>
              <w:end w:w="80" w:type="dxa"/>
            </w:tcMar>
          </w:tcPr>
          <w:p>
            <w:r>
              <w:rPr>
                <w:sz w:val="19"/>
              </w:rPr>
            </w:r>
            <w:r>
              <w:rPr>
                <w:sz w:val="19"/>
              </w:rPr>
              <w:t>Halaman verifikasi surat via QR</w:t>
            </w:r>
          </w:p>
        </w:tc>
        <w:tc>
          <w:tcPr>
            <w:tcW w:type="dxa" w:w="4056"/>
            <w:tcMar>
              <w:top w:w="40" w:type="dxa"/>
              <w:bottom w:w="40" w:type="dxa"/>
              <w:start w:w="80" w:type="dxa"/>
              <w:end w:w="80" w:type="dxa"/>
            </w:tcMar>
          </w:tcPr>
          <w:p>
            <w:r>
              <w:rPr>
                <w:sz w:val="19"/>
              </w:rPr>
            </w:r>
            <w:r>
              <w:rPr>
                <w:sz w:val="19"/>
              </w:rPr>
              <w:t>Tidak ada (kelayakan diperiksa peladen)</w:t>
            </w:r>
          </w:p>
        </w:tc>
      </w:tr>
      <w:tr>
        <w:tc>
          <w:tcPr>
            <w:tcW w:type="dxa" w:w="1407"/>
            <w:tcMar>
              <w:top w:w="40" w:type="dxa"/>
              <w:bottom w:w="40" w:type="dxa"/>
              <w:start w:w="80" w:type="dxa"/>
              <w:end w:w="80" w:type="dxa"/>
            </w:tcMar>
            <w:shd w:val="clear" w:fill="EEF2F7"/>
          </w:tcPr>
          <w:p>
            <w:r>
              <w:rPr>
                <w:sz w:val="19"/>
              </w:rPr>
            </w:r>
            <w:r>
              <w:rPr>
                <w:sz w:val="19"/>
              </w:rPr>
              <w:t>Kerangka keamanan</w:t>
            </w:r>
          </w:p>
        </w:tc>
        <w:tc>
          <w:tcPr>
            <w:tcW w:type="dxa" w:w="3891"/>
            <w:tcMar>
              <w:top w:w="40" w:type="dxa"/>
              <w:bottom w:w="40" w:type="dxa"/>
              <w:start w:w="80" w:type="dxa"/>
              <w:end w:w="80" w:type="dxa"/>
            </w:tcMar>
            <w:shd w:val="clear" w:fill="EEF2F7"/>
          </w:tcPr>
          <w:p>
            <w:r>
              <w:rPr>
                <w:sz w:val="19"/>
              </w:rPr>
            </w:r>
            <w:r>
              <w:rPr>
                <w:sz w:val="19"/>
              </w:rPr>
              <w:t>Microsoft SDL + SSDF + PASTA/STRIDE</w:t>
            </w:r>
          </w:p>
        </w:tc>
        <w:tc>
          <w:tcPr>
            <w:tcW w:type="dxa" w:w="4056"/>
            <w:tcMar>
              <w:top w:w="40" w:type="dxa"/>
              <w:bottom w:w="40" w:type="dxa"/>
              <w:start w:w="80" w:type="dxa"/>
              <w:end w:w="80" w:type="dxa"/>
            </w:tcMar>
            <w:shd w:val="clear" w:fill="EEF2F7"/>
          </w:tcPr>
          <w:p>
            <w:r>
              <w:rPr>
                <w:sz w:val="19"/>
              </w:rPr>
            </w:r>
            <w:r>
              <w:rPr>
                <w:sz w:val="19"/>
              </w:rPr>
              <w:t>Sama, disesuaikan ke produk baru</w:t>
            </w:r>
          </w:p>
        </w:tc>
      </w:tr>
      <w:tr>
        <w:tc>
          <w:tcPr>
            <w:tcW w:type="dxa" w:w="1407"/>
            <w:tcMar>
              <w:top w:w="40" w:type="dxa"/>
              <w:bottom w:w="40" w:type="dxa"/>
              <w:start w:w="80" w:type="dxa"/>
              <w:end w:w="80" w:type="dxa"/>
            </w:tcMar>
          </w:tcPr>
          <w:p>
            <w:r>
              <w:rPr>
                <w:sz w:val="19"/>
              </w:rPr>
            </w:r>
            <w:r>
              <w:rPr>
                <w:sz w:val="19"/>
              </w:rPr>
              <w:t>Referensi produk</w:t>
            </w:r>
          </w:p>
        </w:tc>
        <w:tc>
          <w:tcPr>
            <w:tcW w:type="dxa" w:w="3891"/>
            <w:tcMar>
              <w:top w:w="40" w:type="dxa"/>
              <w:bottom w:w="40" w:type="dxa"/>
              <w:start w:w="80" w:type="dxa"/>
              <w:end w:w="80" w:type="dxa"/>
            </w:tcMar>
          </w:tcPr>
          <w:p>
            <w:r>
              <w:rPr>
                <w:sz w:val="19"/>
              </w:rPr>
            </w:r>
            <w:r>
              <w:rPr>
                <w:sz w:val="19"/>
              </w:rPr>
              <w:t>—</w:t>
            </w:r>
          </w:p>
        </w:tc>
        <w:tc>
          <w:tcPr>
            <w:tcW w:type="dxa" w:w="4056"/>
            <w:tcMar>
              <w:top w:w="40" w:type="dxa"/>
              <w:bottom w:w="40" w:type="dxa"/>
              <w:start w:w="80" w:type="dxa"/>
              <w:end w:w="80" w:type="dxa"/>
            </w:tcMar>
          </w:tcPr>
          <w:p>
            <w:r>
              <w:rPr>
                <w:sz w:val="19"/>
              </w:rPr>
            </w:r>
            <w:r>
              <w:rPr>
                <w:sz w:val="19"/>
              </w:rPr>
              <w:t>Fitur Antrean Mobile JKN</w:t>
            </w:r>
          </w:p>
        </w:tc>
      </w:tr>
    </w:tbl>
    <w:p/>
    <w:sectPr w:rsidR="00FC693F" w:rsidRPr="0006063C" w:rsidSect="00034616">
      <w:footerReference w:type="default" r:id="rId9"/>
      <w:pgSz w:w="11906" w:h="16838"/>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44444"/>
        <w:sz w:val="16"/>
      </w:rPr>
      <w:t xml:space="preserve">SIDESA-CM — PRD v0.3      ·      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5A8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