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01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iwzx0muamyc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Institutional Vision &amp; Philosophical Foundation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BnB represents a deliberate evolution from a recreational performing arts center into a credentialed Academy — building global academic legitimacy and long-term student pathways.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🎓</w:t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svrm63unyxf7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Academic Formalization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Transitioning beyond the "hobbyist" model into a formal Academy with international pedagogical standards, verifiable achievement records, and structured progression pathways toward elite conservatories worldwide.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🌱</w:t>
      </w:r>
    </w:p>
    <w:p w:rsidR="00000000" w:rsidDel="00000000" w:rsidP="00000000" w:rsidRDefault="00000000" w:rsidRPr="00000000" w14:paraId="00000008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k0noa7gqujts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Foundational Philosophy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institution is anchored in the "Beat and Bloom" dual-core model — uniting technical musicality with advanced developmental psychology to produce performers who are disciplined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emotionally intelligent.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🌏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mahh63jwfz4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Global Credentialing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BnB builds administrative infrastructure ensuring every semester contributes to a globally recognized transcript, facilitating student mobility toward institutions such as LASALLE College of the Arts and Pasadena City College (PCC).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🤝</w:t>
      </w:r>
    </w:p>
    <w:p w:rsidR="00000000" w:rsidDel="00000000" w:rsidP="00000000" w:rsidRDefault="00000000" w:rsidRPr="00000000" w14:paraId="0000000E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f1vcnyz7ch3l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Community of Leaders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overarching institutional goal: </w:t>
      </w:r>
      <w:r w:rsidDel="00000000" w:rsidR="00000000" w:rsidRPr="00000000">
        <w:rPr>
          <w:i w:val="1"/>
          <w:iCs w:val="1"/>
          <w:rtl w:val="0"/>
        </w:rPr>
        <w:t xml:space="preserve">"Nurturing a community of leaders through creative production."</w:t>
      </w:r>
      <w:r w:rsidDel="00000000" w:rsidR="00000000" w:rsidRPr="00000000">
        <w:rPr>
          <w:rtl w:val="0"/>
        </w:rPr>
        <w:t xml:space="preserve"> The stage is conceived as a space that celebrates the unique wonders and potential of every individual.</w:t>
      </w:r>
    </w:p>
    <w:p w:rsidR="00000000" w:rsidDel="00000000" w:rsidP="00000000" w:rsidRDefault="00000000" w:rsidRPr="00000000" w14:paraId="00000010">
      <w:pPr>
        <w:ind w:left="0" w:right="0" w:firstLine="0"/>
        <w:rPr/>
      </w:pPr>
      <w:r w:rsidDel="00000000" w:rsidR="00000000" w:rsidRPr="00000000">
        <w:rPr>
          <w:rtl w:val="0"/>
        </w:rPr>
        <w:t xml:space="preserve">"Experience explains competence. We reject the idea that a student's ability can be captured by a letter grade." — BnB Institutional Prospectus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