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02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i71z80qjdat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Beat &amp; Bloom Dual-Core Philosophy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curriculum integrates two inseparable pillars. Neither can stand alone — their intersection is where the "magical" development outcome emerges.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BEAT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Musical &amp; Rhythmic Foundations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Mastery of drum rhythm and essential rhythmic structures — the technical bedrock of all performing arts. Students build the foundational competence required before artistic expression can flourish.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BLOOM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Positive Psychology &amp; Behavioral Analysis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Holistic development drawing on Forensic Psychology and behavioral insights to foster social-emotional resilience, analytical thinking, and the psychological safety needed for creative risk-taking.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SYNERGY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"Magical" Development Outcome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The intersection of disciplined technique and psychological safety — producing students who are technically proficient, emotionally mature, and ready for the demands of high-level artistic inquiry and global stages.</w:t>
      </w:r>
    </w:p>
    <w:p w:rsidR="00000000" w:rsidDel="00000000" w:rsidP="00000000" w:rsidRDefault="00000000" w:rsidRPr="00000000" w14:paraId="0000000D">
      <w:pPr>
        <w:pStyle w:val="Heading3"/>
        <w:spacing w:after="220" w:before="540" w:lineRule="auto"/>
        <w:rPr>
          <w:b w:val="1"/>
          <w:bCs w:val="1"/>
          <w:sz w:val="26"/>
          <w:szCs w:val="26"/>
        </w:rPr>
      </w:pPr>
      <w:bookmarkStart w:colFirst="0" w:colLast="0" w:name="_plt0vcuelue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Pedagogical Rationale</w:t>
      </w:r>
    </w:p>
    <w:p w:rsidR="00000000" w:rsidDel="00000000" w:rsidP="00000000" w:rsidRDefault="00000000" w:rsidRPr="00000000" w14:paraId="0000000E">
      <w:pPr>
        <w:spacing w:after="240" w:before="7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This framework prioritizes </w:t>
      </w:r>
      <w:r w:rsidDel="00000000" w:rsidR="00000000" w:rsidRPr="00000000">
        <w:rPr>
          <w:b w:val="1"/>
          <w:bCs w:val="1"/>
          <w:rtl w:val="0"/>
        </w:rPr>
        <w:t xml:space="preserve">foundational competence over the elusive concept of "talent."</w:t>
      </w:r>
      <w:r w:rsidDel="00000000" w:rsidR="00000000" w:rsidRPr="00000000">
        <w:rPr>
          <w:rtl w:val="0"/>
        </w:rPr>
        <w:t xml:space="preserve"> By securing the "Raw Materials" of performance — the Beat of rhythm and the Bloom of psychological maturity — students develop the discipline and self-regulation required for high-level artistic inquiry. Emotional safety is treated as a prerequisite for technical mastery, not a secondary concern.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