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74D3A"/>
          <w:sz w:val="32"/>
        </w:rPr>
        <w:t>AQUABLOOM VENTURES LIMITED</w:t>
      </w:r>
    </w:p>
    <w:p>
      <w:pPr>
        <w:pStyle w:val="Title"/>
        <w:jc w:val="center"/>
      </w:pPr>
      <w:r>
        <w:t>Website Revamp Blueprint</w:t>
      </w:r>
    </w:p>
    <w:p>
      <w:pPr>
        <w:jc w:val="center"/>
      </w:pPr>
      <w:r>
        <w:rPr>
          <w:color w:val="527563"/>
          <w:sz w:val="26"/>
        </w:rPr>
        <w:t>A practical content, design and implementation guide</w:t>
      </w:r>
    </w:p>
    <w:p/>
    <w:tbl>
      <w:tblPr>
        <w:tblW w:type="auto" w:w="0"/>
        <w:tblLayout w:type="autofit"/>
        <w:tblLook w:firstColumn="1" w:firstRow="1" w:lastColumn="0" w:lastRow="0" w:noHBand="0" w:noVBand="1" w:val="04A0"/>
      </w:tblPr>
      <w:tblGrid>
        <w:gridCol w:w="9936"/>
      </w:tblGrid>
      <w:tr>
        <w:tc>
          <w:tcPr>
            <w:tcW w:type="dxa" w:w="9936"/>
            <w:shd w:fill="EAF2EC"/>
          </w:tcPr>
          <w:p>
            <w:pPr>
              <w:spacing w:before="240" w:after="240"/>
              <w:jc w:val="center"/>
            </w:pPr>
            <w:r/>
            <w:r>
              <w:rPr>
                <w:b/>
                <w:color w:val="174D3A"/>
                <w:sz w:val="22"/>
              </w:rPr>
              <w:t>Goal: create a modern, clear, mobile-friendly website that helps visitors understand Aquabloom's services and contact the company—without losing key information from the original company profile.</w:t>
            </w:r>
          </w:p>
        </w:tc>
      </w:tr>
    </w:tbl>
    <w:p>
      <w:pPr>
        <w:spacing w:before="900"/>
        <w:jc w:val="center"/>
      </w:pPr>
      <w:r>
        <w:rPr>
          <w:color w:val="527563"/>
          <w:sz w:val="20"/>
        </w:rPr>
        <w:t>Recommended stack: React + Vite • HTML • CSS • JavaScript</w:t>
      </w:r>
    </w:p>
    <w:p>
      <w:r>
        <w:br w:type="page"/>
      </w:r>
    </w:p>
    <w:p>
      <w:pPr>
        <w:pStyle w:val="Heading1"/>
      </w:pPr>
      <w:r>
        <w:t>1. Project goals and guiding principles</w:t>
      </w:r>
    </w:p>
    <w:p>
      <w:pPr>
        <w:pStyle w:val="ListBullet"/>
      </w:pPr>
      <w:r>
        <w:t>Reduce the original profile's ten numbered sections into a small number of visitor-friendly website sections.</w:t>
      </w:r>
    </w:p>
    <w:p>
      <w:pPr>
        <w:pStyle w:val="ListBullet"/>
      </w:pPr>
      <w:r>
        <w:t>Keep the company's main facts, services, facilities, social-impact activities, partnerships and sustainability information.</w:t>
      </w:r>
    </w:p>
    <w:p>
      <w:pPr>
        <w:pStyle w:val="ListBullet"/>
      </w:pPr>
      <w:r>
        <w:t>Make it easy for farmers, NGOs, county governments, cooperatives and potential partners to find relevant information.</w:t>
      </w:r>
    </w:p>
    <w:p>
      <w:pPr>
        <w:pStyle w:val="ListBullet"/>
      </w:pPr>
      <w:r>
        <w:t>Use concise web copy, clear calls to action and a consistent visual style.</w:t>
      </w:r>
    </w:p>
    <w:p>
      <w:pPr>
        <w:pStyle w:val="ListBullet"/>
      </w:pPr>
      <w:r>
        <w:t>Avoid unsupported claims. Verify statistics, partner names, production figures and contact details before publishing.</w:t>
      </w:r>
    </w:p>
    <w:p>
      <w:pPr>
        <w:pStyle w:val="ListBullet"/>
      </w:pPr>
      <w:r>
        <w:t>Improve the existing project where possible rather than rebuilding it unnecessarily.</w:t>
      </w:r>
    </w:p>
    <w:p>
      <w:pPr>
        <w:pStyle w:val="Heading1"/>
      </w:pPr>
      <w:r>
        <w:t>2. Recommended website structure</w:t>
      </w:r>
    </w:p>
    <w:p>
      <w:r>
        <w:t>Use five primary navigation links. For the first version, these can be sections on one scrolling homepage. Create separate pages later only if the content or business needs justify them.</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74D3A"/>
          </w:tcPr>
          <w:p>
            <w:pPr>
              <w:spacing w:after="40"/>
            </w:pPr>
            <w:r/>
            <w:r>
              <w:rPr>
                <w:rFonts w:ascii="Aptos" w:hAnsi="Aptos"/>
                <w:b/>
                <w:color w:val="FFFFFF"/>
                <w:sz w:val="18"/>
              </w:rPr>
              <w:t>Navigation item</w:t>
            </w:r>
          </w:p>
        </w:tc>
        <w:tc>
          <w:tcPr>
            <w:tcW w:type="dxa" w:w="3312"/>
            <w:shd w:fill="174D3A"/>
          </w:tcPr>
          <w:p>
            <w:pPr>
              <w:spacing w:after="40"/>
            </w:pPr>
            <w:r/>
            <w:r>
              <w:rPr>
                <w:rFonts w:ascii="Aptos" w:hAnsi="Aptos"/>
                <w:b/>
                <w:color w:val="FFFFFF"/>
                <w:sz w:val="18"/>
              </w:rPr>
              <w:t>Content to include</w:t>
            </w:r>
          </w:p>
        </w:tc>
        <w:tc>
          <w:tcPr>
            <w:tcW w:type="dxa" w:w="3312"/>
            <w:shd w:fill="174D3A"/>
          </w:tcPr>
          <w:p>
            <w:pPr>
              <w:spacing w:after="40"/>
            </w:pPr>
            <w:r/>
            <w:r>
              <w:rPr>
                <w:rFonts w:ascii="Aptos" w:hAnsi="Aptos"/>
                <w:b/>
                <w:color w:val="FFFFFF"/>
                <w:sz w:val="18"/>
              </w:rPr>
              <w:t>Visitor's question</w:t>
            </w:r>
          </w:p>
        </w:tc>
      </w:tr>
      <w:tr>
        <w:tc>
          <w:tcPr>
            <w:tcW w:type="dxa" w:w="3312"/>
          </w:tcPr>
          <w:p>
            <w:pPr>
              <w:spacing w:after="40"/>
            </w:pPr>
            <w:r/>
            <w:r>
              <w:rPr>
                <w:rFonts w:ascii="Aptos" w:hAnsi="Aptos"/>
                <w:b/>
                <w:color w:val="174D3A"/>
                <w:sz w:val="18"/>
              </w:rPr>
              <w:t>Home</w:t>
            </w:r>
          </w:p>
        </w:tc>
        <w:tc>
          <w:tcPr>
            <w:tcW w:type="dxa" w:w="3312"/>
          </w:tcPr>
          <w:p>
            <w:pPr>
              <w:spacing w:after="40"/>
            </w:pPr>
            <w:r/>
            <w:r>
              <w:rPr>
                <w:rFonts w:ascii="Aptos" w:hAnsi="Aptos"/>
                <w:b w:val="0"/>
                <w:sz w:val="18"/>
              </w:rPr>
              <w:t>Hero headline, short introduction, service highlights, proof points, calls to action.</w:t>
            </w:r>
          </w:p>
        </w:tc>
        <w:tc>
          <w:tcPr>
            <w:tcW w:type="dxa" w:w="3312"/>
          </w:tcPr>
          <w:p>
            <w:pPr>
              <w:spacing w:after="40"/>
            </w:pPr>
            <w:r/>
            <w:r>
              <w:rPr>
                <w:rFonts w:ascii="Aptos" w:hAnsi="Aptos"/>
                <w:b w:val="0"/>
                <w:sz w:val="18"/>
              </w:rPr>
              <w:t>What does Aquabloom do?</w:t>
            </w:r>
          </w:p>
        </w:tc>
      </w:tr>
      <w:tr>
        <w:tc>
          <w:tcPr>
            <w:tcW w:type="dxa" w:w="3312"/>
          </w:tcPr>
          <w:p>
            <w:pPr>
              <w:spacing w:after="40"/>
            </w:pPr>
            <w:r/>
            <w:r>
              <w:rPr>
                <w:rFonts w:ascii="Aptos" w:hAnsi="Aptos"/>
                <w:b/>
                <w:color w:val="174D3A"/>
                <w:sz w:val="18"/>
              </w:rPr>
              <w:t>About Us</w:t>
            </w:r>
          </w:p>
        </w:tc>
        <w:tc>
          <w:tcPr>
            <w:tcW w:type="dxa" w:w="3312"/>
          </w:tcPr>
          <w:p>
            <w:pPr>
              <w:spacing w:after="40"/>
            </w:pPr>
            <w:r/>
            <w:r>
              <w:rPr>
                <w:rFonts w:ascii="Aptos" w:hAnsi="Aptos"/>
                <w:b w:val="0"/>
                <w:sz w:val="18"/>
              </w:rPr>
              <w:t>Company overview, vision, mission and five core values.</w:t>
            </w:r>
          </w:p>
        </w:tc>
        <w:tc>
          <w:tcPr>
            <w:tcW w:type="dxa" w:w="3312"/>
          </w:tcPr>
          <w:p>
            <w:pPr>
              <w:spacing w:after="40"/>
            </w:pPr>
            <w:r/>
            <w:r>
              <w:rPr>
                <w:rFonts w:ascii="Aptos" w:hAnsi="Aptos"/>
                <w:b w:val="0"/>
                <w:sz w:val="18"/>
              </w:rPr>
              <w:t>Who are you and what guides your work?</w:t>
            </w:r>
          </w:p>
        </w:tc>
      </w:tr>
      <w:tr>
        <w:tc>
          <w:tcPr>
            <w:tcW w:type="dxa" w:w="3312"/>
          </w:tcPr>
          <w:p>
            <w:pPr>
              <w:spacing w:after="40"/>
            </w:pPr>
            <w:r/>
            <w:r>
              <w:rPr>
                <w:rFonts w:ascii="Aptos" w:hAnsi="Aptos"/>
                <w:b/>
                <w:color w:val="174D3A"/>
                <w:sz w:val="18"/>
              </w:rPr>
              <w:t>Our Services</w:t>
            </w:r>
          </w:p>
        </w:tc>
        <w:tc>
          <w:tcPr>
            <w:tcW w:type="dxa" w:w="3312"/>
          </w:tcPr>
          <w:p>
            <w:pPr>
              <w:spacing w:after="40"/>
            </w:pPr>
            <w:r/>
            <w:r>
              <w:rPr>
                <w:rFonts w:ascii="Aptos" w:hAnsi="Aptos"/>
                <w:b w:val="0"/>
                <w:sz w:val="18"/>
              </w:rPr>
              <w:t>Tilapia hatchery, IMTA, consultancy, training, community empowerment activities, business plans and proposal development.</w:t>
            </w:r>
          </w:p>
        </w:tc>
        <w:tc>
          <w:tcPr>
            <w:tcW w:type="dxa" w:w="3312"/>
          </w:tcPr>
          <w:p>
            <w:pPr>
              <w:spacing w:after="40"/>
            </w:pPr>
            <w:r/>
            <w:r>
              <w:rPr>
                <w:rFonts w:ascii="Aptos" w:hAnsi="Aptos"/>
                <w:b w:val="0"/>
                <w:sz w:val="18"/>
              </w:rPr>
              <w:t>How can you help me?</w:t>
            </w:r>
          </w:p>
        </w:tc>
      </w:tr>
      <w:tr>
        <w:tc>
          <w:tcPr>
            <w:tcW w:type="dxa" w:w="3312"/>
          </w:tcPr>
          <w:p>
            <w:pPr>
              <w:spacing w:after="40"/>
            </w:pPr>
            <w:r/>
            <w:r>
              <w:rPr>
                <w:rFonts w:ascii="Aptos" w:hAnsi="Aptos"/>
                <w:b/>
                <w:color w:val="174D3A"/>
                <w:sz w:val="18"/>
              </w:rPr>
              <w:t>Our Impact</w:t>
            </w:r>
          </w:p>
        </w:tc>
        <w:tc>
          <w:tcPr>
            <w:tcW w:type="dxa" w:w="3312"/>
          </w:tcPr>
          <w:p>
            <w:pPr>
              <w:spacing w:after="40"/>
            </w:pPr>
            <w:r/>
            <w:r>
              <w:rPr>
                <w:rFonts w:ascii="Aptos" w:hAnsi="Aptos"/>
                <w:b w:val="0"/>
                <w:sz w:val="18"/>
              </w:rPr>
              <w:t>Social development, infrastructure and capacity, market opportunity, competitive advantages, partnerships, sustainability and innovation.</w:t>
            </w:r>
          </w:p>
        </w:tc>
        <w:tc>
          <w:tcPr>
            <w:tcW w:type="dxa" w:w="3312"/>
          </w:tcPr>
          <w:p>
            <w:pPr>
              <w:spacing w:after="40"/>
            </w:pPr>
            <w:r/>
            <w:r>
              <w:rPr>
                <w:rFonts w:ascii="Aptos" w:hAnsi="Aptos"/>
                <w:b w:val="0"/>
                <w:sz w:val="18"/>
              </w:rPr>
              <w:t>What capability, impact and experience do you bring?</w:t>
            </w:r>
          </w:p>
        </w:tc>
      </w:tr>
      <w:tr>
        <w:tc>
          <w:tcPr>
            <w:tcW w:type="dxa" w:w="3312"/>
          </w:tcPr>
          <w:p>
            <w:pPr>
              <w:spacing w:after="40"/>
            </w:pPr>
            <w:r/>
            <w:r>
              <w:rPr>
                <w:rFonts w:ascii="Aptos" w:hAnsi="Aptos"/>
                <w:b/>
                <w:color w:val="174D3A"/>
                <w:sz w:val="18"/>
              </w:rPr>
              <w:t>Contact</w:t>
            </w:r>
          </w:p>
        </w:tc>
        <w:tc>
          <w:tcPr>
            <w:tcW w:type="dxa" w:w="3312"/>
          </w:tcPr>
          <w:p>
            <w:pPr>
              <w:spacing w:after="40"/>
            </w:pPr>
            <w:r/>
            <w:r>
              <w:rPr>
                <w:rFonts w:ascii="Aptos" w:hAnsi="Aptos"/>
                <w:b w:val="0"/>
                <w:sz w:val="18"/>
              </w:rPr>
              <w:t>Verified phone, email, physical location, inquiry form and relevant contact call to action.</w:t>
            </w:r>
          </w:p>
        </w:tc>
        <w:tc>
          <w:tcPr>
            <w:tcW w:type="dxa" w:w="3312"/>
          </w:tcPr>
          <w:p>
            <w:pPr>
              <w:spacing w:after="40"/>
            </w:pPr>
            <w:r/>
            <w:r>
              <w:rPr>
                <w:rFonts w:ascii="Aptos" w:hAnsi="Aptos"/>
                <w:b w:val="0"/>
                <w:sz w:val="18"/>
              </w:rPr>
              <w:t>How do I reach you?</w:t>
            </w:r>
          </w:p>
        </w:tc>
      </w:tr>
    </w:tbl>
    <w:p>
      <w:pPr>
        <w:pStyle w:val="Heading1"/>
      </w:pPr>
      <w:r>
        <w:t>3. Content mapping: where every original section goes</w:t>
      </w:r>
    </w:p>
    <w:p>
      <w:r>
        <w:t>This map is the content-preservation checklist. Consolidate headings, but do not delete the information itself.</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74D3A"/>
          </w:tcPr>
          <w:p>
            <w:pPr>
              <w:spacing w:after="40"/>
            </w:pPr>
            <w:r/>
            <w:r>
              <w:rPr>
                <w:rFonts w:ascii="Aptos" w:hAnsi="Aptos"/>
                <w:b/>
                <w:color w:val="FFFFFF"/>
                <w:sz w:val="18"/>
              </w:rPr>
              <w:t>Original section</w:t>
            </w:r>
          </w:p>
        </w:tc>
        <w:tc>
          <w:tcPr>
            <w:tcW w:type="dxa" w:w="3312"/>
            <w:shd w:fill="174D3A"/>
          </w:tcPr>
          <w:p>
            <w:pPr>
              <w:spacing w:after="40"/>
            </w:pPr>
            <w:r/>
            <w:r>
              <w:rPr>
                <w:rFonts w:ascii="Aptos" w:hAnsi="Aptos"/>
                <w:b/>
                <w:color w:val="FFFFFF"/>
                <w:sz w:val="18"/>
              </w:rPr>
              <w:t>New location</w:t>
            </w:r>
          </w:p>
        </w:tc>
        <w:tc>
          <w:tcPr>
            <w:tcW w:type="dxa" w:w="3312"/>
            <w:shd w:fill="174D3A"/>
          </w:tcPr>
          <w:p>
            <w:pPr>
              <w:spacing w:after="40"/>
            </w:pPr>
            <w:r/>
            <w:r>
              <w:rPr>
                <w:rFonts w:ascii="Aptos" w:hAnsi="Aptos"/>
                <w:b/>
                <w:color w:val="FFFFFF"/>
                <w:sz w:val="18"/>
              </w:rPr>
              <w:t>Information to preserve</w:t>
            </w:r>
          </w:p>
        </w:tc>
      </w:tr>
      <w:tr>
        <w:tc>
          <w:tcPr>
            <w:tcW w:type="dxa" w:w="3312"/>
          </w:tcPr>
          <w:p>
            <w:pPr>
              <w:spacing w:after="40"/>
            </w:pPr>
            <w:r/>
            <w:r>
              <w:rPr>
                <w:rFonts w:ascii="Aptos" w:hAnsi="Aptos"/>
                <w:b/>
                <w:color w:val="174D3A"/>
                <w:sz w:val="17"/>
              </w:rPr>
              <w:t>1. Company Overview</w:t>
            </w:r>
          </w:p>
        </w:tc>
        <w:tc>
          <w:tcPr>
            <w:tcW w:type="dxa" w:w="3312"/>
          </w:tcPr>
          <w:p>
            <w:pPr>
              <w:spacing w:after="40"/>
            </w:pPr>
            <w:r/>
            <w:r>
              <w:rPr>
                <w:rFonts w:ascii="Aptos" w:hAnsi="Aptos"/>
                <w:b w:val="0"/>
                <w:sz w:val="17"/>
              </w:rPr>
              <w:t>About Us; short version on Home</w:t>
            </w:r>
          </w:p>
        </w:tc>
        <w:tc>
          <w:tcPr>
            <w:tcW w:type="dxa" w:w="3312"/>
          </w:tcPr>
          <w:p>
            <w:pPr>
              <w:spacing w:after="40"/>
            </w:pPr>
            <w:r/>
            <w:r>
              <w:rPr>
                <w:rFonts w:ascii="Aptos" w:hAnsi="Aptos"/>
                <w:b w:val="0"/>
                <w:sz w:val="17"/>
              </w:rPr>
              <w:t>Company's legal status, Kakamega base, Western Kenya/Lake Victoria footprint, youth-led aquaculture focus, social-impact purpose.</w:t>
            </w:r>
          </w:p>
        </w:tc>
      </w:tr>
      <w:tr>
        <w:tc>
          <w:tcPr>
            <w:tcW w:type="dxa" w:w="3312"/>
          </w:tcPr>
          <w:p>
            <w:pPr>
              <w:spacing w:after="40"/>
            </w:pPr>
            <w:r/>
            <w:r>
              <w:rPr>
                <w:rFonts w:ascii="Aptos" w:hAnsi="Aptos"/>
                <w:b/>
                <w:color w:val="174D3A"/>
                <w:sz w:val="17"/>
              </w:rPr>
              <w:t>2. Vision &amp; Mission</w:t>
            </w:r>
          </w:p>
        </w:tc>
        <w:tc>
          <w:tcPr>
            <w:tcW w:type="dxa" w:w="3312"/>
          </w:tcPr>
          <w:p>
            <w:pPr>
              <w:spacing w:after="40"/>
            </w:pPr>
            <w:r/>
            <w:r>
              <w:rPr>
                <w:rFonts w:ascii="Aptos" w:hAnsi="Aptos"/>
                <w:b w:val="0"/>
                <w:sz w:val="17"/>
              </w:rPr>
              <w:t>About Us</w:t>
            </w:r>
          </w:p>
        </w:tc>
        <w:tc>
          <w:tcPr>
            <w:tcW w:type="dxa" w:w="3312"/>
          </w:tcPr>
          <w:p>
            <w:pPr>
              <w:spacing w:after="40"/>
            </w:pPr>
            <w:r/>
            <w:r>
              <w:rPr>
                <w:rFonts w:ascii="Aptos" w:hAnsi="Aptos"/>
                <w:b w:val="0"/>
                <w:sz w:val="17"/>
              </w:rPr>
              <w:t>Keep the original vision and mission meaning intact.</w:t>
            </w:r>
          </w:p>
        </w:tc>
      </w:tr>
      <w:tr>
        <w:tc>
          <w:tcPr>
            <w:tcW w:type="dxa" w:w="3312"/>
          </w:tcPr>
          <w:p>
            <w:pPr>
              <w:spacing w:after="40"/>
            </w:pPr>
            <w:r/>
            <w:r>
              <w:rPr>
                <w:rFonts w:ascii="Aptos" w:hAnsi="Aptos"/>
                <w:b/>
                <w:color w:val="174D3A"/>
                <w:sz w:val="17"/>
              </w:rPr>
              <w:t>3. Core Values</w:t>
            </w:r>
          </w:p>
        </w:tc>
        <w:tc>
          <w:tcPr>
            <w:tcW w:type="dxa" w:w="3312"/>
          </w:tcPr>
          <w:p>
            <w:pPr>
              <w:spacing w:after="40"/>
            </w:pPr>
            <w:r/>
            <w:r>
              <w:rPr>
                <w:rFonts w:ascii="Aptos" w:hAnsi="Aptos"/>
                <w:b w:val="0"/>
                <w:sz w:val="17"/>
              </w:rPr>
              <w:t>About Us</w:t>
            </w:r>
          </w:p>
        </w:tc>
        <w:tc>
          <w:tcPr>
            <w:tcW w:type="dxa" w:w="3312"/>
          </w:tcPr>
          <w:p>
            <w:pPr>
              <w:spacing w:after="40"/>
            </w:pPr>
            <w:r/>
            <w:r>
              <w:rPr>
                <w:rFonts w:ascii="Aptos" w:hAnsi="Aptos"/>
                <w:b w:val="0"/>
                <w:sz w:val="17"/>
              </w:rPr>
              <w:t>Integrity; equity and inclusivity; innovation; responsiveness; results-oriented service.</w:t>
            </w:r>
          </w:p>
        </w:tc>
      </w:tr>
      <w:tr>
        <w:tc>
          <w:tcPr>
            <w:tcW w:type="dxa" w:w="3312"/>
          </w:tcPr>
          <w:p>
            <w:pPr>
              <w:spacing w:after="40"/>
            </w:pPr>
            <w:r/>
            <w:r>
              <w:rPr>
                <w:rFonts w:ascii="Aptos" w:hAnsi="Aptos"/>
                <w:b/>
                <w:color w:val="174D3A"/>
                <w:sz w:val="17"/>
              </w:rPr>
              <w:t>4. Business Focus</w:t>
            </w:r>
          </w:p>
        </w:tc>
        <w:tc>
          <w:tcPr>
            <w:tcW w:type="dxa" w:w="3312"/>
          </w:tcPr>
          <w:p>
            <w:pPr>
              <w:spacing w:after="40"/>
            </w:pPr>
            <w:r/>
            <w:r>
              <w:rPr>
                <w:rFonts w:ascii="Aptos" w:hAnsi="Aptos"/>
                <w:b w:val="0"/>
                <w:sz w:val="17"/>
              </w:rPr>
              <w:t>Our Services</w:t>
            </w:r>
          </w:p>
        </w:tc>
        <w:tc>
          <w:tcPr>
            <w:tcW w:type="dxa" w:w="3312"/>
          </w:tcPr>
          <w:p>
            <w:pPr>
              <w:spacing w:after="40"/>
            </w:pPr>
            <w:r/>
            <w:r>
              <w:rPr>
                <w:rFonts w:ascii="Aptos" w:hAnsi="Aptos"/>
                <w:b w:val="0"/>
                <w:sz w:val="17"/>
              </w:rPr>
              <w:t>Tilapia hatchery; IMTA demonstration sites; consultancy; community empowerment; business plans and proposal development.</w:t>
            </w:r>
          </w:p>
        </w:tc>
      </w:tr>
      <w:tr>
        <w:tc>
          <w:tcPr>
            <w:tcW w:type="dxa" w:w="3312"/>
          </w:tcPr>
          <w:p>
            <w:pPr>
              <w:spacing w:after="40"/>
            </w:pPr>
            <w:r/>
            <w:r>
              <w:rPr>
                <w:rFonts w:ascii="Aptos" w:hAnsi="Aptos"/>
                <w:b/>
                <w:color w:val="174D3A"/>
                <w:sz w:val="17"/>
              </w:rPr>
              <w:t>5. Social Development Component</w:t>
            </w:r>
          </w:p>
        </w:tc>
        <w:tc>
          <w:tcPr>
            <w:tcW w:type="dxa" w:w="3312"/>
          </w:tcPr>
          <w:p>
            <w:pPr>
              <w:spacing w:after="40"/>
            </w:pPr>
            <w:r/>
            <w:r>
              <w:rPr>
                <w:rFonts w:ascii="Aptos" w:hAnsi="Aptos"/>
                <w:b w:val="0"/>
                <w:sz w:val="17"/>
              </w:rPr>
              <w:t>Our Impact</w:t>
            </w:r>
          </w:p>
        </w:tc>
        <w:tc>
          <w:tcPr>
            <w:tcW w:type="dxa" w:w="3312"/>
          </w:tcPr>
          <w:p>
            <w:pPr>
              <w:spacing w:after="40"/>
            </w:pPr>
            <w:r/>
            <w:r>
              <w:rPr>
                <w:rFonts w:ascii="Aptos" w:hAnsi="Aptos"/>
                <w:b w:val="0"/>
                <w:sz w:val="17"/>
              </w:rPr>
              <w:t>Training and mentoring youth and women; employment; support for cooperatives and farmer groups; food security and nutrition; community-based projects.</w:t>
            </w:r>
          </w:p>
        </w:tc>
      </w:tr>
      <w:tr>
        <w:tc>
          <w:tcPr>
            <w:tcW w:type="dxa" w:w="3312"/>
          </w:tcPr>
          <w:p>
            <w:pPr>
              <w:spacing w:after="40"/>
            </w:pPr>
            <w:r/>
            <w:r>
              <w:rPr>
                <w:rFonts w:ascii="Aptos" w:hAnsi="Aptos"/>
                <w:b/>
                <w:color w:val="174D3A"/>
                <w:sz w:val="17"/>
              </w:rPr>
              <w:t>6. Infrastructure &amp; Capacity</w:t>
            </w:r>
          </w:p>
        </w:tc>
        <w:tc>
          <w:tcPr>
            <w:tcW w:type="dxa" w:w="3312"/>
          </w:tcPr>
          <w:p>
            <w:pPr>
              <w:spacing w:after="40"/>
            </w:pPr>
            <w:r/>
            <w:r>
              <w:rPr>
                <w:rFonts w:ascii="Aptos" w:hAnsi="Aptos"/>
                <w:b w:val="0"/>
                <w:sz w:val="17"/>
              </w:rPr>
              <w:t>Our Impact</w:t>
            </w:r>
          </w:p>
        </w:tc>
        <w:tc>
          <w:tcPr>
            <w:tcW w:type="dxa" w:w="3312"/>
          </w:tcPr>
          <w:p>
            <w:pPr>
              <w:spacing w:after="40"/>
            </w:pPr>
            <w:r/>
            <w:r>
              <w:rPr>
                <w:rFonts w:ascii="Aptos" w:hAnsi="Aptos"/>
                <w:b w:val="0"/>
                <w:sz w:val="17"/>
              </w:rPr>
              <w:t>Hatchery and broodstock ponds in Kakamega and Siaya; Lake Victoria cage systems; borehole, filtration and aeration; earthen/liner ponds and hapa-in-pond systems; technical team.</w:t>
            </w:r>
          </w:p>
        </w:tc>
      </w:tr>
      <w:tr>
        <w:tc>
          <w:tcPr>
            <w:tcW w:type="dxa" w:w="3312"/>
          </w:tcPr>
          <w:p>
            <w:pPr>
              <w:spacing w:after="40"/>
            </w:pPr>
            <w:r/>
            <w:r>
              <w:rPr>
                <w:rFonts w:ascii="Aptos" w:hAnsi="Aptos"/>
                <w:b/>
                <w:color w:val="174D3A"/>
                <w:sz w:val="17"/>
              </w:rPr>
              <w:t>7. Market Opportunity</w:t>
            </w:r>
          </w:p>
        </w:tc>
        <w:tc>
          <w:tcPr>
            <w:tcW w:type="dxa" w:w="3312"/>
          </w:tcPr>
          <w:p>
            <w:pPr>
              <w:spacing w:after="40"/>
            </w:pPr>
            <w:r/>
            <w:r>
              <w:rPr>
                <w:rFonts w:ascii="Aptos" w:hAnsi="Aptos"/>
                <w:b w:val="0"/>
                <w:sz w:val="17"/>
              </w:rPr>
              <w:t>Our Impact or a compact homepage fact panel</w:t>
            </w:r>
          </w:p>
        </w:tc>
        <w:tc>
          <w:tcPr>
            <w:tcW w:type="dxa" w:w="3312"/>
          </w:tcPr>
          <w:p>
            <w:pPr>
              <w:spacing w:after="40"/>
            </w:pPr>
            <w:r/>
            <w:r>
              <w:rPr>
                <w:rFonts w:ascii="Aptos" w:hAnsi="Aptos"/>
                <w:b w:val="0"/>
                <w:sz w:val="17"/>
              </w:rPr>
              <w:t>Annual fingerling demand claim, target customer groups and competitive advantages. Verify the demand statistic before publishing.</w:t>
            </w:r>
          </w:p>
        </w:tc>
      </w:tr>
      <w:tr>
        <w:tc>
          <w:tcPr>
            <w:tcW w:type="dxa" w:w="3312"/>
          </w:tcPr>
          <w:p>
            <w:pPr>
              <w:spacing w:after="40"/>
            </w:pPr>
            <w:r/>
            <w:r>
              <w:rPr>
                <w:rFonts w:ascii="Aptos" w:hAnsi="Aptos"/>
                <w:b/>
                <w:color w:val="174D3A"/>
                <w:sz w:val="17"/>
              </w:rPr>
              <w:t>8. Partnerships</w:t>
            </w:r>
          </w:p>
        </w:tc>
        <w:tc>
          <w:tcPr>
            <w:tcW w:type="dxa" w:w="3312"/>
          </w:tcPr>
          <w:p>
            <w:pPr>
              <w:spacing w:after="40"/>
            </w:pPr>
            <w:r/>
            <w:r>
              <w:rPr>
                <w:rFonts w:ascii="Aptos" w:hAnsi="Aptos"/>
                <w:b w:val="0"/>
                <w:sz w:val="17"/>
              </w:rPr>
              <w:t>Our Impact</w:t>
            </w:r>
          </w:p>
        </w:tc>
        <w:tc>
          <w:tcPr>
            <w:tcW w:type="dxa" w:w="3312"/>
          </w:tcPr>
          <w:p>
            <w:pPr>
              <w:spacing w:after="40"/>
            </w:pPr>
            <w:r/>
            <w:r>
              <w:rPr>
                <w:rFonts w:ascii="Aptos" w:hAnsi="Aptos"/>
                <w:b w:val="0"/>
                <w:sz w:val="17"/>
              </w:rPr>
              <w:t>University of Eldoret; county governments of Kakamega, Kisumu and Siaya; ADBA-IFAD, KFS and KEMRI; local NGOs. Confirm current relationship names and permission to display logos.</w:t>
            </w:r>
          </w:p>
        </w:tc>
      </w:tr>
      <w:tr>
        <w:tc>
          <w:tcPr>
            <w:tcW w:type="dxa" w:w="3312"/>
          </w:tcPr>
          <w:p>
            <w:pPr>
              <w:spacing w:after="40"/>
            </w:pPr>
            <w:r/>
            <w:r>
              <w:rPr>
                <w:rFonts w:ascii="Aptos" w:hAnsi="Aptos"/>
                <w:b/>
                <w:color w:val="174D3A"/>
                <w:sz w:val="17"/>
              </w:rPr>
              <w:t>9. Sustainability &amp; Innovation</w:t>
            </w:r>
          </w:p>
        </w:tc>
        <w:tc>
          <w:tcPr>
            <w:tcW w:type="dxa" w:w="3312"/>
          </w:tcPr>
          <w:p>
            <w:pPr>
              <w:spacing w:after="40"/>
            </w:pPr>
            <w:r/>
            <w:r>
              <w:rPr>
                <w:rFonts w:ascii="Aptos" w:hAnsi="Aptos"/>
                <w:b w:val="0"/>
                <w:sz w:val="17"/>
              </w:rPr>
              <w:t>Our Impact</w:t>
            </w:r>
          </w:p>
        </w:tc>
        <w:tc>
          <w:tcPr>
            <w:tcW w:type="dxa" w:w="3312"/>
          </w:tcPr>
          <w:p>
            <w:pPr>
              <w:spacing w:after="40"/>
            </w:pPr>
            <w:r/>
            <w:r>
              <w:rPr>
                <w:rFonts w:ascii="Aptos" w:hAnsi="Aptos"/>
                <w:b w:val="0"/>
                <w:sz w:val="17"/>
              </w:rPr>
              <w:t>Circular economy approach; multi-species trials; climate-smart practices for floods and droughts.</w:t>
            </w:r>
          </w:p>
        </w:tc>
      </w:tr>
      <w:tr>
        <w:tc>
          <w:tcPr>
            <w:tcW w:type="dxa" w:w="3312"/>
          </w:tcPr>
          <w:p>
            <w:pPr>
              <w:spacing w:after="40"/>
            </w:pPr>
            <w:r/>
            <w:r>
              <w:rPr>
                <w:rFonts w:ascii="Aptos" w:hAnsi="Aptos"/>
                <w:b/>
                <w:color w:val="174D3A"/>
                <w:sz w:val="17"/>
              </w:rPr>
              <w:t>10. Contact Information</w:t>
            </w:r>
          </w:p>
        </w:tc>
        <w:tc>
          <w:tcPr>
            <w:tcW w:type="dxa" w:w="3312"/>
          </w:tcPr>
          <w:p>
            <w:pPr>
              <w:spacing w:after="40"/>
            </w:pPr>
            <w:r/>
            <w:r>
              <w:rPr>
                <w:rFonts w:ascii="Aptos" w:hAnsi="Aptos"/>
                <w:b w:val="0"/>
                <w:sz w:val="17"/>
              </w:rPr>
              <w:t>Contact</w:t>
            </w:r>
          </w:p>
        </w:tc>
        <w:tc>
          <w:tcPr>
            <w:tcW w:type="dxa" w:w="3312"/>
          </w:tcPr>
          <w:p>
            <w:pPr>
              <w:spacing w:after="40"/>
            </w:pPr>
            <w:r/>
            <w:r>
              <w:rPr>
                <w:rFonts w:ascii="Aptos" w:hAnsi="Aptos"/>
                <w:b w:val="0"/>
                <w:sz w:val="17"/>
              </w:rPr>
              <w:t>The supplied document has the heading but no visible contact details. Collect verified company contact information; do not invent it.</w:t>
            </w:r>
          </w:p>
        </w:tc>
      </w:tr>
    </w:tbl>
    <w:p>
      <w:pPr>
        <w:pStyle w:val="Heading1"/>
      </w:pPr>
      <w:r>
        <w:t>4. Draft homepage copy</w:t>
      </w:r>
    </w:p>
    <w:p>
      <w:pPr>
        <w:pStyle w:val="Heading2"/>
      </w:pPr>
      <w:r>
        <w:t>Hero section</w:t>
      </w:r>
    </w:p>
    <w:p>
      <w:r>
        <w:t>Suggested headline: “Growing Aquaculture. Empowering Communities.”</w:t>
      </w:r>
    </w:p>
    <w:p>
      <w:r>
        <w:t>Suggested supporting text: “Quality tilapia fingerlings, integrated aquaculture solutions and practical technical support for farmers and community-focused projects.”</w:t>
      </w:r>
    </w:p>
    <w:p>
      <w:r>
        <w:t>Primary button: “Explore Our Services”</w:t>
      </w:r>
    </w:p>
    <w:p>
      <w:r>
        <w:t>Secondary button: “Contact Us”</w:t>
      </w:r>
    </w:p>
    <w:p>
      <w:r>
        <w:t>Use these as draft wording. Confirm that they accurately reflect the company's current services before publishing.</w:t>
      </w:r>
    </w:p>
    <w:p>
      <w:pPr>
        <w:pStyle w:val="Heading2"/>
      </w:pPr>
      <w:r>
        <w:t>Below the hero</w:t>
      </w:r>
    </w:p>
    <w:p>
      <w:pPr>
        <w:pStyle w:val="ListBullet"/>
      </w:pPr>
      <w:r>
        <w:t>Short introduction: 2–3 sentences describing Aquabloom, its location and aquaculture focus.</w:t>
      </w:r>
    </w:p>
    <w:p>
      <w:pPr>
        <w:pStyle w:val="ListBullet"/>
      </w:pPr>
      <w:r>
        <w:t>Service cards: Tilapia Hatchery; Integrated Multi-Trophic Aquaculture (IMTA); Consultancy &amp; Training; Business Plans &amp; Proposals.</w:t>
      </w:r>
    </w:p>
    <w:p>
      <w:pPr>
        <w:pStyle w:val="ListBullet"/>
      </w:pPr>
      <w:r>
        <w:t>Capability highlights: show verified facts such as annual fingerling production capacity and facility locations, only after confirmation.</w:t>
      </w:r>
    </w:p>
    <w:p>
      <w:pPr>
        <w:pStyle w:val="ListBullet"/>
      </w:pPr>
      <w:r>
        <w:t>Impact preview: one short paragraph on youth and women training, livelihoods and food security.</w:t>
      </w:r>
    </w:p>
    <w:p>
      <w:pPr>
        <w:pStyle w:val="ListBullet"/>
      </w:pPr>
      <w:r>
        <w:t>Sustainability preview: explain the circular approach from fish waste to plant nutrients and diversified production.</w:t>
      </w:r>
    </w:p>
    <w:p>
      <w:pPr>
        <w:pStyle w:val="ListBullet"/>
      </w:pPr>
      <w:r>
        <w:t>Closing call to action: invite visitors to enquire about fingerlings, services or partnerships.</w:t>
      </w:r>
    </w:p>
    <w:p>
      <w:pPr>
        <w:pStyle w:val="Heading1"/>
      </w:pPr>
      <w:r>
        <w:t>5. Draft About Us copy</w:t>
      </w:r>
    </w:p>
    <w:p>
      <w:r>
        <w:t>Aquabloom Ventures Limited is an incorporated private limited company under Kenya's Companies Act, 2015, headquartered in Kakamega County, with operations extending across Western Kenya and the Lake Victoria region. The youth-led aquaculture enterprise focuses on hatchery operations, cage farming and climate-smart Blue Economy consultancy.</w:t>
      </w:r>
    </w:p>
    <w:p>
      <w:r>
        <w:t>The company combines commercial aquaculture with community empowerment, research collaboration and sustainable practices. Its work aims to support farmers, strengthen livelihoods and contribute to food security and environmental stewardship.</w:t>
      </w:r>
    </w:p>
    <w:p>
      <w:pPr>
        <w:pStyle w:val="Heading2"/>
      </w:pPr>
      <w:r>
        <w:t>Vision</w:t>
      </w:r>
    </w:p>
    <w:p>
      <w:r>
        <w:t>To be East Africa's leading provider of carefully selected, disease-free, fast-growing tilapia fingerlings and integrated aquaculture solutions.</w:t>
      </w:r>
    </w:p>
    <w:p>
      <w:pPr>
        <w:pStyle w:val="Heading2"/>
      </w:pPr>
      <w:r>
        <w:t>Mission</w:t>
      </w:r>
    </w:p>
    <w:p>
      <w:r>
        <w:t>To support sustainable aquaculture by delivering affordable, high-survival fingerlings, innovative production systems and technical support to farmers, while fostering community livelihoods and environmental stewardship.</w:t>
      </w:r>
    </w:p>
    <w:p>
      <w:pPr>
        <w:pStyle w:val="Heading2"/>
      </w:pPr>
      <w:r>
        <w:t>Core values</w:t>
      </w:r>
    </w:p>
    <w:p>
      <w:pPr>
        <w:pStyle w:val="ListBullet"/>
      </w:pPr>
      <w:r>
        <w:t>Integrity in operations and partnerships.</w:t>
      </w:r>
    </w:p>
    <w:p>
      <w:pPr>
        <w:pStyle w:val="ListBullet"/>
      </w:pPr>
      <w:r>
        <w:t>Equity and inclusivity in community engagement.</w:t>
      </w:r>
    </w:p>
    <w:p>
      <w:pPr>
        <w:pStyle w:val="ListBullet"/>
      </w:pPr>
      <w:r>
        <w:t>Innovation in aquaculture systems.</w:t>
      </w:r>
    </w:p>
    <w:p>
      <w:pPr>
        <w:pStyle w:val="ListBullet"/>
      </w:pPr>
      <w:r>
        <w:t>Responsiveness to farmer needs.</w:t>
      </w:r>
    </w:p>
    <w:p>
      <w:pPr>
        <w:pStyle w:val="ListBullet"/>
      </w:pPr>
      <w:r>
        <w:t>Results-oriented service delivery.</w:t>
      </w:r>
    </w:p>
    <w:p>
      <w:pPr>
        <w:pStyle w:val="Heading1"/>
      </w:pPr>
      <w:r>
        <w:t>6. Service card content</w:t>
      </w:r>
    </w:p>
    <w:p>
      <w:pPr>
        <w:pStyle w:val="Heading2"/>
      </w:pPr>
      <w:r>
        <w:t>Tilapia Hatchery</w:t>
      </w:r>
    </w:p>
    <w:p>
      <w:r>
        <w:t>Production of mono-sex and mixed-sex tilapia fingerlings using carefully selected broodstock. The source profile states an annual production capacity of 10 million fingerlings; confirm the current figure before publishing.</w:t>
      </w:r>
    </w:p>
    <w:p>
      <w:pPr>
        <w:pStyle w:val="Heading2"/>
      </w:pPr>
      <w:r>
        <w:t>Integrated Multi-Trophic Aquaculture (IMTA)</w:t>
      </w:r>
    </w:p>
    <w:p>
      <w:r>
        <w:t>Demonstration systems combining tilapia, catfish and aquatic plants to recycle nutrients and diversify production and income.</w:t>
      </w:r>
    </w:p>
    <w:p>
      <w:pPr>
        <w:pStyle w:val="Heading2"/>
      </w:pPr>
      <w:r>
        <w:t>Consultancy and Technical Support</w:t>
      </w:r>
    </w:p>
    <w:p>
      <w:r>
        <w:t>Project design, baseline surveys, training workshops, and monitoring and evaluation frameworks for NGOs, government bodies and farmer cooperatives.</w:t>
      </w:r>
    </w:p>
    <w:p>
      <w:pPr>
        <w:pStyle w:val="Heading2"/>
      </w:pPr>
      <w:r>
        <w:t>Community Empowerment</w:t>
      </w:r>
    </w:p>
    <w:p>
      <w:r>
        <w:t>Engagement of youth and women in fingerling nursing, azolla and duckweed farming, and hatchery operations.</w:t>
      </w:r>
    </w:p>
    <w:p>
      <w:pPr>
        <w:pStyle w:val="Heading2"/>
      </w:pPr>
      <w:r>
        <w:t>Business Plans and Proposal Development</w:t>
      </w:r>
    </w:p>
    <w:p>
      <w:r>
        <w:t>Business planning and proposal development services. Confirm the exact scope of services with the company before publishing.</w:t>
      </w:r>
    </w:p>
    <w:p>
      <w:pPr>
        <w:pStyle w:val="Heading1"/>
      </w:pPr>
      <w:r>
        <w:t>7. Our Impact section: content checklist</w:t>
      </w:r>
    </w:p>
    <w:p>
      <w:pPr>
        <w:pStyle w:val="Heading2"/>
      </w:pPr>
      <w:r>
        <w:t>Community development</w:t>
      </w:r>
    </w:p>
    <w:p>
      <w:r>
        <w:t>Training and mentoring youth and women; employment opportunities in hatchery and cage farming; technical support to cooperatives and farmer groups; household food security and nutrition; community projects with NGOs and county governments.</w:t>
      </w:r>
    </w:p>
    <w:p>
      <w:pPr>
        <w:pStyle w:val="Heading2"/>
      </w:pPr>
      <w:r>
        <w:t>Infrastructure and capacity</w:t>
      </w:r>
    </w:p>
    <w:p>
      <w:r>
        <w:t>Hatchery and broodstock ponds in Kakamega and Siaya Counties; cage systems on Lake Victoria; borehole water with filtration and aeration; earthen and liner ponds; hapa-in-pond systems; aquaculture specialists, youth staff and extension officers.</w:t>
      </w:r>
    </w:p>
    <w:p>
      <w:pPr>
        <w:pStyle w:val="Heading2"/>
      </w:pPr>
      <w:r>
        <w:t>Market opportunity</w:t>
      </w:r>
    </w:p>
    <w:p>
      <w:r>
        <w:t>The original profile states that Kenya requires over 200 million fingerlings annually and that supply remains below demand. Verify this figure and its source/date before using it publicly.</w:t>
      </w:r>
    </w:p>
    <w:p>
      <w:pPr>
        <w:pStyle w:val="Heading2"/>
      </w:pPr>
      <w:r>
        <w:t>Competitive advantages</w:t>
      </w:r>
    </w:p>
    <w:p>
      <w:r>
        <w:t>Carefully selected broodstock; high survival rates through hatchery management; location in Kakamega near Lake Victoria and inland aquaculture hubs. Confirm any performance claims.</w:t>
      </w:r>
    </w:p>
    <w:p>
      <w:pPr>
        <w:pStyle w:val="Heading2"/>
      </w:pPr>
      <w:r>
        <w:t>Partnerships</w:t>
      </w:r>
    </w:p>
    <w:p>
      <w:r>
        <w:t>University of Eldoret; county governments of Kakamega, Kisumu and Siaya; ADBA-IFAD, KFS and KEMRI; local NGOs. Confirm names, active relationships and logo permissions.</w:t>
      </w:r>
    </w:p>
    <w:p>
      <w:pPr>
        <w:pStyle w:val="Heading2"/>
      </w:pPr>
      <w:r>
        <w:t>Sustainability and innovation</w:t>
      </w:r>
    </w:p>
    <w:p>
      <w:r>
        <w:t>Circular economy: fish waste provides nutrients for aquatic plants, supporting water quality and diversified products; multi-species trials; climate-smart practices for floods and droughts.</w:t>
      </w:r>
    </w:p>
    <w:p>
      <w:pPr>
        <w:pStyle w:val="Heading1"/>
      </w:pPr>
      <w:r>
        <w:t>8. Visual design direction</w:t>
      </w:r>
    </w:p>
    <w:p>
      <w:r>
        <w:t>Recommended visual style: clean, nature-inspired, professional and uncluttered. Prioritize real company photographs over generic stock imagery whenever possible.</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74D3A"/>
          </w:tcPr>
          <w:p>
            <w:pPr>
              <w:spacing w:after="40"/>
            </w:pPr>
            <w:r/>
            <w:r>
              <w:rPr>
                <w:rFonts w:ascii="Aptos" w:hAnsi="Aptos"/>
                <w:b/>
                <w:color w:val="FFFFFF"/>
                <w:sz w:val="18"/>
              </w:rPr>
              <w:t>Use</w:t>
            </w:r>
          </w:p>
        </w:tc>
        <w:tc>
          <w:tcPr>
            <w:tcW w:type="dxa" w:w="3312"/>
            <w:shd w:fill="174D3A"/>
          </w:tcPr>
          <w:p>
            <w:pPr>
              <w:spacing w:after="40"/>
            </w:pPr>
            <w:r/>
            <w:r>
              <w:rPr>
                <w:rFonts w:ascii="Aptos" w:hAnsi="Aptos"/>
                <w:b/>
                <w:color w:val="FFFFFF"/>
                <w:sz w:val="18"/>
              </w:rPr>
              <w:t>Suggested colour</w:t>
            </w:r>
          </w:p>
        </w:tc>
        <w:tc>
          <w:tcPr>
            <w:tcW w:type="dxa" w:w="3312"/>
            <w:shd w:fill="174D3A"/>
          </w:tcPr>
          <w:p>
            <w:pPr>
              <w:spacing w:after="40"/>
            </w:pPr>
            <w:r/>
            <w:r>
              <w:rPr>
                <w:rFonts w:ascii="Aptos" w:hAnsi="Aptos"/>
                <w:b/>
                <w:color w:val="FFFFFF"/>
                <w:sz w:val="18"/>
              </w:rPr>
              <w:t>Hex</w:t>
            </w:r>
          </w:p>
        </w:tc>
      </w:tr>
      <w:tr>
        <w:tc>
          <w:tcPr>
            <w:tcW w:type="dxa" w:w="3312"/>
          </w:tcPr>
          <w:p>
            <w:pPr>
              <w:spacing w:after="40"/>
            </w:pPr>
            <w:r/>
            <w:r>
              <w:rPr>
                <w:rFonts w:ascii="Aptos" w:hAnsi="Aptos"/>
                <w:b/>
                <w:color w:val="174D3A"/>
                <w:sz w:val="18"/>
              </w:rPr>
              <w:t>Primary: forest green</w:t>
            </w:r>
          </w:p>
        </w:tc>
        <w:tc>
          <w:tcPr>
            <w:tcW w:type="dxa" w:w="3312"/>
          </w:tcPr>
          <w:p>
            <w:pPr>
              <w:spacing w:after="40"/>
            </w:pPr>
            <w:r/>
            <w:r>
              <w:rPr>
                <w:rFonts w:ascii="Aptos" w:hAnsi="Aptos"/>
                <w:b w:val="0"/>
                <w:sz w:val="18"/>
              </w:rPr>
              <w:t>Trust, nature and sustainability</w:t>
            </w:r>
          </w:p>
        </w:tc>
        <w:tc>
          <w:tcPr>
            <w:tcW w:type="dxa" w:w="3312"/>
          </w:tcPr>
          <w:p>
            <w:pPr>
              <w:spacing w:after="40"/>
            </w:pPr>
            <w:r/>
            <w:r>
              <w:rPr>
                <w:rFonts w:ascii="Aptos" w:hAnsi="Aptos"/>
                <w:b w:val="0"/>
                <w:sz w:val="18"/>
              </w:rPr>
              <w:t>#174D3A</w:t>
            </w:r>
          </w:p>
        </w:tc>
      </w:tr>
      <w:tr>
        <w:tc>
          <w:tcPr>
            <w:tcW w:type="dxa" w:w="3312"/>
          </w:tcPr>
          <w:p>
            <w:pPr>
              <w:spacing w:after="40"/>
            </w:pPr>
            <w:r/>
            <w:r>
              <w:rPr>
                <w:rFonts w:ascii="Aptos" w:hAnsi="Aptos"/>
                <w:b/>
                <w:color w:val="174D3A"/>
                <w:sz w:val="18"/>
              </w:rPr>
              <w:t>Secondary: soft green</w:t>
            </w:r>
          </w:p>
        </w:tc>
        <w:tc>
          <w:tcPr>
            <w:tcW w:type="dxa" w:w="3312"/>
          </w:tcPr>
          <w:p>
            <w:pPr>
              <w:spacing w:after="40"/>
            </w:pPr>
            <w:r/>
            <w:r>
              <w:rPr>
                <w:rFonts w:ascii="Aptos" w:hAnsi="Aptos"/>
                <w:b w:val="0"/>
                <w:sz w:val="18"/>
              </w:rPr>
              <w:t>Subtle panels and backgrounds</w:t>
            </w:r>
          </w:p>
        </w:tc>
        <w:tc>
          <w:tcPr>
            <w:tcW w:type="dxa" w:w="3312"/>
          </w:tcPr>
          <w:p>
            <w:pPr>
              <w:spacing w:after="40"/>
            </w:pPr>
            <w:r/>
            <w:r>
              <w:rPr>
                <w:rFonts w:ascii="Aptos" w:hAnsi="Aptos"/>
                <w:b w:val="0"/>
                <w:sz w:val="18"/>
              </w:rPr>
              <w:t>#D9EBDD</w:t>
            </w:r>
          </w:p>
        </w:tc>
      </w:tr>
      <w:tr>
        <w:tc>
          <w:tcPr>
            <w:tcW w:type="dxa" w:w="3312"/>
          </w:tcPr>
          <w:p>
            <w:pPr>
              <w:spacing w:after="40"/>
            </w:pPr>
            <w:r/>
            <w:r>
              <w:rPr>
                <w:rFonts w:ascii="Aptos" w:hAnsi="Aptos"/>
                <w:b/>
                <w:color w:val="174D3A"/>
                <w:sz w:val="18"/>
              </w:rPr>
              <w:t>Background: white</w:t>
            </w:r>
          </w:p>
        </w:tc>
        <w:tc>
          <w:tcPr>
            <w:tcW w:type="dxa" w:w="3312"/>
          </w:tcPr>
          <w:p>
            <w:pPr>
              <w:spacing w:after="40"/>
            </w:pPr>
            <w:r/>
            <w:r>
              <w:rPr>
                <w:rFonts w:ascii="Aptos" w:hAnsi="Aptos"/>
                <w:b w:val="0"/>
                <w:sz w:val="18"/>
              </w:rPr>
              <w:t>Clarity and visual breathing room</w:t>
            </w:r>
          </w:p>
        </w:tc>
        <w:tc>
          <w:tcPr>
            <w:tcW w:type="dxa" w:w="3312"/>
          </w:tcPr>
          <w:p>
            <w:pPr>
              <w:spacing w:after="40"/>
            </w:pPr>
            <w:r/>
            <w:r>
              <w:rPr>
                <w:rFonts w:ascii="Aptos" w:hAnsi="Aptos"/>
                <w:b w:val="0"/>
                <w:sz w:val="18"/>
              </w:rPr>
              <w:t>#FFFFFF</w:t>
            </w:r>
          </w:p>
        </w:tc>
      </w:tr>
      <w:tr>
        <w:tc>
          <w:tcPr>
            <w:tcW w:type="dxa" w:w="3312"/>
          </w:tcPr>
          <w:p>
            <w:pPr>
              <w:spacing w:after="40"/>
            </w:pPr>
            <w:r/>
            <w:r>
              <w:rPr>
                <w:rFonts w:ascii="Aptos" w:hAnsi="Aptos"/>
                <w:b/>
                <w:color w:val="174D3A"/>
                <w:sz w:val="18"/>
              </w:rPr>
              <w:t>Accent: muted gold</w:t>
            </w:r>
          </w:p>
        </w:tc>
        <w:tc>
          <w:tcPr>
            <w:tcW w:type="dxa" w:w="3312"/>
          </w:tcPr>
          <w:p>
            <w:pPr>
              <w:spacing w:after="40"/>
            </w:pPr>
            <w:r/>
            <w:r>
              <w:rPr>
                <w:rFonts w:ascii="Aptos" w:hAnsi="Aptos"/>
                <w:b w:val="0"/>
                <w:sz w:val="18"/>
              </w:rPr>
              <w:t>Small highlights and selected calls to action</w:t>
            </w:r>
          </w:p>
        </w:tc>
        <w:tc>
          <w:tcPr>
            <w:tcW w:type="dxa" w:w="3312"/>
          </w:tcPr>
          <w:p>
            <w:pPr>
              <w:spacing w:after="40"/>
            </w:pPr>
            <w:r/>
            <w:r>
              <w:rPr>
                <w:rFonts w:ascii="Aptos" w:hAnsi="Aptos"/>
                <w:b w:val="0"/>
                <w:sz w:val="18"/>
              </w:rPr>
              <w:t>#D5A64A</w:t>
            </w:r>
          </w:p>
        </w:tc>
      </w:tr>
      <w:tr>
        <w:tc>
          <w:tcPr>
            <w:tcW w:type="dxa" w:w="3312"/>
          </w:tcPr>
          <w:p>
            <w:pPr>
              <w:spacing w:after="40"/>
            </w:pPr>
            <w:r/>
            <w:r>
              <w:rPr>
                <w:rFonts w:ascii="Aptos" w:hAnsi="Aptos"/>
                <w:b/>
                <w:color w:val="174D3A"/>
                <w:sz w:val="18"/>
              </w:rPr>
              <w:t>Body text: dark grey-green</w:t>
            </w:r>
          </w:p>
        </w:tc>
        <w:tc>
          <w:tcPr>
            <w:tcW w:type="dxa" w:w="3312"/>
          </w:tcPr>
          <w:p>
            <w:pPr>
              <w:spacing w:after="40"/>
            </w:pPr>
            <w:r/>
            <w:r>
              <w:rPr>
                <w:rFonts w:ascii="Aptos" w:hAnsi="Aptos"/>
                <w:b w:val="0"/>
                <w:sz w:val="18"/>
              </w:rPr>
              <w:t>Comfortable reading contrast</w:t>
            </w:r>
          </w:p>
        </w:tc>
        <w:tc>
          <w:tcPr>
            <w:tcW w:type="dxa" w:w="3312"/>
          </w:tcPr>
          <w:p>
            <w:pPr>
              <w:spacing w:after="40"/>
            </w:pPr>
            <w:r/>
            <w:r>
              <w:rPr>
                <w:rFonts w:ascii="Aptos" w:hAnsi="Aptos"/>
                <w:b w:val="0"/>
                <w:sz w:val="18"/>
              </w:rPr>
              <w:t>#2D3A33</w:t>
            </w:r>
          </w:p>
        </w:tc>
      </w:tr>
    </w:tbl>
    <w:p>
      <w:pPr>
        <w:pStyle w:val="ListBullet"/>
      </w:pPr>
      <w:r>
        <w:t>Use one clear heading hierarchy and consistent typography.</w:t>
      </w:r>
    </w:p>
    <w:p>
      <w:pPr>
        <w:pStyle w:val="ListBullet"/>
      </w:pPr>
      <w:r>
        <w:t>Use short paragraphs, bullets and service cards instead of many nested headings.</w:t>
      </w:r>
    </w:p>
    <w:p>
      <w:pPr>
        <w:pStyle w:val="ListBullet"/>
      </w:pPr>
      <w:r>
        <w:t>Choose one strong hero image, ideally from the company's real facilities or fish-farming operations.</w:t>
      </w:r>
    </w:p>
    <w:p>
      <w:pPr>
        <w:pStyle w:val="ListBullet"/>
      </w:pPr>
      <w:r>
        <w:t>Use consistent buttons, spacing, image ratios and card styles.</w:t>
      </w:r>
    </w:p>
    <w:p>
      <w:pPr>
        <w:pStyle w:val="ListBullet"/>
      </w:pPr>
      <w:r>
        <w:t>Keep navigation visible and straightforward; use a mobile menu on small screens.</w:t>
      </w:r>
    </w:p>
    <w:p>
      <w:pPr>
        <w:pStyle w:val="ListBullet"/>
      </w:pPr>
      <w:r>
        <w:t>Avoid excessive carousels, animations, pop-ups and decorative effects that slow the site or distract visitors.</w:t>
      </w:r>
    </w:p>
    <w:p>
      <w:pPr>
        <w:pStyle w:val="Heading2"/>
      </w:pPr>
      <w:r>
        <w:t>8.1 Ready-to-use CSS colour variables</w:t>
      </w:r>
    </w:p>
    <w:p>
      <w:r>
        <w:t>Use the Aquabloom palette listed above consistently throughout the site. These variables translate the design colours into reusable CSS tokens for the React/Vite project. Do not mix in an unrelated palette; keep forest green, soft green, white, muted gold and dark grey-green as the core colours.</w:t>
      </w:r>
    </w:p>
    <w:p>
      <w:pPr>
        <w:spacing w:after="0"/>
        <w:ind w:left="240"/>
      </w:pPr>
      <w:r>
        <w:rPr>
          <w:rFonts w:ascii="Consolas" w:hAnsi="Consolas" w:eastAsia="Consolas"/>
          <w:color w:val="263A30"/>
          <w:sz w:val="18"/>
        </w:rPr>
        <w:t>:root {</w:t>
      </w:r>
    </w:p>
    <w:p>
      <w:pPr>
        <w:spacing w:after="0"/>
        <w:ind w:left="240"/>
      </w:pPr>
      <w:r>
        <w:rPr>
          <w:rFonts w:ascii="Consolas" w:hAnsi="Consolas" w:eastAsia="Consolas"/>
          <w:color w:val="263A30"/>
          <w:sz w:val="18"/>
        </w:rPr>
        <w:t xml:space="preserve">  --color-primary: #174D3A;   /* Forest green: navigation, headings, primary buttons */</w:t>
      </w:r>
    </w:p>
    <w:p>
      <w:pPr>
        <w:spacing w:after="0"/>
        <w:ind w:left="240"/>
      </w:pPr>
      <w:r>
        <w:rPr>
          <w:rFonts w:ascii="Consolas" w:hAnsi="Consolas" w:eastAsia="Consolas"/>
          <w:color w:val="263A30"/>
          <w:sz w:val="18"/>
        </w:rPr>
        <w:t xml:space="preserve">  --color-secondary: #D9EBDD; /* Soft green: panels and subtle section backgrounds */</w:t>
      </w:r>
    </w:p>
    <w:p>
      <w:pPr>
        <w:spacing w:after="0"/>
        <w:ind w:left="240"/>
      </w:pPr>
      <w:r>
        <w:rPr>
          <w:rFonts w:ascii="Consolas" w:hAnsi="Consolas" w:eastAsia="Consolas"/>
          <w:color w:val="263A30"/>
          <w:sz w:val="18"/>
        </w:rPr>
        <w:t xml:space="preserve">  --color-background: #FFFFFF;/* White: main page and card backgrounds */</w:t>
      </w:r>
    </w:p>
    <w:p>
      <w:pPr>
        <w:spacing w:after="0"/>
        <w:ind w:left="240"/>
      </w:pPr>
      <w:r>
        <w:rPr>
          <w:rFonts w:ascii="Consolas" w:hAnsi="Consolas" w:eastAsia="Consolas"/>
          <w:color w:val="263A30"/>
          <w:sz w:val="18"/>
        </w:rPr>
        <w:t xml:space="preserve">  --color-accent: #D5A64A;    /* Muted gold: small highlights and selected CTAs */</w:t>
      </w:r>
    </w:p>
    <w:p>
      <w:pPr>
        <w:spacing w:after="0"/>
        <w:ind w:left="240"/>
      </w:pPr>
      <w:r>
        <w:rPr>
          <w:rFonts w:ascii="Consolas" w:hAnsi="Consolas" w:eastAsia="Consolas"/>
          <w:color w:val="263A30"/>
          <w:sz w:val="18"/>
        </w:rPr>
        <w:t xml:space="preserve">  --color-text: #2D3A33;      /* Dark grey-green: body text */</w:t>
      </w:r>
    </w:p>
    <w:p>
      <w:pPr>
        <w:spacing w:after="0"/>
        <w:ind w:left="240"/>
      </w:pPr>
      <w:r>
        <w:rPr>
          <w:rFonts w:ascii="Consolas" w:hAnsi="Consolas" w:eastAsia="Consolas"/>
          <w:color w:val="263A30"/>
          <w:sz w:val="18"/>
        </w:rPr>
        <w:t>}</w:t>
      </w:r>
    </w:p>
    <w:p>
      <w:pPr>
        <w:spacing w:after="0"/>
        <w:ind w:left="240"/>
      </w:pPr>
    </w:p>
    <w:p>
      <w:pPr>
        <w:spacing w:after="0"/>
        <w:ind w:left="240"/>
      </w:pPr>
      <w:r>
        <w:rPr>
          <w:rFonts w:ascii="Consolas" w:hAnsi="Consolas" w:eastAsia="Consolas"/>
          <w:color w:val="263A30"/>
          <w:sz w:val="18"/>
        </w:rPr>
        <w:t>body {</w:t>
      </w:r>
    </w:p>
    <w:p>
      <w:pPr>
        <w:spacing w:after="0"/>
        <w:ind w:left="240"/>
      </w:pPr>
      <w:r>
        <w:rPr>
          <w:rFonts w:ascii="Consolas" w:hAnsi="Consolas" w:eastAsia="Consolas"/>
          <w:color w:val="263A30"/>
          <w:sz w:val="18"/>
        </w:rPr>
        <w:t xml:space="preserve">  background: var(--color-background);</w:t>
      </w:r>
    </w:p>
    <w:p>
      <w:pPr>
        <w:spacing w:after="0"/>
        <w:ind w:left="240"/>
      </w:pPr>
      <w:r>
        <w:rPr>
          <w:rFonts w:ascii="Consolas" w:hAnsi="Consolas" w:eastAsia="Consolas"/>
          <w:color w:val="263A30"/>
          <w:sz w:val="18"/>
        </w:rPr>
        <w:t xml:space="preserve">  color: var(--color-text);</w:t>
      </w:r>
    </w:p>
    <w:p>
      <w:pPr>
        <w:spacing w:after="0"/>
        <w:ind w:left="240"/>
      </w:pPr>
      <w:r>
        <w:rPr>
          <w:rFonts w:ascii="Consolas" w:hAnsi="Consolas" w:eastAsia="Consolas"/>
          <w:color w:val="263A30"/>
          <w:sz w:val="18"/>
        </w:rPr>
        <w:t>}</w:t>
      </w:r>
    </w:p>
    <w:p>
      <w:pPr>
        <w:spacing w:after="0"/>
        <w:ind w:left="240"/>
      </w:pPr>
    </w:p>
    <w:p>
      <w:pPr>
        <w:spacing w:after="0"/>
        <w:ind w:left="240"/>
      </w:pPr>
      <w:r>
        <w:rPr>
          <w:rFonts w:ascii="Consolas" w:hAnsi="Consolas" w:eastAsia="Consolas"/>
          <w:color w:val="263A30"/>
          <w:sz w:val="18"/>
        </w:rPr>
        <w:t>.navbar, .site-footer {</w:t>
      </w:r>
    </w:p>
    <w:p>
      <w:pPr>
        <w:spacing w:after="0"/>
        <w:ind w:left="240"/>
      </w:pPr>
      <w:r>
        <w:rPr>
          <w:rFonts w:ascii="Consolas" w:hAnsi="Consolas" w:eastAsia="Consolas"/>
          <w:color w:val="263A30"/>
          <w:sz w:val="18"/>
        </w:rPr>
        <w:t xml:space="preserve">  background: var(--color-primary);</w:t>
      </w:r>
    </w:p>
    <w:p>
      <w:pPr>
        <w:spacing w:after="0"/>
        <w:ind w:left="240"/>
      </w:pPr>
      <w:r>
        <w:rPr>
          <w:rFonts w:ascii="Consolas" w:hAnsi="Consolas" w:eastAsia="Consolas"/>
          <w:color w:val="263A30"/>
          <w:sz w:val="18"/>
        </w:rPr>
        <w:t>}</w:t>
      </w:r>
    </w:p>
    <w:p>
      <w:pPr>
        <w:spacing w:after="0"/>
        <w:ind w:left="240"/>
      </w:pPr>
    </w:p>
    <w:p>
      <w:pPr>
        <w:spacing w:after="0"/>
        <w:ind w:left="240"/>
      </w:pPr>
      <w:r>
        <w:rPr>
          <w:rFonts w:ascii="Consolas" w:hAnsi="Consolas" w:eastAsia="Consolas"/>
          <w:color w:val="263A30"/>
          <w:sz w:val="18"/>
        </w:rPr>
        <w:t>.button-primary {</w:t>
      </w:r>
    </w:p>
    <w:p>
      <w:pPr>
        <w:spacing w:after="0"/>
        <w:ind w:left="240"/>
      </w:pPr>
      <w:r>
        <w:rPr>
          <w:rFonts w:ascii="Consolas" w:hAnsi="Consolas" w:eastAsia="Consolas"/>
          <w:color w:val="263A30"/>
          <w:sz w:val="18"/>
        </w:rPr>
        <w:t xml:space="preserve">  background: var(--color-primary);</w:t>
      </w:r>
    </w:p>
    <w:p>
      <w:pPr>
        <w:spacing w:after="0"/>
        <w:ind w:left="240"/>
      </w:pPr>
      <w:r>
        <w:rPr>
          <w:rFonts w:ascii="Consolas" w:hAnsi="Consolas" w:eastAsia="Consolas"/>
          <w:color w:val="263A30"/>
          <w:sz w:val="18"/>
        </w:rPr>
        <w:t xml:space="preserve">  color: var(--color-background);</w:t>
      </w:r>
    </w:p>
    <w:p>
      <w:pPr>
        <w:spacing w:after="0"/>
        <w:ind w:left="240"/>
      </w:pPr>
      <w:r>
        <w:rPr>
          <w:rFonts w:ascii="Consolas" w:hAnsi="Consolas" w:eastAsia="Consolas"/>
          <w:color w:val="263A30"/>
          <w:sz w:val="18"/>
        </w:rPr>
        <w:t>}</w:t>
      </w:r>
    </w:p>
    <w:p>
      <w:pPr>
        <w:spacing w:after="0"/>
        <w:ind w:left="240"/>
      </w:pPr>
    </w:p>
    <w:p>
      <w:pPr>
        <w:spacing w:after="0"/>
        <w:ind w:left="240"/>
      </w:pPr>
      <w:r>
        <w:rPr>
          <w:rFonts w:ascii="Consolas" w:hAnsi="Consolas" w:eastAsia="Consolas"/>
          <w:color w:val="263A30"/>
          <w:sz w:val="18"/>
        </w:rPr>
        <w:t>.section-soft {</w:t>
      </w:r>
    </w:p>
    <w:p>
      <w:pPr>
        <w:spacing w:after="0"/>
        <w:ind w:left="240"/>
      </w:pPr>
      <w:r>
        <w:rPr>
          <w:rFonts w:ascii="Consolas" w:hAnsi="Consolas" w:eastAsia="Consolas"/>
          <w:color w:val="263A30"/>
          <w:sz w:val="18"/>
        </w:rPr>
        <w:t xml:space="preserve">  background: var(--color-secondary);</w:t>
      </w:r>
    </w:p>
    <w:p>
      <w:pPr>
        <w:spacing w:after="0"/>
        <w:ind w:left="240"/>
      </w:pPr>
      <w:r>
        <w:rPr>
          <w:rFonts w:ascii="Consolas" w:hAnsi="Consolas" w:eastAsia="Consolas"/>
          <w:color w:val="263A30"/>
          <w:sz w:val="18"/>
        </w:rPr>
        <w:t>}</w:t>
      </w:r>
    </w:p>
    <w:p>
      <w:pPr>
        <w:spacing w:after="0"/>
        <w:ind w:left="240"/>
      </w:pPr>
    </w:p>
    <w:p>
      <w:pPr>
        <w:spacing w:after="0"/>
        <w:ind w:left="240"/>
      </w:pPr>
      <w:r>
        <w:rPr>
          <w:rFonts w:ascii="Consolas" w:hAnsi="Consolas" w:eastAsia="Consolas"/>
          <w:color w:val="263A30"/>
          <w:sz w:val="18"/>
        </w:rPr>
        <w:t>.highlight {</w:t>
      </w:r>
    </w:p>
    <w:p>
      <w:pPr>
        <w:spacing w:after="0"/>
        <w:ind w:left="240"/>
      </w:pPr>
      <w:r>
        <w:rPr>
          <w:rFonts w:ascii="Consolas" w:hAnsi="Consolas" w:eastAsia="Consolas"/>
          <w:color w:val="263A30"/>
          <w:sz w:val="18"/>
        </w:rPr>
        <w:t xml:space="preserve">  color: var(--color-primary);</w:t>
      </w:r>
    </w:p>
    <w:p>
      <w:pPr>
        <w:spacing w:after="0"/>
        <w:ind w:left="240"/>
      </w:pPr>
      <w:r>
        <w:rPr>
          <w:rFonts w:ascii="Consolas" w:hAnsi="Consolas" w:eastAsia="Consolas"/>
          <w:color w:val="263A30"/>
          <w:sz w:val="18"/>
        </w:rPr>
        <w:t xml:space="preserve">  border-color: var(--color-accent);</w:t>
      </w:r>
    </w:p>
    <w:p>
      <w:pPr>
        <w:spacing w:after="0"/>
        <w:ind w:left="240"/>
      </w:pPr>
      <w:r>
        <w:rPr>
          <w:rFonts w:ascii="Consolas" w:hAnsi="Consolas" w:eastAsia="Consolas"/>
          <w:color w:val="263A30"/>
          <w:sz w:val="18"/>
        </w:rPr>
        <w:t>}</w:t>
      </w:r>
    </w:p>
    <w:p>
      <w:pPr>
        <w:pStyle w:val="Heading3"/>
      </w:pPr>
      <w:r>
        <w:t>Implementation notes</w:t>
      </w:r>
    </w:p>
    <w:p>
      <w:r>
        <w:t>Keep these tokens in src/index.css or a shared stylesheet so every component uses the same values.</w:t>
      </w:r>
    </w:p>
    <w:p>
      <w:r>
        <w:t>Use the gold sparingly for emphasis rather than large backgrounds. Maintain readable text contrast, visible keyboard focus, and clear hover states.</w:t>
      </w:r>
    </w:p>
    <w:p>
      <w:r>
        <w:t>Before launch, check the palette on mobile and desktop and test contrast for text, buttons, and links.</w:t>
      </w:r>
    </w:p>
    <w:p>
      <w:pPr>
        <w:pStyle w:val="Heading1"/>
      </w:pPr>
      <w:r>
        <w:t>9. React/Vite implementation plan</w:t>
      </w:r>
    </w:p>
    <w:p>
      <w:pPr>
        <w:pStyle w:val="Heading2"/>
      </w:pPr>
      <w:r>
        <w:t>Step 1 — Audit the current project</w:t>
      </w:r>
    </w:p>
    <w:p>
      <w:r>
        <w:t>Check existing components, CSS, assets, routes, links and any working features. Keep a backup or Git commit before changing anything.</w:t>
      </w:r>
    </w:p>
    <w:p>
      <w:pPr>
        <w:pStyle w:val="Heading2"/>
      </w:pPr>
      <w:r>
        <w:t>Step 2 — Organize content</w:t>
      </w:r>
    </w:p>
    <w:p>
      <w:r>
        <w:t>Put the approved copy into a content object or separate data file so text can be updated without editing layout components.</w:t>
      </w:r>
    </w:p>
    <w:p>
      <w:pPr>
        <w:pStyle w:val="Heading2"/>
      </w:pPr>
      <w:r>
        <w:t>Step 3 — Build the page skeleton</w:t>
      </w:r>
    </w:p>
    <w:p>
      <w:r>
        <w:t>Create or refine Navbar, Hero, About, Services, Impact, Contact and Footer components. A one-page site can use section IDs and anchor links.</w:t>
      </w:r>
    </w:p>
    <w:p>
      <w:pPr>
        <w:pStyle w:val="Heading2"/>
      </w:pPr>
      <w:r>
        <w:t>Step 4 — Apply shared styling</w:t>
      </w:r>
    </w:p>
    <w:p>
      <w:r>
        <w:t>Define CSS variables for colours, spacing, typography, content width, border radius and shadows. Reuse them across components.</w:t>
      </w:r>
    </w:p>
    <w:p>
      <w:pPr>
        <w:pStyle w:val="Heading2"/>
      </w:pPr>
      <w:r>
        <w:t>Step 5 — Add images carefully</w:t>
      </w:r>
    </w:p>
    <w:p>
      <w:r>
        <w:t>Use optimized, appropriately licensed images. Add meaningful alt text and avoid using partner logos without permission.</w:t>
      </w:r>
    </w:p>
    <w:p>
      <w:pPr>
        <w:pStyle w:val="Heading2"/>
      </w:pPr>
      <w:r>
        <w:t>Step 6 — Make it responsive</w:t>
      </w:r>
    </w:p>
    <w:p>
      <w:r>
        <w:t>Test navigation, service cards, text width, images and forms on phone, tablet and desktop layouts.</w:t>
      </w:r>
    </w:p>
    <w:p>
      <w:pPr>
        <w:pStyle w:val="Heading2"/>
      </w:pPr>
      <w:r>
        <w:t>Step 7 — Add contact actions</w:t>
      </w:r>
    </w:p>
    <w:p>
      <w:r>
        <w:t>Use verified contact details. Ensure the inquiry form has a real delivery mechanism before presenting it as functional.</w:t>
      </w:r>
    </w:p>
    <w:p>
      <w:pPr>
        <w:pStyle w:val="Heading2"/>
      </w:pPr>
      <w:r>
        <w:t>Step 8 — Test and deploy</w:t>
      </w:r>
    </w:p>
    <w:p>
      <w:r>
        <w:t>Check broken links, console errors, image loading, keyboard navigation, contrast, form validation, page title, meta description and hosting configuration.</w:t>
      </w:r>
    </w:p>
    <w:p>
      <w:pPr>
        <w:pStyle w:val="Heading1"/>
      </w:pPr>
      <w:r>
        <w:t>10. Suggested component structure</w:t>
      </w:r>
    </w:p>
    <w:p>
      <w:r>
        <w:rPr>
          <w:rFonts w:ascii="Consolas" w:hAnsi="Consolas"/>
          <w:color w:val="2D3A33"/>
          <w:sz w:val="18"/>
        </w:rPr>
        <w:t>src/</w:t>
        <w:br/>
        <w:t xml:space="preserve">  assets/</w:t>
        <w:br/>
        <w:t xml:space="preserve">    images/</w:t>
        <w:br/>
        <w:t xml:space="preserve">  components/</w:t>
        <w:br/>
        <w:t xml:space="preserve">    Navbar.jsx</w:t>
        <w:br/>
        <w:t xml:space="preserve">    Hero.jsx</w:t>
        <w:br/>
        <w:t xml:space="preserve">    About.jsx</w:t>
        <w:br/>
        <w:t xml:space="preserve">    Services.jsx</w:t>
        <w:br/>
        <w:t xml:space="preserve">    Impact.jsx</w:t>
        <w:br/>
        <w:t xml:space="preserve">    Contact.jsx</w:t>
        <w:br/>
        <w:t xml:space="preserve">    Footer.jsx</w:t>
        <w:br/>
        <w:t xml:space="preserve">  data/</w:t>
        <w:br/>
        <w:t xml:space="preserve">    companyContent.js</w:t>
        <w:br/>
        <w:t xml:space="preserve">  App.jsx</w:t>
        <w:br/>
        <w:t xml:space="preserve">  App.css</w:t>
        <w:br/>
        <w:t xml:space="preserve">  index.css</w:t>
        <w:br/>
        <w:t xml:space="preserve">  main.jsx</w:t>
      </w:r>
    </w:p>
    <w:p>
      <w:r>
        <w:t>This is a suggested structure, not a requirement. Keep your current structure if it already works well; adapt the plan to the project you have.</w:t>
      </w:r>
    </w:p>
    <w:p>
      <w:pPr>
        <w:pStyle w:val="Heading1"/>
      </w:pPr>
      <w:r>
        <w:t>11. Launch checklist</w:t>
      </w:r>
    </w:p>
    <w:p>
      <w:r>
        <w:t>☐ All ten original profile sections have been mapped into the new structure.</w:t>
      </w:r>
    </w:p>
    <w:p>
      <w:r>
        <w:t>☐ Vision, mission and all five core values are retained.</w:t>
      </w:r>
    </w:p>
    <w:p>
      <w:r>
        <w:t>☐ All services are represented, including business plans and proposal development.</w:t>
      </w:r>
    </w:p>
    <w:p>
      <w:r>
        <w:t>☐ Facilities and infrastructure details are retained.</w:t>
      </w:r>
    </w:p>
    <w:p>
      <w:r>
        <w:t>☐ Social development, partnerships and sustainability content are retained.</w:t>
      </w:r>
    </w:p>
    <w:p>
      <w:r>
        <w:t>☐ Production capacity and market-demand figures have been confirmed before publication.</w:t>
      </w:r>
    </w:p>
    <w:p>
      <w:r>
        <w:t>☐ Partner names and logos have been checked for accuracy and permission.</w:t>
      </w:r>
    </w:p>
    <w:p>
      <w:r>
        <w:t>☐ Company contact details are confirmed; no placeholder details remain.</w:t>
      </w:r>
    </w:p>
    <w:p>
      <w:r>
        <w:t>☐ Mobile navigation and all links work.</w:t>
      </w:r>
    </w:p>
    <w:p>
      <w:r>
        <w:t>☐ Contact form submissions reach the intended recipient or system.</w:t>
      </w:r>
    </w:p>
    <w:p>
      <w:r>
        <w:t>☐ Images are optimized, licensed and have suitable alt text.</w:t>
      </w:r>
    </w:p>
    <w:p>
      <w:r>
        <w:t>☐ The site has been tested on mobile, tablet and desktop.</w:t>
      </w:r>
    </w:p>
    <w:p>
      <w:r>
        <w:t>☐ The deployed website has a suitable page title, meta description and favicon.</w:t>
      </w:r>
    </w:p>
    <w:p>
      <w:r>
        <w:t>☐ The live website has been checked after deployment.</w:t>
      </w:r>
    </w:p>
    <w:p>
      <w:pPr>
        <w:pStyle w:val="Heading1"/>
      </w:pPr>
      <w:r>
        <w:t>12. Decisions and items to confirm</w:t>
      </w:r>
    </w:p>
    <w:p>
      <w:pPr>
        <w:pStyle w:val="ListBullet"/>
      </w:pPr>
      <w:r>
        <w:t>Confirm the company's preferred phone number, email address and public location.</w:t>
      </w:r>
    </w:p>
    <w:p>
      <w:pPr>
        <w:pStyle w:val="ListBullet"/>
      </w:pPr>
      <w:r>
        <w:t>Confirm whether the 10-million-fingerling annual capacity remains current.</w:t>
      </w:r>
    </w:p>
    <w:p>
      <w:pPr>
        <w:pStyle w:val="ListBullet"/>
      </w:pPr>
      <w:r>
        <w:t>Find a credible, current source for the over-200-million annual fingerling demand statement or omit the statistic until verified.</w:t>
      </w:r>
    </w:p>
    <w:p>
      <w:pPr>
        <w:pStyle w:val="ListBullet"/>
      </w:pPr>
      <w:r>
        <w:t>Confirm the current status and approved public naming of listed partners.</w:t>
      </w:r>
    </w:p>
    <w:p>
      <w:pPr>
        <w:pStyle w:val="ListBullet"/>
      </w:pPr>
      <w:r>
        <w:t>Collect authentic photos of hatchery facilities, ponds, cage systems, team and community activities.</w:t>
      </w:r>
    </w:p>
    <w:p>
      <w:pPr>
        <w:pStyle w:val="ListBullet"/>
      </w:pPr>
      <w:r>
        <w:t>Confirm whether the first release should be a single-page website or separate pages. The recommended starting point is a single scrolling homepage with five navigation items.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7563"/>
        <w:sz w:val="16"/>
      </w:rPr>
      <w:t>Aquabloom Ventures Limited | Website Revamp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A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4D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4D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4D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4D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