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Codecademy Pro: Curated Course Shortlist</w:t>
      </w:r>
    </w:p>
    <w:p>
      <w:pPr>
        <w:spacing w:after="80"/>
      </w:pPr>
      <w:r>
        <w:rPr>
          <w:rFonts w:ascii="Arial" w:cs="Arial" w:eastAsia="Arial" w:hAnsi="Arial"/>
          <w:i/>
          <w:iCs/>
          <w:color w:val="666666"/>
          <w:sz w:val="20"/>
          <w:szCs w:val="20"/>
        </w:rPr>
        <w:t xml:space="preserve">With Net Present Value analysis — is each course worth more than your time?</w:t>
      </w:r>
    </w:p>
    <w:p>
      <w:pPr>
        <w:pBdr>
          <w:bottom w:val="single" w:color="1B3A5C" w:sz="6" w:space="1"/>
        </w:pBdr>
        <w:spacing w:after="200"/>
      </w:pPr>
    </w:p>
    <w:p>
      <w:pPr>
        <w:pStyle w:val="Heading2"/>
        <w:spacing w:before="360" w:after="200"/>
      </w:pPr>
      <w:r>
        <w:rPr>
          <w:rFonts w:ascii="Arial" w:cs="Arial" w:eastAsia="Arial" w:hAnsi="Arial"/>
          <w:b/>
          <w:bCs/>
          <w:color w:val="1B3A5C"/>
          <w:sz w:val="28"/>
          <w:szCs w:val="28"/>
        </w:rPr>
        <w:t xml:space="preserve">Complete Assessment</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00"/>
        <w:gridCol w:w="800"/>
        <w:gridCol w:w="700"/>
        <w:gridCol w:w="800"/>
        <w:gridCol w:w="800"/>
        <w:gridCol w:w="3300"/>
        <w:gridCol w:w="120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Tier</w:t>
            </w:r>
          </w:p>
        </w:tc>
        <w:tc>
          <w:tcPr>
            <w:tcW w:type="dxa" w:w="24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Course</w:t>
            </w:r>
          </w:p>
        </w:tc>
        <w:tc>
          <w:tcPr>
            <w:tcW w:type="dxa" w:w="6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Hrs</w:t>
            </w:r>
          </w:p>
        </w:tc>
        <w:tc>
          <w:tcPr>
            <w:tcW w:type="dxa" w:w="8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Time Cost</w:t>
            </w:r>
          </w:p>
        </w:tc>
        <w:tc>
          <w:tcPr>
            <w:tcW w:type="dxa" w:w="7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Uplift £/yr</w:t>
            </w:r>
          </w:p>
        </w:tc>
        <w:tc>
          <w:tcPr>
            <w:tcW w:type="dxa" w:w="8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5yr NPV</w:t>
            </w:r>
          </w:p>
        </w:tc>
        <w:tc>
          <w:tcPr>
            <w:tcW w:type="dxa" w:w="8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Net Value</w:t>
            </w:r>
          </w:p>
        </w:tc>
        <w:tc>
          <w:tcPr>
            <w:tcW w:type="dxa" w:w="33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Value to You</w:t>
            </w:r>
          </w:p>
        </w:tc>
        <w:tc>
          <w:tcPr>
            <w:tcW w:type="dxa" w:w="12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Verdict</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1</w:t>
            </w:r>
          </w:p>
        </w:tc>
        <w:tc>
          <w:tcPr>
            <w:tcW w:type="dxa" w:w="24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Learn Python 3</w:t>
            </w:r>
          </w:p>
        </w:tc>
        <w:tc>
          <w:tcPr>
            <w:tcW w:type="dxa" w:w="6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24</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£888</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£2,000</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£4,445</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£3,557</w:t>
            </w:r>
          </w:p>
        </w:tc>
        <w:tc>
          <w:tcPr>
            <w:tcW w:type="dxa" w:w="33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Foundation for everything. Unlocks automation, financial modelling, AI tooling, and Data Fellowship prep.</w:t>
            </w:r>
          </w:p>
        </w:tc>
        <w:tc>
          <w:tcPr>
            <w:tcW w:type="dxa" w:w="12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DO IT FIRST</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1</w:t>
            </w:r>
          </w:p>
        </w:tc>
        <w:tc>
          <w:tcPr>
            <w:tcW w:type="dxa" w:w="24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Learn SQL</w:t>
            </w:r>
          </w:p>
        </w:tc>
        <w:tc>
          <w:tcPr>
            <w:tcW w:type="dxa" w:w="6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£185</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£640</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£1,422</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£1,237</w:t>
            </w:r>
          </w:p>
        </w:tc>
        <w:tc>
          <w:tcPr>
            <w:tcW w:type="dxa" w:w="33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Query pricing databases directly. Immediate practical use at BT.</w:t>
            </w:r>
          </w:p>
        </w:tc>
        <w:tc>
          <w:tcPr>
            <w:tcW w:type="dxa" w:w="12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DO IT</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1</w:t>
            </w:r>
          </w:p>
        </w:tc>
        <w:tc>
          <w:tcPr>
            <w:tcW w:type="dxa" w:w="24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Analyze Data with SQL (Skill Path)</w:t>
            </w:r>
          </w:p>
        </w:tc>
        <w:tc>
          <w:tcPr>
            <w:tcW w:type="dxa" w:w="6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18</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£666</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£800</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£1,778</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£1,112</w:t>
            </w:r>
          </w:p>
        </w:tc>
        <w:tc>
          <w:tcPr>
            <w:tcW w:type="dxa" w:w="33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Real analysis: joins, aggregates, case studies. Directly applicable to Ethernet/Optical pricing.</w:t>
            </w:r>
          </w:p>
        </w:tc>
        <w:tc>
          <w:tcPr>
            <w:tcW w:type="dxa" w:w="12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DO IT</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2</w:t>
            </w:r>
          </w:p>
        </w:tc>
        <w:tc>
          <w:tcPr>
            <w:tcW w:type="dxa" w:w="24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Analyze Financial Data with Python (Skill Path)</w:t>
            </w:r>
          </w:p>
        </w:tc>
        <w:tc>
          <w:tcPr>
            <w:tcW w:type="dxa" w:w="6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20</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£740</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£1,600</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£3,556</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£2,816</w:t>
            </w:r>
          </w:p>
        </w:tc>
        <w:tc>
          <w:tcPr>
            <w:tcW w:type="dxa" w:w="33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Pandas, NumPy, Matplotlib, regression, portfolio optimisation. Maps directly to your pricing models and personal investments.</w:t>
            </w:r>
          </w:p>
        </w:tc>
        <w:tc>
          <w:tcPr>
            <w:tcW w:type="dxa" w:w="12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HIGH VALUE</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2</w:t>
            </w:r>
          </w:p>
        </w:tc>
        <w:tc>
          <w:tcPr>
            <w:tcW w:type="dxa" w:w="24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Learn Statistics with Python</w:t>
            </w:r>
          </w:p>
        </w:tc>
        <w:tc>
          <w:tcPr>
            <w:tcW w:type="dxa" w:w="6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10</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£370</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£800</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£1,778</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£1,408</w:t>
            </w:r>
          </w:p>
        </w:tc>
        <w:tc>
          <w:tcPr>
            <w:tcW w:type="dxa" w:w="33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Distributions, variance, hypothesis testing. Statistical foundations for ML understanding.</w:t>
            </w:r>
          </w:p>
        </w:tc>
        <w:tc>
          <w:tcPr>
            <w:tcW w:type="dxa" w:w="12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HIGH VALUE</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2</w:t>
            </w:r>
          </w:p>
        </w:tc>
        <w:tc>
          <w:tcPr>
            <w:tcW w:type="dxa" w:w="24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ML/AI Engineer Career Path (first 60–70%)</w:t>
            </w:r>
          </w:p>
        </w:tc>
        <w:tc>
          <w:tcPr>
            <w:tcW w:type="dxa" w:w="6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35</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£1,295</w:t>
            </w:r>
          </w:p>
        </w:tc>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£1,760</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£3,912</w:t>
            </w:r>
          </w:p>
        </w:tc>
        <w:tc>
          <w:tcPr>
            <w:tcW w:type="dxa" w:w="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£2,617</w:t>
            </w:r>
          </w:p>
        </w:tc>
        <w:tc>
          <w:tcPr>
            <w:tcW w:type="dxa" w:w="33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ML fundamentals, scikit-learn, decision trees. The ‘art of the possible’ for AI-driven pricing.</w:t>
            </w:r>
          </w:p>
        </w:tc>
        <w:tc>
          <w:tcPr>
            <w:tcW w:type="dxa" w:w="12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HIGH VALUE</w:t>
            </w:r>
          </w:p>
        </w:tc>
      </w:tr>
      <w:tr>
        <w:tc>
          <w:tcPr>
            <w:tcW w:type="dxa" w:w="10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3</w:t>
            </w:r>
          </w:p>
        </w:tc>
        <w:tc>
          <w:tcPr>
            <w:tcW w:type="dxa" w:w="24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Learn How to Use AI for Data Analysis</w:t>
            </w:r>
          </w:p>
        </w:tc>
        <w:tc>
          <w:tcPr>
            <w:tcW w:type="dxa" w:w="6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£111</w:t>
            </w:r>
          </w:p>
        </w:tc>
        <w:tc>
          <w:tcPr>
            <w:tcW w:type="dxa" w:w="7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£160</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£356</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£245</w:t>
            </w:r>
          </w:p>
        </w:tc>
        <w:tc>
          <w:tcPr>
            <w:tcW w:type="dxa" w:w="33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Using LLMs as analytics assistants in Python. Quick acceleration of daily work.</w:t>
            </w:r>
          </w:p>
        </w:tc>
        <w:tc>
          <w:tcPr>
            <w:tcW w:type="dxa" w:w="12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bCs/>
                <w:color w:val="B8860B"/>
                <w:sz w:val="16"/>
                <w:szCs w:val="16"/>
              </w:rPr>
              <w:t xml:space="preserve">QUICK WIN</w:t>
            </w:r>
          </w:p>
        </w:tc>
      </w:tr>
      <w:tr>
        <w:tc>
          <w:tcPr>
            <w:tcW w:type="dxa" w:w="10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3</w:t>
            </w:r>
          </w:p>
        </w:tc>
        <w:tc>
          <w:tcPr>
            <w:tcW w:type="dxa" w:w="24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Web Scraping with Beautiful Soup</w:t>
            </w:r>
          </w:p>
        </w:tc>
        <w:tc>
          <w:tcPr>
            <w:tcW w:type="dxa" w:w="6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£148</w:t>
            </w:r>
          </w:p>
        </w:tc>
        <w:tc>
          <w:tcPr>
            <w:tcW w:type="dxa" w:w="7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£80</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£178</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£30</w:t>
            </w:r>
          </w:p>
        </w:tc>
        <w:tc>
          <w:tcPr>
            <w:tcW w:type="dxa" w:w="33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Pull competitor pricing, Ofcom data, market intel programmatically.</w:t>
            </w:r>
          </w:p>
        </w:tc>
        <w:tc>
          <w:tcPr>
            <w:tcW w:type="dxa" w:w="12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bCs/>
                <w:color w:val="B8860B"/>
                <w:sz w:val="16"/>
                <w:szCs w:val="16"/>
              </w:rPr>
              <w:t xml:space="preserve">USEFUL</w:t>
            </w:r>
          </w:p>
        </w:tc>
      </w:tr>
      <w:tr>
        <w:tc>
          <w:tcPr>
            <w:tcW w:type="dxa" w:w="10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3</w:t>
            </w:r>
          </w:p>
        </w:tc>
        <w:tc>
          <w:tcPr>
            <w:tcW w:type="dxa" w:w="24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AI for FP&amp;A</w:t>
            </w:r>
          </w:p>
        </w:tc>
        <w:tc>
          <w:tcPr>
            <w:tcW w:type="dxa" w:w="6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£37</w:t>
            </w:r>
          </w:p>
        </w:tc>
        <w:tc>
          <w:tcPr>
            <w:tcW w:type="dxa" w:w="7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£80</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£178</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£141</w:t>
            </w:r>
          </w:p>
        </w:tc>
        <w:tc>
          <w:tcPr>
            <w:tcW w:type="dxa" w:w="33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Forecasting, scenario modelling, variance analysis with AI.</w:t>
            </w:r>
          </w:p>
        </w:tc>
        <w:tc>
          <w:tcPr>
            <w:tcW w:type="dxa" w:w="12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bCs/>
                <w:color w:val="B8860B"/>
                <w:sz w:val="16"/>
                <w:szCs w:val="16"/>
              </w:rPr>
              <w:t xml:space="preserve">QUICK WIN</w:t>
            </w:r>
          </w:p>
        </w:tc>
      </w:tr>
      <w:tr>
        <w:tc>
          <w:tcPr>
            <w:tcW w:type="dxa" w:w="10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TIER 3</w:t>
            </w:r>
          </w:p>
        </w:tc>
        <w:tc>
          <w:tcPr>
            <w:tcW w:type="dxa" w:w="24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SQL for Business Metrics (Intermediate)</w:t>
            </w:r>
          </w:p>
        </w:tc>
        <w:tc>
          <w:tcPr>
            <w:tcW w:type="dxa" w:w="6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£111</w:t>
            </w:r>
          </w:p>
        </w:tc>
        <w:tc>
          <w:tcPr>
            <w:tcW w:type="dxa" w:w="7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£80</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£178</w:t>
            </w:r>
          </w:p>
        </w:tc>
        <w:tc>
          <w:tcPr>
            <w:tcW w:type="dxa" w:w="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center"/>
            </w:pPr>
            <w:r>
              <w:rPr>
                <w:rFonts w:ascii="Arial" w:cs="Arial" w:eastAsia="Arial" w:hAnsi="Arial"/>
                <w:b/>
                <w:bCs/>
                <w:color w:val="2E7D32"/>
                <w:sz w:val="16"/>
                <w:szCs w:val="16"/>
              </w:rPr>
              <w:t xml:space="preserve">£67</w:t>
            </w:r>
          </w:p>
        </w:tc>
        <w:tc>
          <w:tcPr>
            <w:tcW w:type="dxa" w:w="33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Funnels, churn, attribution. Relevant to PSTN migration customer data.</w:t>
            </w:r>
          </w:p>
        </w:tc>
        <w:tc>
          <w:tcPr>
            <w:tcW w:type="dxa" w:w="12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vAlign w:val="center"/>
          </w:tcPr>
          <w:p>
            <w:pPr>
              <w:jc w:val="left"/>
            </w:pPr>
            <w:r>
              <w:rPr>
                <w:rFonts w:ascii="Arial" w:cs="Arial" w:eastAsia="Arial" w:hAnsi="Arial"/>
                <w:b/>
                <w:bCs/>
                <w:color w:val="B8860B"/>
                <w:sz w:val="16"/>
                <w:szCs w:val="16"/>
              </w:rPr>
              <w:t xml:space="preserve">USEFUL</w:t>
            </w:r>
          </w:p>
        </w:tc>
      </w:tr>
      <w:tr>
        <w:tc>
          <w:tcPr>
            <w:tcW w:type="dxa" w:w="10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SKIP</w:t>
            </w:r>
          </w:p>
        </w:tc>
        <w:tc>
          <w:tcPr>
            <w:tcW w:type="dxa" w:w="24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Intro to Generative AI</w:t>
            </w:r>
          </w:p>
        </w:tc>
        <w:tc>
          <w:tcPr>
            <w:tcW w:type="dxa" w:w="6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£37</w:t>
            </w:r>
          </w:p>
        </w:tc>
        <w:tc>
          <w:tcPr>
            <w:tcW w:type="dxa" w:w="7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bCs/>
                <w:color w:val="999999"/>
                <w:sz w:val="16"/>
                <w:szCs w:val="16"/>
              </w:rPr>
              <w:t xml:space="preserve">—</w:t>
            </w:r>
          </w:p>
        </w:tc>
        <w:tc>
          <w:tcPr>
            <w:tcW w:type="dxa" w:w="33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You already know all of this.</w:t>
            </w:r>
          </w:p>
        </w:tc>
        <w:tc>
          <w:tcPr>
            <w:tcW w:type="dxa" w:w="12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bCs/>
                <w:color w:val="C62828"/>
                <w:sz w:val="16"/>
                <w:szCs w:val="16"/>
              </w:rPr>
              <w:t xml:space="preserve">SKIP</w:t>
            </w:r>
          </w:p>
        </w:tc>
      </w:tr>
      <w:tr>
        <w:tc>
          <w:tcPr>
            <w:tcW w:type="dxa" w:w="10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SKIP</w:t>
            </w:r>
          </w:p>
        </w:tc>
        <w:tc>
          <w:tcPr>
            <w:tcW w:type="dxa" w:w="24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Power BI / Tableau courses</w:t>
            </w:r>
          </w:p>
        </w:tc>
        <w:tc>
          <w:tcPr>
            <w:tcW w:type="dxa" w:w="6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Var.</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Var.</w:t>
            </w:r>
          </w:p>
        </w:tc>
        <w:tc>
          <w:tcPr>
            <w:tcW w:type="dxa" w:w="7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bCs/>
                <w:color w:val="999999"/>
                <w:sz w:val="16"/>
                <w:szCs w:val="16"/>
              </w:rPr>
              <w:t xml:space="preserve">—</w:t>
            </w:r>
          </w:p>
        </w:tc>
        <w:tc>
          <w:tcPr>
            <w:tcW w:type="dxa" w:w="33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Level 3 territory. YouTube tutorial material.</w:t>
            </w:r>
          </w:p>
        </w:tc>
        <w:tc>
          <w:tcPr>
            <w:tcW w:type="dxa" w:w="12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bCs/>
                <w:color w:val="C62828"/>
                <w:sz w:val="16"/>
                <w:szCs w:val="16"/>
              </w:rPr>
              <w:t xml:space="preserve">SKIP</w:t>
            </w:r>
          </w:p>
        </w:tc>
      </w:tr>
      <w:tr>
        <w:tc>
          <w:tcPr>
            <w:tcW w:type="dxa" w:w="10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SKIP</w:t>
            </w:r>
          </w:p>
        </w:tc>
        <w:tc>
          <w:tcPr>
            <w:tcW w:type="dxa" w:w="24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Excel courses</w:t>
            </w:r>
          </w:p>
        </w:tc>
        <w:tc>
          <w:tcPr>
            <w:tcW w:type="dxa" w:w="6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Var.</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Var.</w:t>
            </w:r>
          </w:p>
        </w:tc>
        <w:tc>
          <w:tcPr>
            <w:tcW w:type="dxa" w:w="7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bCs/>
                <w:color w:val="999999"/>
                <w:sz w:val="16"/>
                <w:szCs w:val="16"/>
              </w:rPr>
              <w:t xml:space="preserve">—</w:t>
            </w:r>
          </w:p>
        </w:tc>
        <w:tc>
          <w:tcPr>
            <w:tcW w:type="dxa" w:w="33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You already build DCF models in Excel.</w:t>
            </w:r>
          </w:p>
        </w:tc>
        <w:tc>
          <w:tcPr>
            <w:tcW w:type="dxa" w:w="12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bCs/>
                <w:color w:val="C62828"/>
                <w:sz w:val="16"/>
                <w:szCs w:val="16"/>
              </w:rPr>
              <w:t xml:space="preserve">SKIP</w:t>
            </w:r>
          </w:p>
        </w:tc>
      </w:tr>
      <w:tr>
        <w:tc>
          <w:tcPr>
            <w:tcW w:type="dxa" w:w="10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SKIP</w:t>
            </w:r>
          </w:p>
        </w:tc>
        <w:tc>
          <w:tcPr>
            <w:tcW w:type="dxa" w:w="24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Full career paths (50–90 hrs)</w:t>
            </w:r>
          </w:p>
        </w:tc>
        <w:tc>
          <w:tcPr>
            <w:tcW w:type="dxa" w:w="6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Var.</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Var.</w:t>
            </w:r>
          </w:p>
        </w:tc>
        <w:tc>
          <w:tcPr>
            <w:tcW w:type="dxa" w:w="7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val="false"/>
                <w:bCs w:val="false"/>
                <w:color w:val="333333"/>
                <w:sz w:val="16"/>
                <w:szCs w:val="16"/>
              </w:rPr>
              <w:t xml:space="preserve">—</w:t>
            </w:r>
          </w:p>
        </w:tc>
        <w:tc>
          <w:tcPr>
            <w:tcW w:type="dxa" w:w="8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center"/>
            </w:pPr>
            <w:r>
              <w:rPr>
                <w:rFonts w:ascii="Arial" w:cs="Arial" w:eastAsia="Arial" w:hAnsi="Arial"/>
                <w:b/>
                <w:bCs/>
                <w:color w:val="999999"/>
                <w:sz w:val="16"/>
                <w:szCs w:val="16"/>
              </w:rPr>
              <w:t xml:space="preserve">—</w:t>
            </w:r>
          </w:p>
        </w:tc>
        <w:tc>
          <w:tcPr>
            <w:tcW w:type="dxa" w:w="33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Too broad. Cherry-pick individual courses.</w:t>
            </w:r>
          </w:p>
        </w:tc>
        <w:tc>
          <w:tcPr>
            <w:tcW w:type="dxa" w:w="12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vAlign w:val="center"/>
          </w:tcPr>
          <w:p>
            <w:pPr>
              <w:jc w:val="left"/>
            </w:pPr>
            <w:r>
              <w:rPr>
                <w:rFonts w:ascii="Arial" w:cs="Arial" w:eastAsia="Arial" w:hAnsi="Arial"/>
                <w:b/>
                <w:bCs/>
                <w:color w:val="C62828"/>
                <w:sz w:val="16"/>
                <w:szCs w:val="16"/>
              </w:rPr>
              <w:t xml:space="preserve">SKIP</w:t>
            </w:r>
          </w:p>
        </w:tc>
      </w:tr>
    </w:tbl>
    <w:p>
      <w:pPr>
        <w:spacing w:before="200" w:after="40"/>
      </w:pPr>
    </w:p>
    <w:p>
      <w:pPr>
        <w:spacing w:before="280" w:after="120"/>
      </w:pPr>
      <w:r>
        <w:rPr>
          <w:rFonts w:ascii="Arial" w:cs="Arial" w:eastAsia="Arial" w:hAnsi="Arial"/>
          <w:b/>
          <w:bCs/>
          <w:color w:val="2E75B6"/>
          <w:sz w:val="24"/>
          <w:szCs w:val="24"/>
        </w:rPr>
        <w:t xml:space="preserve">NPV Model Assumptions</w:t>
      </w:r>
    </w:p>
    <w:p>
      <w:pPr>
        <w:spacing w:after="160"/>
      </w:pPr>
      <w:r>
        <w:rPr>
          <w:rFonts w:ascii="Arial" w:cs="Arial" w:eastAsia="Arial" w:hAnsi="Arial"/>
          <w:b/>
          <w:bCs/>
          <w:i w:val="false"/>
          <w:iCs w:val="false"/>
          <w:color w:val="333333"/>
          <w:sz w:val="20"/>
          <w:szCs w:val="20"/>
        </w:rPr>
        <w:t xml:space="preserve">Total salary uplift target: </w:t>
      </w:r>
      <w:r>
        <w:rPr>
          <w:rFonts w:ascii="Arial" w:cs="Arial" w:eastAsia="Arial" w:hAnsi="Arial"/>
          <w:b w:val="false"/>
          <w:bCs w:val="false"/>
          <w:i w:val="false"/>
          <w:iCs w:val="false"/>
          <w:color w:val="333333"/>
          <w:sz w:val="20"/>
          <w:szCs w:val="20"/>
        </w:rPr>
        <w:t xml:space="preserve">£8,000/yr gross (midpoint of £6–10k range). </w:t>
      </w:r>
      <w:r>
        <w:rPr>
          <w:rFonts w:ascii="Arial" w:cs="Arial" w:eastAsia="Arial" w:hAnsi="Arial"/>
          <w:b/>
          <w:bCs/>
          <w:i w:val="false"/>
          <w:iCs w:val="false"/>
          <w:color w:val="333333"/>
          <w:sz w:val="20"/>
          <w:szCs w:val="20"/>
        </w:rPr>
        <w:t xml:space="preserve">Each course gets a proportional share </w:t>
      </w:r>
      <w:r>
        <w:rPr>
          <w:rFonts w:ascii="Arial" w:cs="Arial" w:eastAsia="Arial" w:hAnsi="Arial"/>
          <w:b w:val="false"/>
          <w:bCs w:val="false"/>
          <w:i w:val="false"/>
          <w:iCs w:val="false"/>
          <w:color w:val="333333"/>
          <w:sz w:val="20"/>
          <w:szCs w:val="20"/>
        </w:rPr>
        <w:t xml:space="preserve">based on its contribution to the combined skill set. </w:t>
      </w:r>
      <w:r>
        <w:rPr>
          <w:rFonts w:ascii="Arial" w:cs="Arial" w:eastAsia="Arial" w:hAnsi="Arial"/>
          <w:b/>
          <w:bCs/>
          <w:i w:val="false"/>
          <w:iCs w:val="false"/>
          <w:color w:val="333333"/>
          <w:sz w:val="20"/>
          <w:szCs w:val="20"/>
        </w:rPr>
        <w:t xml:space="preserve">Uplift starts: </w:t>
      </w:r>
      <w:r>
        <w:rPr>
          <w:rFonts w:ascii="Arial" w:cs="Arial" w:eastAsia="Arial" w:hAnsi="Arial"/>
          <w:b w:val="false"/>
          <w:bCs w:val="false"/>
          <w:i w:val="false"/>
          <w:iCs w:val="false"/>
          <w:color w:val="333333"/>
          <w:sz w:val="20"/>
          <w:szCs w:val="20"/>
        </w:rPr>
        <w:t xml:space="preserve">12 months from now (conservative — assumes full stack built before realising salary benefit). </w:t>
      </w:r>
    </w:p>
    <w:p>
      <w:pPr>
        <w:spacing w:after="160"/>
      </w:pPr>
      <w:r>
        <w:rPr>
          <w:rFonts w:ascii="Arial" w:cs="Arial" w:eastAsia="Arial" w:hAnsi="Arial"/>
          <w:b/>
          <w:bCs/>
          <w:i w:val="false"/>
          <w:iCs w:val="false"/>
          <w:color w:val="333333"/>
          <w:sz w:val="20"/>
          <w:szCs w:val="20"/>
        </w:rPr>
        <w:t xml:space="preserve">Tax/NI deduction: </w:t>
      </w:r>
      <w:r>
        <w:rPr>
          <w:rFonts w:ascii="Arial" w:cs="Arial" w:eastAsia="Arial" w:hAnsi="Arial"/>
          <w:b w:val="false"/>
          <w:bCs w:val="false"/>
          <w:i w:val="false"/>
          <w:iCs w:val="false"/>
          <w:color w:val="333333"/>
          <w:sz w:val="20"/>
          <w:szCs w:val="20"/>
        </w:rPr>
        <w:t xml:space="preserve">42% (marginal rate at £72k+). </w:t>
      </w:r>
      <w:r>
        <w:rPr>
          <w:rFonts w:ascii="Arial" w:cs="Arial" w:eastAsia="Arial" w:hAnsi="Arial"/>
          <w:b/>
          <w:bCs/>
          <w:i w:val="false"/>
          <w:iCs w:val="false"/>
          <w:color w:val="333333"/>
          <w:sz w:val="20"/>
          <w:szCs w:val="20"/>
        </w:rPr>
        <w:t xml:space="preserve">Discount rate: </w:t>
      </w:r>
      <w:r>
        <w:rPr>
          <w:rFonts w:ascii="Arial" w:cs="Arial" w:eastAsia="Arial" w:hAnsi="Arial"/>
          <w:b w:val="false"/>
          <w:bCs w:val="false"/>
          <w:i w:val="false"/>
          <w:iCs w:val="false"/>
          <w:color w:val="333333"/>
          <w:sz w:val="20"/>
          <w:szCs w:val="20"/>
        </w:rPr>
        <w:t xml:space="preserve">7%. </w:t>
      </w:r>
      <w:r>
        <w:rPr>
          <w:rFonts w:ascii="Arial" w:cs="Arial" w:eastAsia="Arial" w:hAnsi="Arial"/>
          <w:b/>
          <w:bCs/>
          <w:i w:val="false"/>
          <w:iCs w:val="false"/>
          <w:color w:val="333333"/>
          <w:sz w:val="20"/>
          <w:szCs w:val="20"/>
        </w:rPr>
        <w:t xml:space="preserve">Horizon: </w:t>
      </w:r>
      <w:r>
        <w:rPr>
          <w:rFonts w:ascii="Arial" w:cs="Arial" w:eastAsia="Arial" w:hAnsi="Arial"/>
          <w:b w:val="false"/>
          <w:bCs w:val="false"/>
          <w:i w:val="false"/>
          <w:iCs w:val="false"/>
          <w:color w:val="333333"/>
          <w:sz w:val="20"/>
          <w:szCs w:val="20"/>
        </w:rPr>
        <w:t xml:space="preserve">5 years of post-tax uplift from Year 1 (i.e. Years 2–6 from today). </w:t>
      </w:r>
      <w:r>
        <w:rPr>
          <w:rFonts w:ascii="Arial" w:cs="Arial" w:eastAsia="Arial" w:hAnsi="Arial"/>
          <w:b/>
          <w:bCs/>
          <w:i w:val="false"/>
          <w:iCs w:val="false"/>
          <w:color w:val="333333"/>
          <w:sz w:val="20"/>
          <w:szCs w:val="20"/>
        </w:rPr>
        <w:t xml:space="preserve">Time cost: </w:t>
      </w:r>
      <w:r>
        <w:rPr>
          <w:rFonts w:ascii="Arial" w:cs="Arial" w:eastAsia="Arial" w:hAnsi="Arial"/>
          <w:b w:val="false"/>
          <w:bCs w:val="false"/>
          <w:i w:val="false"/>
          <w:iCs w:val="false"/>
          <w:color w:val="333333"/>
          <w:sz w:val="20"/>
          <w:szCs w:val="20"/>
        </w:rPr>
        <w:t xml:space="preserve">£37/hr opportunity cost of your time.</w:t>
      </w:r>
    </w:p>
    <w:p>
      <w:pPr>
        <w:sectPr>
          <w:headerReference w:type="default" r:id="rId6"/>
          <w:footerReference w:type="default" r:id="rId7"/>
          <w:pgSz w:w="16838" w:h="11906" w:orient="landscape"/>
          <w:pgMar w:top="700" w:right="900" w:bottom="700" w:left="900" w:header="708" w:footer="708" w:gutter="0"/>
          <w:pgNumType/>
          <w:docGrid w:linePitch="360"/>
        </w:sectPr>
      </w:pPr>
    </w:p>
    <w:p>
      <w:pPr>
        <w:pStyle w:val="Heading2"/>
        <w:spacing w:before="360" w:after="200"/>
      </w:pPr>
      <w:r>
        <w:rPr>
          <w:rFonts w:ascii="Arial" w:cs="Arial" w:eastAsia="Arial" w:hAnsi="Arial"/>
          <w:b/>
          <w:bCs/>
          <w:color w:val="1B3A5C"/>
          <w:sz w:val="28"/>
          <w:szCs w:val="28"/>
        </w:rPr>
        <w:t xml:space="preserve">Recommended Sequence &amp; Timing</w:t>
      </w:r>
    </w:p>
    <w:p>
      <w:pPr>
        <w:spacing w:after="160"/>
      </w:pPr>
      <w:r>
        <w:rPr>
          <w:rFonts w:ascii="Arial" w:cs="Arial" w:eastAsia="Arial" w:hAnsi="Arial"/>
          <w:b w:val="false"/>
          <w:bCs w:val="false"/>
          <w:i w:val="false"/>
          <w:iCs w:val="false"/>
          <w:color w:val="333333"/>
          <w:sz w:val="20"/>
          <w:szCs w:val="20"/>
        </w:rPr>
        <w:t xml:space="preserve">Assumes 3–4 hours/week on Codecademy alongside your normal workload and the Data Fellowship.</w:t>
      </w:r>
    </w:p>
    <w:p>
      <w:pPr>
        <w:spacing w:before="280" w:after="120"/>
      </w:pPr>
      <w:r>
        <w:rPr>
          <w:rFonts w:ascii="Arial" w:cs="Arial" w:eastAsia="Arial" w:hAnsi="Arial"/>
          <w:b/>
          <w:bCs/>
          <w:color w:val="2E75B6"/>
          <w:sz w:val="24"/>
          <w:szCs w:val="24"/>
        </w:rPr>
        <w:t xml:space="preserve">Phase 1: Foundations (Now – May 2026) — 47 hours / £1,739 time cost</w:t>
      </w:r>
    </w:p>
    <w:p>
      <w:pPr>
        <w:spacing w:after="160"/>
      </w:pPr>
      <w:r>
        <w:rPr>
          <w:rFonts w:ascii="Arial" w:cs="Arial" w:eastAsia="Arial" w:hAnsi="Arial"/>
          <w:b/>
          <w:bCs/>
          <w:i w:val="false"/>
          <w:iCs w:val="false"/>
          <w:color w:val="333333"/>
          <w:sz w:val="20"/>
          <w:szCs w:val="20"/>
        </w:rPr>
        <w:t xml:space="preserve">1. Learn Python 3 </w:t>
      </w:r>
      <w:r>
        <w:rPr>
          <w:rFonts w:ascii="Arial" w:cs="Arial" w:eastAsia="Arial" w:hAnsi="Arial"/>
          <w:b w:val="false"/>
          <w:bCs w:val="false"/>
          <w:i w:val="false"/>
          <w:iCs w:val="false"/>
          <w:color w:val="333333"/>
          <w:sz w:val="20"/>
          <w:szCs w:val="20"/>
        </w:rPr>
        <w:t xml:space="preserve">(24 hrs) — Start here, no exceptions. Foundation for everything else. </w:t>
      </w:r>
      <w:r>
        <w:rPr>
          <w:rFonts w:ascii="Arial" w:cs="Arial" w:eastAsia="Arial" w:hAnsi="Arial"/>
          <w:b/>
          <w:bCs/>
          <w:i w:val="false"/>
          <w:iCs w:val="false"/>
          <w:color w:val="2E7D32"/>
          <w:sz w:val="20"/>
          <w:szCs w:val="20"/>
        </w:rPr>
        <w:t xml:space="preserve">NPV: £4,445 | Net: +£3,557</w:t>
      </w:r>
    </w:p>
    <w:p>
      <w:pPr>
        <w:spacing w:after="160"/>
      </w:pPr>
      <w:r>
        <w:rPr>
          <w:rFonts w:ascii="Arial" w:cs="Arial" w:eastAsia="Arial" w:hAnsi="Arial"/>
          <w:b/>
          <w:bCs/>
          <w:i w:val="false"/>
          <w:iCs w:val="false"/>
          <w:color w:val="333333"/>
          <w:sz w:val="20"/>
          <w:szCs w:val="20"/>
        </w:rPr>
        <w:t xml:space="preserve">2. Learn SQL </w:t>
      </w:r>
      <w:r>
        <w:rPr>
          <w:rFonts w:ascii="Arial" w:cs="Arial" w:eastAsia="Arial" w:hAnsi="Arial"/>
          <w:b w:val="false"/>
          <w:bCs w:val="false"/>
          <w:i w:val="false"/>
          <w:iCs w:val="false"/>
          <w:color w:val="333333"/>
          <w:sz w:val="20"/>
          <w:szCs w:val="20"/>
        </w:rPr>
        <w:t xml:space="preserve">(5 hrs) — Quick and immediately useful. Do alongside Python for variety. </w:t>
      </w:r>
      <w:r>
        <w:rPr>
          <w:rFonts w:ascii="Arial" w:cs="Arial" w:eastAsia="Arial" w:hAnsi="Arial"/>
          <w:b/>
          <w:bCs/>
          <w:i w:val="false"/>
          <w:iCs w:val="false"/>
          <w:color w:val="2E7D32"/>
          <w:sz w:val="20"/>
          <w:szCs w:val="20"/>
        </w:rPr>
        <w:t xml:space="preserve">NPV: £1,422 | Net: +£1,237</w:t>
      </w:r>
    </w:p>
    <w:p>
      <w:pPr>
        <w:spacing w:after="160"/>
      </w:pPr>
      <w:r>
        <w:rPr>
          <w:rFonts w:ascii="Arial" w:cs="Arial" w:eastAsia="Arial" w:hAnsi="Arial"/>
          <w:b/>
          <w:bCs/>
          <w:i w:val="false"/>
          <w:iCs w:val="false"/>
          <w:color w:val="333333"/>
          <w:sz w:val="20"/>
          <w:szCs w:val="20"/>
        </w:rPr>
        <w:t xml:space="preserve">3. Analyze Data with SQL </w:t>
      </w:r>
      <w:r>
        <w:rPr>
          <w:rFonts w:ascii="Arial" w:cs="Arial" w:eastAsia="Arial" w:hAnsi="Arial"/>
          <w:b w:val="false"/>
          <w:bCs w:val="false"/>
          <w:i w:val="false"/>
          <w:iCs w:val="false"/>
          <w:color w:val="333333"/>
          <w:sz w:val="20"/>
          <w:szCs w:val="20"/>
        </w:rPr>
        <w:t xml:space="preserve">(18 hrs) — Takes SQL from basic to genuinely practical. Real case studies. </w:t>
      </w:r>
      <w:r>
        <w:rPr>
          <w:rFonts w:ascii="Arial" w:cs="Arial" w:eastAsia="Arial" w:hAnsi="Arial"/>
          <w:b/>
          <w:bCs/>
          <w:i w:val="false"/>
          <w:iCs w:val="false"/>
          <w:color w:val="2E7D32"/>
          <w:sz w:val="20"/>
          <w:szCs w:val="20"/>
        </w:rPr>
        <w:t xml:space="preserve">NPV: £1,778 | Net: +£1,112</w:t>
      </w:r>
    </w:p>
    <w:p>
      <w:pPr>
        <w:spacing w:before="280" w:after="120"/>
      </w:pPr>
      <w:r>
        <w:rPr>
          <w:rFonts w:ascii="Arial" w:cs="Arial" w:eastAsia="Arial" w:hAnsi="Arial"/>
          <w:b/>
          <w:bCs/>
          <w:color w:val="2E75B6"/>
          <w:sz w:val="24"/>
          <w:szCs w:val="24"/>
        </w:rPr>
        <w:t xml:space="preserve">Phase 2: Financial &amp; Statistical Depth (June – Sept 2026) — 30 hours / £1,110 time cost</w:t>
      </w:r>
    </w:p>
    <w:p>
      <w:pPr>
        <w:spacing w:after="160"/>
      </w:pPr>
      <w:r>
        <w:rPr>
          <w:rFonts w:ascii="Arial" w:cs="Arial" w:eastAsia="Arial" w:hAnsi="Arial"/>
          <w:b/>
          <w:bCs/>
          <w:i w:val="false"/>
          <w:iCs w:val="false"/>
          <w:color w:val="333333"/>
          <w:sz w:val="20"/>
          <w:szCs w:val="20"/>
        </w:rPr>
        <w:t xml:space="preserve">4. Analyze Financial Data with Python </w:t>
      </w:r>
      <w:r>
        <w:rPr>
          <w:rFonts w:ascii="Arial" w:cs="Arial" w:eastAsia="Arial" w:hAnsi="Arial"/>
          <w:b w:val="false"/>
          <w:bCs w:val="false"/>
          <w:i w:val="false"/>
          <w:iCs w:val="false"/>
          <w:color w:val="333333"/>
          <w:sz w:val="20"/>
          <w:szCs w:val="20"/>
        </w:rPr>
        <w:t xml:space="preserve">(~20 hrs) — Pandas, Matplotlib, regression, portfolio optimisation. Maps directly to your UKW analysis, pricing models, and investment research. </w:t>
      </w:r>
      <w:r>
        <w:rPr>
          <w:rFonts w:ascii="Arial" w:cs="Arial" w:eastAsia="Arial" w:hAnsi="Arial"/>
          <w:b/>
          <w:bCs/>
          <w:i w:val="false"/>
          <w:iCs w:val="false"/>
          <w:color w:val="2E7D32"/>
          <w:sz w:val="20"/>
          <w:szCs w:val="20"/>
        </w:rPr>
        <w:t xml:space="preserve">NPV: £3,556 | Net: +£2,816</w:t>
      </w:r>
    </w:p>
    <w:p>
      <w:pPr>
        <w:spacing w:after="160"/>
      </w:pPr>
      <w:r>
        <w:rPr>
          <w:rFonts w:ascii="Arial" w:cs="Arial" w:eastAsia="Arial" w:hAnsi="Arial"/>
          <w:b/>
          <w:bCs/>
          <w:i w:val="false"/>
          <w:iCs w:val="false"/>
          <w:color w:val="333333"/>
          <w:sz w:val="20"/>
          <w:szCs w:val="20"/>
        </w:rPr>
        <w:t xml:space="preserve">5. Learn Statistics with Python </w:t>
      </w:r>
      <w:r>
        <w:rPr>
          <w:rFonts w:ascii="Arial" w:cs="Arial" w:eastAsia="Arial" w:hAnsi="Arial"/>
          <w:b w:val="false"/>
          <w:bCs w:val="false"/>
          <w:i w:val="false"/>
          <w:iCs w:val="false"/>
          <w:color w:val="333333"/>
          <w:sz w:val="20"/>
          <w:szCs w:val="20"/>
        </w:rPr>
        <w:t xml:space="preserve">(~10 hrs) — Distributions, variance, hypothesis testing. Required before ML content makes sense. </w:t>
      </w:r>
      <w:r>
        <w:rPr>
          <w:rFonts w:ascii="Arial" w:cs="Arial" w:eastAsia="Arial" w:hAnsi="Arial"/>
          <w:b/>
          <w:bCs/>
          <w:i w:val="false"/>
          <w:iCs w:val="false"/>
          <w:color w:val="2E7D32"/>
          <w:sz w:val="20"/>
          <w:szCs w:val="20"/>
        </w:rPr>
        <w:t xml:space="preserve">NPV: £1,778 | Net: +£1,408</w:t>
      </w:r>
    </w:p>
    <w:p>
      <w:pPr>
        <w:spacing w:after="160"/>
      </w:pPr>
      <w:r>
        <w:rPr>
          <w:rFonts w:ascii="Arial" w:cs="Arial" w:eastAsia="Arial" w:hAnsi="Arial"/>
          <w:b w:val="false"/>
          <w:bCs w:val="false"/>
          <w:i w:val="false"/>
          <w:iCs w:val="false"/>
          <w:color w:val="333333"/>
          <w:sz w:val="20"/>
          <w:szCs w:val="20"/>
        </w:rPr>
        <w:t xml:space="preserve">This phase overlaps with the Data Fellowship start. Your Phase 1 Python and SQL means you’ll breeze through the Fellowship’s early modules.</w:t>
      </w:r>
    </w:p>
    <w:p>
      <w:pPr>
        <w:spacing w:before="280" w:after="120"/>
      </w:pPr>
      <w:r>
        <w:rPr>
          <w:rFonts w:ascii="Arial" w:cs="Arial" w:eastAsia="Arial" w:hAnsi="Arial"/>
          <w:b/>
          <w:bCs/>
          <w:color w:val="2E75B6"/>
          <w:sz w:val="24"/>
          <w:szCs w:val="24"/>
        </w:rPr>
        <w:t xml:space="preserve">Phase 3: ML Literacy (Oct 2026 – Feb 2027) — 35 hours / £1,295 time cost</w:t>
      </w:r>
    </w:p>
    <w:p>
      <w:pPr>
        <w:spacing w:after="160"/>
      </w:pPr>
      <w:r>
        <w:rPr>
          <w:rFonts w:ascii="Arial" w:cs="Arial" w:eastAsia="Arial" w:hAnsi="Arial"/>
          <w:b/>
          <w:bCs/>
          <w:i w:val="false"/>
          <w:iCs w:val="false"/>
          <w:color w:val="333333"/>
          <w:sz w:val="20"/>
          <w:szCs w:val="20"/>
        </w:rPr>
        <w:t xml:space="preserve">6. ML/AI Engineer Career Path (first 60–70%) </w:t>
      </w:r>
      <w:r>
        <w:rPr>
          <w:rFonts w:ascii="Arial" w:cs="Arial" w:eastAsia="Arial" w:hAnsi="Arial"/>
          <w:b w:val="false"/>
          <w:bCs w:val="false"/>
          <w:i w:val="false"/>
          <w:iCs w:val="false"/>
          <w:color w:val="333333"/>
          <w:sz w:val="20"/>
          <w:szCs w:val="20"/>
        </w:rPr>
        <w:t xml:space="preserve">(~35 hrs) — Linear regression, decision trees, random forests, clustering, scikit-learn. Stop before production pipelines and deep learning. </w:t>
      </w:r>
      <w:r>
        <w:rPr>
          <w:rFonts w:ascii="Arial" w:cs="Arial" w:eastAsia="Arial" w:hAnsi="Arial"/>
          <w:b/>
          <w:bCs/>
          <w:i w:val="false"/>
          <w:iCs w:val="false"/>
          <w:color w:val="2E7D32"/>
          <w:sz w:val="20"/>
          <w:szCs w:val="20"/>
        </w:rPr>
        <w:t xml:space="preserve">NPV: £3,912 | Net: +£2,617</w:t>
      </w:r>
    </w:p>
    <w:p>
      <w:pPr>
        <w:spacing w:before="280" w:after="120"/>
      </w:pPr>
      <w:r>
        <w:rPr>
          <w:rFonts w:ascii="Arial" w:cs="Arial" w:eastAsia="Arial" w:hAnsi="Arial"/>
          <w:b/>
          <w:bCs/>
          <w:color w:val="2E75B6"/>
          <w:sz w:val="24"/>
          <w:szCs w:val="24"/>
        </w:rPr>
        <w:t xml:space="preserve">Quick wins (anytime) — ~11 hours / £407 time cost</w:t>
      </w:r>
    </w:p>
    <w:p>
      <w:pPr>
        <w:spacing w:after="160"/>
      </w:pPr>
      <w:r>
        <w:rPr>
          <w:rFonts w:ascii="Arial" w:cs="Arial" w:eastAsia="Arial" w:hAnsi="Arial"/>
          <w:b/>
          <w:bCs/>
          <w:i w:val="false"/>
          <w:iCs w:val="false"/>
          <w:color w:val="333333"/>
          <w:sz w:val="20"/>
          <w:szCs w:val="20"/>
        </w:rPr>
        <w:t xml:space="preserve">7. AI for FP&amp;A </w:t>
      </w:r>
      <w:r>
        <w:rPr>
          <w:rFonts w:ascii="Arial" w:cs="Arial" w:eastAsia="Arial" w:hAnsi="Arial"/>
          <w:b w:val="false"/>
          <w:bCs w:val="false"/>
          <w:i w:val="false"/>
          <w:iCs w:val="false"/>
          <w:color w:val="333333"/>
          <w:sz w:val="20"/>
          <w:szCs w:val="20"/>
        </w:rPr>
        <w:t xml:space="preserve">(&lt;1 hr) — Forecasting and scenario modelling with AI. Lunch break material.</w:t>
      </w:r>
    </w:p>
    <w:p>
      <w:pPr>
        <w:spacing w:after="160"/>
      </w:pPr>
      <w:r>
        <w:rPr>
          <w:rFonts w:ascii="Arial" w:cs="Arial" w:eastAsia="Arial" w:hAnsi="Arial"/>
          <w:b/>
          <w:bCs/>
          <w:i w:val="false"/>
          <w:iCs w:val="false"/>
          <w:color w:val="333333"/>
          <w:sz w:val="20"/>
          <w:szCs w:val="20"/>
        </w:rPr>
        <w:t xml:space="preserve">8. AI for Data Analysis </w:t>
      </w:r>
      <w:r>
        <w:rPr>
          <w:rFonts w:ascii="Arial" w:cs="Arial" w:eastAsia="Arial" w:hAnsi="Arial"/>
          <w:b w:val="false"/>
          <w:bCs w:val="false"/>
          <w:i w:val="false"/>
          <w:iCs w:val="false"/>
          <w:color w:val="333333"/>
          <w:sz w:val="20"/>
          <w:szCs w:val="20"/>
        </w:rPr>
        <w:t xml:space="preserve">(~3 hrs) — LLMs as analytics assistants. Do after Phase 1.</w:t>
      </w:r>
    </w:p>
    <w:p>
      <w:pPr>
        <w:spacing w:after="160"/>
      </w:pPr>
      <w:r>
        <w:rPr>
          <w:rFonts w:ascii="Arial" w:cs="Arial" w:eastAsia="Arial" w:hAnsi="Arial"/>
          <w:b/>
          <w:bCs/>
          <w:i w:val="false"/>
          <w:iCs w:val="false"/>
          <w:color w:val="333333"/>
          <w:sz w:val="20"/>
          <w:szCs w:val="20"/>
        </w:rPr>
        <w:t xml:space="preserve">9. Web Scraping </w:t>
      </w:r>
      <w:r>
        <w:rPr>
          <w:rFonts w:ascii="Arial" w:cs="Arial" w:eastAsia="Arial" w:hAnsi="Arial"/>
          <w:b w:val="false"/>
          <w:bCs w:val="false"/>
          <w:i w:val="false"/>
          <w:iCs w:val="false"/>
          <w:color w:val="333333"/>
          <w:sz w:val="20"/>
          <w:szCs w:val="20"/>
        </w:rPr>
        <w:t xml:space="preserve">(~4 hrs) — Scrape Ofcom data, competitor pricing. Do when you have a use case.</w:t>
      </w:r>
    </w:p>
    <w:p>
      <w:pPr>
        <w:spacing w:after="160"/>
      </w:pPr>
      <w:r>
        <w:rPr>
          <w:rFonts w:ascii="Arial" w:cs="Arial" w:eastAsia="Arial" w:hAnsi="Arial"/>
          <w:b/>
          <w:bCs/>
          <w:i w:val="false"/>
          <w:iCs w:val="false"/>
          <w:color w:val="333333"/>
          <w:sz w:val="20"/>
          <w:szCs w:val="20"/>
        </w:rPr>
        <w:t xml:space="preserve">10. SQL for Business Metrics </w:t>
      </w:r>
      <w:r>
        <w:rPr>
          <w:rFonts w:ascii="Arial" w:cs="Arial" w:eastAsia="Arial" w:hAnsi="Arial"/>
          <w:b w:val="false"/>
          <w:bCs w:val="false"/>
          <w:i w:val="false"/>
          <w:iCs w:val="false"/>
          <w:color w:val="333333"/>
          <w:sz w:val="20"/>
          <w:szCs w:val="20"/>
        </w:rPr>
        <w:t xml:space="preserve">(~3 hrs) — Churn, funnels, attribution. Relevant to PSTN migration data.</w:t>
      </w:r>
    </w:p>
    <w:p>
      <w:r>
        <w:br w:type="page"/>
      </w:r>
    </w:p>
    <w:p>
      <w:pPr>
        <w:pStyle w:val="Heading2"/>
        <w:spacing w:before="360" w:after="200"/>
      </w:pPr>
      <w:r>
        <w:rPr>
          <w:rFonts w:ascii="Arial" w:cs="Arial" w:eastAsia="Arial" w:hAnsi="Arial"/>
          <w:b/>
          <w:bCs/>
          <w:color w:val="1B3A5C"/>
          <w:sz w:val="28"/>
          <w:szCs w:val="28"/>
        </w:rPr>
        <w:t xml:space="preserve">Total Investment vs Return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W w:type="dxa" w:w="5053"/>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Metric</w:t>
            </w:r>
          </w:p>
        </w:tc>
        <w:tc>
          <w:tcPr>
            <w:tcW w:type="dxa" w:w="5053"/>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vAlign w:val="center"/>
          </w:tcPr>
          <w:p>
            <w:r>
              <w:rPr>
                <w:rFonts w:ascii="Arial" w:cs="Arial" w:eastAsia="Arial" w:hAnsi="Arial"/>
                <w:b/>
                <w:bCs/>
                <w:color w:val="FFFFFF"/>
                <w:sz w:val="16"/>
                <w:szCs w:val="16"/>
              </w:rPr>
              <w:t xml:space="preserve">Value</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Total hours (Tier 1 + 2)</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112 hours</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Time cost (Tier 1 + 2)</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£4,144</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5-year NPV of salary uplift (Tier 1 + 2)</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£16,891</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Net value (Tier 1 + 2)</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+£12,747</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Including Tier 3 extras (+11 hours)</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£4,551 total cost</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Combined NPV (all tiers)</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£17,781</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Combined net value</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+£13,230</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ROI on time invested</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2E7D32"/>
                <w:sz w:val="16"/>
                <w:szCs w:val="16"/>
              </w:rPr>
              <w:t xml:space="preserve">291%</w:t>
            </w:r>
          </w:p>
        </w:tc>
      </w:tr>
      <w:tr>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bCs/>
                <w:color w:val="333333"/>
                <w:sz w:val="16"/>
                <w:szCs w:val="16"/>
              </w:rPr>
              <w:t xml:space="preserve">Timeline at 3–4 hrs/week</w:t>
            </w:r>
          </w:p>
        </w:tc>
        <w:tc>
          <w:tcPr>
            <w:tcW w:type="dxa" w:w="5053"/>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b w:val="false"/>
                <w:bCs w:val="false"/>
                <w:color w:val="333333"/>
                <w:sz w:val="16"/>
                <w:szCs w:val="16"/>
              </w:rPr>
              <w:t xml:space="preserve">~8–10 months</w:t>
            </w:r>
          </w:p>
        </w:tc>
      </w:tr>
    </w:tbl>
    <w:p>
      <w:pPr>
        <w:pStyle w:val="Heading2"/>
        <w:spacing w:before="360" w:after="200"/>
      </w:pPr>
      <w:r>
        <w:rPr>
          <w:rFonts w:ascii="Arial" w:cs="Arial" w:eastAsia="Arial" w:hAnsi="Arial"/>
          <w:b/>
          <w:bCs/>
          <w:color w:val="1B3A5C"/>
          <w:sz w:val="28"/>
          <w:szCs w:val="28"/>
        </w:rPr>
        <w:t xml:space="preserve">Reading the Numbers</w:t>
      </w:r>
    </w:p>
    <w:p>
      <w:pPr>
        <w:spacing w:after="160"/>
      </w:pPr>
      <w:r>
        <w:rPr>
          <w:rFonts w:ascii="Arial" w:cs="Arial" w:eastAsia="Arial" w:hAnsi="Arial"/>
          <w:b w:val="false"/>
          <w:bCs w:val="false"/>
          <w:i w:val="false"/>
          <w:iCs w:val="false"/>
          <w:color w:val="333333"/>
          <w:sz w:val="20"/>
          <w:szCs w:val="20"/>
        </w:rPr>
        <w:t xml:space="preserve">Every single Tier 1 and Tier 2 course shows a positive net value — meaning the NPV of its attributed salary uplift exceeds the opportunity cost of your time, even with conservative assumptions (7% discount rate, 42% tax, 12-month delay before any benefit).</w:t>
      </w:r>
    </w:p>
    <w:p>
      <w:pPr>
        <w:spacing w:after="160"/>
      </w:pPr>
      <w:r>
        <w:rPr>
          <w:rFonts w:ascii="Arial" w:cs="Arial" w:eastAsia="Arial" w:hAnsi="Arial"/>
          <w:b/>
          <w:bCs/>
          <w:i w:val="false"/>
          <w:iCs w:val="false"/>
          <w:color w:val="333333"/>
          <w:sz w:val="20"/>
          <w:szCs w:val="20"/>
        </w:rPr>
        <w:t xml:space="preserve">The biggest net contributors are Python (£3,557) and Analyze Financial Data (£2,816)</w:t>
      </w:r>
      <w:r>
        <w:rPr>
          <w:rFonts w:ascii="Arial" w:cs="Arial" w:eastAsia="Arial" w:hAnsi="Arial"/>
          <w:b w:val="false"/>
          <w:bCs w:val="false"/>
          <w:i w:val="false"/>
          <w:iCs w:val="false"/>
          <w:color w:val="333333"/>
          <w:sz w:val="20"/>
          <w:szCs w:val="20"/>
        </w:rPr>
        <w:t xml:space="preserve"> — these deliver the most value relative to time invested because they directly enable the pricing automation and analytical sophistication that differentiate you from other candidates for Head of Pricing roles.</w:t>
      </w:r>
    </w:p>
    <w:p>
      <w:pPr>
        <w:spacing w:after="160"/>
      </w:pPr>
      <w:r>
        <w:rPr>
          <w:rFonts w:ascii="Arial" w:cs="Arial" w:eastAsia="Arial" w:hAnsi="Arial"/>
          <w:b w:val="false"/>
          <w:bCs w:val="false"/>
          <w:i w:val="false"/>
          <w:iCs w:val="false"/>
          <w:color w:val="333333"/>
          <w:sz w:val="20"/>
          <w:szCs w:val="20"/>
        </w:rPr>
        <w:t xml:space="preserve">The ML/AI career path has the highest absolute NPV but also the highest time cost. Its net value is still strongly positive, and the knowledge it provides is what turns you from someone who uses AI tools into someone who understands them well enough to lead their deployment.</w:t>
      </w:r>
    </w:p>
    <w:p>
      <w:pPr>
        <w:spacing w:after="160"/>
      </w:pPr>
      <w:r>
        <w:rPr>
          <w:rFonts w:ascii="Arial" w:cs="Arial" w:eastAsia="Arial" w:hAnsi="Arial"/>
          <w:b w:val="false"/>
          <w:bCs w:val="false"/>
          <w:i w:val="false"/>
          <w:iCs w:val="false"/>
          <w:color w:val="333333"/>
          <w:sz w:val="20"/>
          <w:szCs w:val="20"/>
        </w:rPr>
        <w:t xml:space="preserve">Tier 3 courses are small positive bets — low time cost, modest but real value. The AI for FP&amp;A course in particular is almost free in time terms and directly applicable.</w:t>
      </w:r>
    </w:p>
    <w:p>
      <w:pPr>
        <w:pStyle w:val="Heading2"/>
        <w:spacing w:before="360" w:after="200"/>
      </w:pPr>
      <w:r>
        <w:rPr>
          <w:rFonts w:ascii="Arial" w:cs="Arial" w:eastAsia="Arial" w:hAnsi="Arial"/>
          <w:b/>
          <w:bCs/>
          <w:color w:val="1B3A5C"/>
          <w:sz w:val="28"/>
          <w:szCs w:val="28"/>
        </w:rPr>
        <w:t xml:space="preserve">What These Numbers Don’t Capture</w:t>
      </w:r>
    </w:p>
    <w:p>
      <w:pPr>
        <w:spacing w:after="160"/>
      </w:pPr>
      <w:r>
        <w:rPr>
          <w:rFonts w:ascii="Arial" w:cs="Arial" w:eastAsia="Arial" w:hAnsi="Arial"/>
          <w:b w:val="false"/>
          <w:bCs w:val="false"/>
          <w:i w:val="false"/>
          <w:iCs w:val="false"/>
          <w:color w:val="333333"/>
          <w:sz w:val="20"/>
          <w:szCs w:val="20"/>
        </w:rPr>
        <w:t xml:space="preserve">This model only values the salary uplift. It deliberately excludes:</w:t>
      </w:r>
    </w:p>
    <w:p>
      <w:pPr>
        <w:spacing w:after="160"/>
      </w:pPr>
      <w:r>
        <w:rPr>
          <w:rFonts w:ascii="Arial" w:cs="Arial" w:eastAsia="Arial" w:hAnsi="Arial"/>
          <w:b/>
          <w:bCs/>
          <w:i w:val="false"/>
          <w:iCs w:val="false"/>
          <w:color w:val="333333"/>
          <w:sz w:val="20"/>
          <w:szCs w:val="20"/>
        </w:rPr>
        <w:t xml:space="preserve">Productivity gains </w:t>
      </w:r>
      <w:r>
        <w:rPr>
          <w:rFonts w:ascii="Arial" w:cs="Arial" w:eastAsia="Arial" w:hAnsi="Arial"/>
          <w:b w:val="false"/>
          <w:bCs w:val="false"/>
          <w:i w:val="false"/>
          <w:iCs w:val="false"/>
          <w:color w:val="333333"/>
          <w:sz w:val="20"/>
          <w:szCs w:val="20"/>
        </w:rPr>
        <w:t xml:space="preserve">— automating a recurring pricing process could save 2–5 hours/week (£3,700–£9,600/yr at £37/hr). This alone could exceed the NPV of the salary uplift.</w:t>
      </w:r>
    </w:p>
    <w:p>
      <w:pPr>
        <w:spacing w:after="160"/>
      </w:pPr>
      <w:r>
        <w:rPr>
          <w:rFonts w:ascii="Arial" w:cs="Arial" w:eastAsia="Arial" w:hAnsi="Arial"/>
          <w:b/>
          <w:bCs/>
          <w:i w:val="false"/>
          <w:iCs w:val="false"/>
          <w:color w:val="333333"/>
          <w:sz w:val="20"/>
          <w:szCs w:val="20"/>
        </w:rPr>
        <w:t xml:space="preserve">Better pricing decisions </w:t>
      </w:r>
      <w:r>
        <w:rPr>
          <w:rFonts w:ascii="Arial" w:cs="Arial" w:eastAsia="Arial" w:hAnsi="Arial"/>
          <w:b w:val="false"/>
          <w:bCs w:val="false"/>
          <w:i w:val="false"/>
          <w:iCs w:val="false"/>
          <w:color w:val="333333"/>
          <w:sz w:val="20"/>
          <w:szCs w:val="20"/>
        </w:rPr>
        <w:t xml:space="preserve">— a single better-informed Ethernet pricing decision at BT Wholesale could be worth six figures. Unquantifiable but real.</w:t>
      </w:r>
    </w:p>
    <w:p>
      <w:pPr>
        <w:spacing w:after="160"/>
      </w:pPr>
      <w:r>
        <w:rPr>
          <w:rFonts w:ascii="Arial" w:cs="Arial" w:eastAsia="Arial" w:hAnsi="Arial"/>
          <w:b/>
          <w:bCs/>
          <w:i w:val="false"/>
          <w:iCs w:val="false"/>
          <w:color w:val="333333"/>
          <w:sz w:val="20"/>
          <w:szCs w:val="20"/>
        </w:rPr>
        <w:t xml:space="preserve">Personal investment returns </w:t>
      </w:r>
      <w:r>
        <w:rPr>
          <w:rFonts w:ascii="Arial" w:cs="Arial" w:eastAsia="Arial" w:hAnsi="Arial"/>
          <w:b w:val="false"/>
          <w:bCs w:val="false"/>
          <w:i w:val="false"/>
          <w:iCs w:val="false"/>
          <w:color w:val="333333"/>
          <w:sz w:val="20"/>
          <w:szCs w:val="20"/>
        </w:rPr>
        <w:t xml:space="preserve">— Python financial analysis skills applied to your portfolio (UKW analysis, DCF modelling, portfolio optimisation) have direct personal financial value.</w:t>
      </w:r>
    </w:p>
    <w:p>
      <w:pPr>
        <w:spacing w:after="160"/>
      </w:pPr>
      <w:r>
        <w:rPr>
          <w:rFonts w:ascii="Arial" w:cs="Arial" w:eastAsia="Arial" w:hAnsi="Arial"/>
          <w:b/>
          <w:bCs/>
          <w:i w:val="false"/>
          <w:iCs w:val="false"/>
          <w:color w:val="333333"/>
          <w:sz w:val="20"/>
          <w:szCs w:val="20"/>
        </w:rPr>
        <w:t xml:space="preserve">Compounding beyond 5 years </w:t>
      </w:r>
      <w:r>
        <w:rPr>
          <w:rFonts w:ascii="Arial" w:cs="Arial" w:eastAsia="Arial" w:hAnsi="Arial"/>
          <w:b w:val="false"/>
          <w:bCs w:val="false"/>
          <w:i w:val="false"/>
          <w:iCs w:val="false"/>
          <w:color w:val="333333"/>
          <w:sz w:val="20"/>
          <w:szCs w:val="20"/>
        </w:rPr>
        <w:t xml:space="preserve">— the model stops at 5 years, but these skills compound. A £78–82k role reached 12 months earlier compounds for your entire remaining career.</w:t>
      </w:r>
    </w:p>
    <w:p>
      <w:pPr>
        <w:spacing w:after="160"/>
      </w:pPr>
      <w:r>
        <w:rPr>
          <w:rFonts w:ascii="Arial" w:cs="Arial" w:eastAsia="Arial" w:hAnsi="Arial"/>
          <w:b/>
          <w:bCs/>
          <w:i w:val="false"/>
          <w:iCs w:val="false"/>
          <w:color w:val="333333"/>
          <w:sz w:val="20"/>
          <w:szCs w:val="20"/>
        </w:rPr>
        <w:t xml:space="preserve">Engagement and satisfaction </w:t>
      </w:r>
      <w:r>
        <w:rPr>
          <w:rFonts w:ascii="Arial" w:cs="Arial" w:eastAsia="Arial" w:hAnsi="Arial"/>
          <w:b w:val="false"/>
          <w:bCs w:val="false"/>
          <w:i w:val="false"/>
          <w:iCs w:val="false"/>
          <w:color w:val="333333"/>
          <w:sz w:val="20"/>
          <w:szCs w:val="20"/>
        </w:rPr>
        <w:t xml:space="preserve">— you’ve said your work feels laborious. Learning that makes your daily work more interesting has real but unquantifiable value.</w:t>
      </w:r>
    </w:p>
    <w:p>
      <w:pPr>
        <w:spacing w:after="160"/>
      </w:pPr>
      <w:r>
        <w:rPr>
          <w:rFonts w:ascii="Arial" w:cs="Arial" w:eastAsia="Arial" w:hAnsi="Arial"/>
          <w:b w:val="false"/>
          <w:bCs w:val="false"/>
          <w:i w:val="false"/>
          <w:iCs w:val="false"/>
          <w:color w:val="333333"/>
          <w:sz w:val="20"/>
          <w:szCs w:val="20"/>
        </w:rPr>
        <w:t xml:space="preserve">The true return is likely 2–3x what the NPV model shows. The model is deliberately conservative to give you confidence that even on a pessimistic basis, every recommended course pays back more than it costs.</w:t>
      </w:r>
    </w:p>
    <w:p>
      <w:pPr>
        <w:pStyle w:val="Heading2"/>
        <w:spacing w:before="360" w:after="200"/>
      </w:pPr>
      <w:r>
        <w:rPr>
          <w:rFonts w:ascii="Arial" w:cs="Arial" w:eastAsia="Arial" w:hAnsi="Arial"/>
          <w:b/>
          <w:bCs/>
          <w:color w:val="1B3A5C"/>
          <w:sz w:val="28"/>
          <w:szCs w:val="28"/>
        </w:rPr>
        <w:t xml:space="preserve">Courses Deliberately Excluded</w:t>
      </w:r>
    </w:p>
    <w:p>
      <w:pPr>
        <w:spacing w:after="160"/>
      </w:pPr>
      <w:r>
        <w:rPr>
          <w:rFonts w:ascii="Arial" w:cs="Arial" w:eastAsia="Arial" w:hAnsi="Arial"/>
          <w:b/>
          <w:bCs/>
          <w:i w:val="false"/>
          <w:iCs w:val="false"/>
          <w:color w:val="333333"/>
          <w:sz w:val="20"/>
          <w:szCs w:val="20"/>
        </w:rPr>
        <w:t xml:space="preserve">Power BI, Tableau, Excel courses </w:t>
      </w:r>
      <w:r>
        <w:rPr>
          <w:rFonts w:ascii="Arial" w:cs="Arial" w:eastAsia="Arial" w:hAnsi="Arial"/>
          <w:b w:val="false"/>
          <w:bCs w:val="false"/>
          <w:i w:val="false"/>
          <w:iCs w:val="false"/>
          <w:color w:val="333333"/>
          <w:sz w:val="20"/>
          <w:szCs w:val="20"/>
        </w:rPr>
        <w:t xml:space="preserve">— Level 3 apprenticeship territory. You either know this or can learn it from a tutorial.</w:t>
      </w:r>
    </w:p>
    <w:p>
      <w:pPr>
        <w:spacing w:after="160"/>
      </w:pPr>
      <w:r>
        <w:rPr>
          <w:rFonts w:ascii="Arial" w:cs="Arial" w:eastAsia="Arial" w:hAnsi="Arial"/>
          <w:b/>
          <w:bCs/>
          <w:i w:val="false"/>
          <w:iCs w:val="false"/>
          <w:color w:val="333333"/>
          <w:sz w:val="20"/>
          <w:szCs w:val="20"/>
        </w:rPr>
        <w:t xml:space="preserve">Full career paths (Data Scientist, BI Analyst) </w:t>
      </w:r>
      <w:r>
        <w:rPr>
          <w:rFonts w:ascii="Arial" w:cs="Arial" w:eastAsia="Arial" w:hAnsi="Arial"/>
          <w:b w:val="false"/>
          <w:bCs w:val="false"/>
          <w:i w:val="false"/>
          <w:iCs w:val="false"/>
          <w:color w:val="333333"/>
          <w:sz w:val="20"/>
          <w:szCs w:val="20"/>
        </w:rPr>
        <w:t xml:space="preserve">— 50–90 hours each with lots of content you don’t need. Cherry-pick instead.</w:t>
      </w:r>
    </w:p>
    <w:p>
      <w:pPr>
        <w:spacing w:after="160"/>
      </w:pPr>
      <w:r>
        <w:rPr>
          <w:rFonts w:ascii="Arial" w:cs="Arial" w:eastAsia="Arial" w:hAnsi="Arial"/>
          <w:b/>
          <w:bCs/>
          <w:i w:val="false"/>
          <w:iCs w:val="false"/>
          <w:color w:val="333333"/>
          <w:sz w:val="20"/>
          <w:szCs w:val="20"/>
        </w:rPr>
        <w:t xml:space="preserve">R programming </w:t>
      </w:r>
      <w:r>
        <w:rPr>
          <w:rFonts w:ascii="Arial" w:cs="Arial" w:eastAsia="Arial" w:hAnsi="Arial"/>
          <w:b w:val="false"/>
          <w:bCs w:val="false"/>
          <w:i w:val="false"/>
          <w:iCs w:val="false"/>
          <w:color w:val="333333"/>
          <w:sz w:val="20"/>
          <w:szCs w:val="20"/>
        </w:rPr>
        <w:t xml:space="preserve">— Python does everything R does and is more widely used. No point learning both.</w:t>
      </w:r>
    </w:p>
    <w:p>
      <w:pPr>
        <w:spacing w:after="160"/>
      </w:pPr>
      <w:r>
        <w:rPr>
          <w:rFonts w:ascii="Arial" w:cs="Arial" w:eastAsia="Arial" w:hAnsi="Arial"/>
          <w:b/>
          <w:bCs/>
          <w:i w:val="false"/>
          <w:iCs w:val="false"/>
          <w:color w:val="333333"/>
          <w:sz w:val="20"/>
          <w:szCs w:val="20"/>
        </w:rPr>
        <w:t xml:space="preserve">Deep learning, NLP, PyTorch </w:t>
      </w:r>
      <w:r>
        <w:rPr>
          <w:rFonts w:ascii="Arial" w:cs="Arial" w:eastAsia="Arial" w:hAnsi="Arial"/>
          <w:b w:val="false"/>
          <w:bCs w:val="false"/>
          <w:i w:val="false"/>
          <w:iCs w:val="false"/>
          <w:color w:val="333333"/>
          <w:sz w:val="20"/>
          <w:szCs w:val="20"/>
        </w:rPr>
        <w:t xml:space="preserve">— beyond what you need. Knowing they exist is enough.</w:t>
      </w:r>
    </w:p>
    <w:p>
      <w:pPr>
        <w:spacing w:after="160"/>
      </w:pPr>
      <w:r>
        <w:rPr>
          <w:rFonts w:ascii="Arial" w:cs="Arial" w:eastAsia="Arial" w:hAnsi="Arial"/>
          <w:b/>
          <w:bCs/>
          <w:i w:val="false"/>
          <w:iCs w:val="false"/>
          <w:color w:val="333333"/>
          <w:sz w:val="20"/>
          <w:szCs w:val="20"/>
        </w:rPr>
        <w:t xml:space="preserve">Cloud/DevOps certification paths </w:t>
      </w:r>
      <w:r>
        <w:rPr>
          <w:rFonts w:ascii="Arial" w:cs="Arial" w:eastAsia="Arial" w:hAnsi="Arial"/>
          <w:b w:val="false"/>
          <w:bCs w:val="false"/>
          <w:i w:val="false"/>
          <w:iCs w:val="false"/>
          <w:color w:val="333333"/>
          <w:sz w:val="20"/>
          <w:szCs w:val="20"/>
        </w:rPr>
        <w:t xml:space="preserve">— interesting but not your lane. Stay focused on data + AI + commercial application.</w:t>
      </w:r>
    </w:p>
    <w:sectPr>
      <w:headerReference w:type="default" r:id="rId8"/>
      <w:footerReference w:type="default" r:id="rId9"/>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Prepared for Peter — February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Prepared for Peter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Codecademy Pro — Curated Course Shortlist with NPV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Codecademy Pro — Curated Course Shortlist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2026-02-20T23:04:22.052Z</dcterms:created>
  <dcterms:modified xsi:type="dcterms:W3CDTF">2026-02-20T23:04:22.053Z</dcterms:modified>
</cp:coreProperties>
</file>

<file path=docProps/custom.xml><?xml version="1.0" encoding="utf-8"?>
<Properties xmlns="http://schemas.openxmlformats.org/officeDocument/2006/custom-properties" xmlns:vt="http://schemas.openxmlformats.org/officeDocument/2006/docPropsVTypes"/>
</file>