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jc w:val="center"/>
        <w:rPr>
          <w:sz w:val="48"/>
          <w:szCs w:val="48"/>
        </w:rPr>
      </w:pPr>
      <w:r>
        <w:rPr>
          <w:rFonts w:hint="eastAsia"/>
          <w:sz w:val="48"/>
          <w:szCs w:val="48"/>
          <w:lang w:eastAsia="zh-CN"/>
        </w:rPr>
        <w:t>姓名</w:t>
      </w:r>
    </w:p>
    <w:p>
      <w:pPr>
        <w:pStyle w:val="3"/>
        <w:jc w:val="center"/>
      </w:pPr>
      <w:r>
        <w:rPr>
          <w:rFonts w:hint="eastAsia" w:ascii="华文楷体" w:hAnsi="华文楷体" w:eastAsia="华文楷体"/>
          <w:lang w:eastAsia="zh-CN"/>
        </w:rPr>
        <w:t>地址</w:t>
      </w:r>
    </w:p>
    <w:p>
      <w:pPr>
        <w:pStyle w:val="3"/>
        <w:jc w:val="center"/>
      </w:pPr>
      <w:r>
        <w:rPr>
          <w:rFonts w:hint="eastAsia"/>
          <w:lang w:eastAsia="zh-CN"/>
        </w:rPr>
        <w:t>手机</w:t>
      </w:r>
      <w:r>
        <w:t xml:space="preserve"> | </w:t>
      </w:r>
      <w:bookmarkStart w:id="0" w:name="_GoBack"/>
      <w:bookmarkEnd w:id="0"/>
      <w:r>
        <w:rPr>
          <w:rFonts w:hint="eastAsia"/>
          <w:lang w:eastAsia="zh-CN"/>
        </w:rPr>
        <w:t>邮箱</w:t>
      </w:r>
    </w:p>
    <w:p>
      <w:pPr>
        <w:pBdr>
          <w:bottom w:val="single" w:color="auto" w:sz="4" w:space="1"/>
        </w:pBdr>
        <w:rPr>
          <w:b/>
        </w:rPr>
      </w:pPr>
    </w:p>
    <w:p>
      <w:pPr>
        <w:pBdr>
          <w:bottom w:val="single" w:color="auto" w:sz="4" w:space="1"/>
        </w:pBdr>
        <w:rPr>
          <w:b/>
        </w:rPr>
      </w:pPr>
      <w:r>
        <w:rPr>
          <w:rFonts w:hint="eastAsia"/>
          <w:b/>
        </w:rPr>
        <w:t>教育背景</w:t>
      </w:r>
    </w:p>
    <w:p>
      <w:pPr>
        <w:pStyle w:val="6"/>
      </w:pPr>
      <w:r>
        <w:rPr>
          <w:rFonts w:hint="eastAsia"/>
          <w:b/>
        </w:rPr>
        <w:t>复旦大学</w:t>
      </w:r>
      <w:r>
        <w:rPr>
          <w:b/>
        </w:rPr>
        <w:tab/>
      </w:r>
      <w:r>
        <w:rPr>
          <w:rFonts w:hint="eastAsia"/>
          <w:b/>
        </w:rPr>
        <w:t>中国上海</w:t>
      </w:r>
    </w:p>
    <w:p>
      <w:pPr>
        <w:pStyle w:val="6"/>
      </w:pPr>
      <w:r>
        <w:rPr>
          <w:rFonts w:hint="eastAsia" w:ascii="华文楷体" w:hAnsi="华文楷体" w:eastAsia="华文楷体"/>
        </w:rPr>
        <w:t>经济学院世界经济与贸易系</w:t>
      </w:r>
      <w:r>
        <w:tab/>
      </w:r>
      <w:r>
        <w:t>2014</w:t>
      </w:r>
      <w:r>
        <w:rPr>
          <w:rFonts w:hint="eastAsia"/>
        </w:rPr>
        <w:t>届</w:t>
      </w:r>
    </w:p>
    <w:p>
      <w:pPr>
        <w:pStyle w:val="6"/>
        <w:numPr>
          <w:ilvl w:val="0"/>
          <w:numId w:val="1"/>
        </w:numPr>
        <w:tabs>
          <w:tab w:val="left" w:pos="360"/>
        </w:tabs>
        <w:ind w:left="360"/>
        <w:rPr>
          <w:b/>
        </w:rPr>
      </w:pPr>
      <w:r>
        <w:rPr>
          <w:b/>
        </w:rPr>
        <w:t>GPA:</w:t>
      </w:r>
      <w:r>
        <w:t xml:space="preserve"> 3.11 / 4.0</w:t>
      </w:r>
    </w:p>
    <w:p>
      <w:pPr>
        <w:pStyle w:val="6"/>
        <w:numPr>
          <w:ilvl w:val="0"/>
          <w:numId w:val="1"/>
        </w:numPr>
        <w:tabs>
          <w:tab w:val="left" w:pos="360"/>
        </w:tabs>
        <w:ind w:left="360"/>
      </w:pPr>
      <w:r>
        <w:rPr>
          <w:rFonts w:hint="eastAsia"/>
          <w:b/>
        </w:rPr>
        <w:t>所获荣誉</w:t>
      </w:r>
      <w:r>
        <w:rPr>
          <w:b/>
        </w:rPr>
        <w:t>:</w:t>
      </w:r>
      <w:r>
        <w:t xml:space="preserve"> 2010</w:t>
      </w:r>
      <w:r>
        <w:rPr>
          <w:rFonts w:hint="eastAsia"/>
        </w:rPr>
        <w:t>年复旦大学新生奖学金</w:t>
      </w:r>
      <w:r>
        <w:t>; 2011 – 2012</w:t>
      </w:r>
      <w:r>
        <w:rPr>
          <w:rFonts w:hint="eastAsia"/>
        </w:rPr>
        <w:t>学年复旦大学三等奖学金</w:t>
      </w:r>
    </w:p>
    <w:p>
      <w:pPr>
        <w:pStyle w:val="6"/>
        <w:tabs>
          <w:tab w:val="left" w:pos="360"/>
        </w:tabs>
        <w:rPr>
          <w:b/>
        </w:rPr>
      </w:pPr>
    </w:p>
    <w:p>
      <w:pPr>
        <w:pStyle w:val="6"/>
      </w:pPr>
      <w:r>
        <w:rPr>
          <w:b/>
        </w:rPr>
        <w:t xml:space="preserve">CFL </w:t>
      </w:r>
      <w:r>
        <w:rPr>
          <w:rFonts w:hint="eastAsia"/>
          <w:b/>
        </w:rPr>
        <w:t>项目</w:t>
      </w:r>
      <w:r>
        <w:rPr>
          <w:b/>
        </w:rPr>
        <w:tab/>
      </w:r>
      <w:r>
        <w:rPr>
          <w:rFonts w:hint="eastAsia"/>
          <w:b/>
        </w:rPr>
        <w:t>美国</w:t>
      </w:r>
    </w:p>
    <w:p>
      <w:pPr>
        <w:pStyle w:val="6"/>
      </w:pPr>
      <w:r>
        <w:tab/>
      </w:r>
      <w:r>
        <w:t>2011</w:t>
      </w:r>
      <w:r>
        <w:rPr>
          <w:rFonts w:hint="eastAsia"/>
        </w:rPr>
        <w:t>.10</w:t>
      </w:r>
    </w:p>
    <w:p>
      <w:pPr>
        <w:pStyle w:val="6"/>
        <w:tabs>
          <w:tab w:val="left" w:pos="360"/>
        </w:tabs>
        <w:rPr>
          <w:b/>
        </w:rPr>
      </w:pPr>
    </w:p>
    <w:p>
      <w:pPr>
        <w:pStyle w:val="6"/>
        <w:pBdr>
          <w:bottom w:val="single" w:color="auto" w:sz="4" w:space="1"/>
        </w:pBdr>
        <w:tabs>
          <w:tab w:val="left" w:pos="360"/>
        </w:tabs>
        <w:rPr>
          <w:b/>
        </w:rPr>
      </w:pPr>
      <w:r>
        <w:rPr>
          <w:rFonts w:hint="eastAsia"/>
          <w:b/>
        </w:rPr>
        <w:t>工作和领导力经历</w:t>
      </w:r>
    </w:p>
    <w:p>
      <w:pPr>
        <w:pStyle w:val="6"/>
        <w:tabs>
          <w:tab w:val="left" w:pos="360"/>
        </w:tabs>
      </w:pPr>
      <w:r>
        <w:rPr>
          <w:rFonts w:hint="eastAsia"/>
          <w:b/>
        </w:rPr>
        <w:t>中国银行</w:t>
      </w:r>
      <w:r>
        <w:tab/>
      </w:r>
      <w:r>
        <w:rPr>
          <w:rFonts w:hint="eastAsia"/>
          <w:b/>
        </w:rPr>
        <w:t>中国上海</w:t>
      </w:r>
    </w:p>
    <w:p>
      <w:pPr>
        <w:pStyle w:val="6"/>
        <w:tabs>
          <w:tab w:val="left" w:pos="360"/>
        </w:tabs>
      </w:pPr>
      <w:r>
        <w:rPr>
          <w:rFonts w:hint="eastAsia" w:ascii="华文楷体" w:hAnsi="华文楷体" w:eastAsia="华文楷体"/>
        </w:rPr>
        <w:t>对公部门，银行职员</w:t>
      </w:r>
      <w:r>
        <w:tab/>
      </w:r>
      <w:r>
        <w:t>2011.</w:t>
      </w:r>
      <w:r>
        <w:rPr>
          <w:rFonts w:hint="eastAsia"/>
        </w:rPr>
        <w:t>6</w:t>
      </w:r>
      <w:r>
        <w:t xml:space="preserve"> –</w:t>
      </w:r>
      <w:r>
        <w:rPr>
          <w:rFonts w:hint="eastAsia"/>
        </w:rPr>
        <w:t xml:space="preserve"> </w:t>
      </w:r>
      <w:r>
        <w:t>2011</w:t>
      </w:r>
      <w:r>
        <w:rPr>
          <w:rFonts w:hint="eastAsia"/>
        </w:rPr>
        <w:t>.9</w:t>
      </w:r>
    </w:p>
    <w:p>
      <w:pPr>
        <w:pStyle w:val="6"/>
        <w:numPr>
          <w:ilvl w:val="0"/>
          <w:numId w:val="2"/>
        </w:num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整理凭据、核印鉴、协助办理企业开户手续</w:t>
      </w:r>
    </w:p>
    <w:p>
      <w:pPr>
        <w:pStyle w:val="6"/>
        <w:tabs>
          <w:tab w:val="left" w:pos="360"/>
        </w:tabs>
        <w:rPr>
          <w:b/>
        </w:rPr>
      </w:pPr>
    </w:p>
    <w:p>
      <w:pPr>
        <w:pStyle w:val="6"/>
        <w:tabs>
          <w:tab w:val="left" w:pos="360"/>
        </w:tabs>
      </w:pPr>
      <w:r>
        <w:rPr>
          <w:rFonts w:hint="eastAsia"/>
          <w:b/>
        </w:rPr>
        <w:t>毕马威华振会计师事务所</w:t>
      </w:r>
      <w:r>
        <w:tab/>
      </w:r>
      <w:r>
        <w:rPr>
          <w:rFonts w:hint="eastAsia"/>
          <w:b/>
        </w:rPr>
        <w:t>中国上海</w:t>
      </w:r>
    </w:p>
    <w:p>
      <w:pPr>
        <w:pStyle w:val="6"/>
        <w:tabs>
          <w:tab w:val="left" w:pos="360"/>
        </w:tabs>
      </w:pPr>
      <w:r>
        <w:rPr>
          <w:rFonts w:hint="eastAsia" w:ascii="华文楷体" w:hAnsi="华文楷体" w:eastAsia="华文楷体"/>
        </w:rPr>
        <w:t>精英计划及寒假实习生，审计员</w:t>
      </w:r>
      <w:r>
        <w:tab/>
      </w:r>
      <w:r>
        <w:t>2012.</w:t>
      </w:r>
      <w:r>
        <w:rPr>
          <w:rFonts w:hint="eastAsia"/>
        </w:rPr>
        <w:t>7</w:t>
      </w:r>
      <w:r>
        <w:t xml:space="preserve"> – 201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9 及 2013.1</w:t>
      </w:r>
      <w:r>
        <w:t xml:space="preserve"> –</w:t>
      </w:r>
      <w:r>
        <w:rPr>
          <w:rFonts w:hint="eastAsia"/>
        </w:rPr>
        <w:t xml:space="preserve"> 2013.3</w:t>
      </w:r>
    </w:p>
    <w:p>
      <w:pPr>
        <w:pStyle w:val="6"/>
        <w:numPr>
          <w:ilvl w:val="0"/>
          <w:numId w:val="2"/>
        </w:num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协助完成相关审计程序：抽凭、截止性测试，检查审计报告，完成</w:t>
      </w:r>
      <w:r>
        <w:rPr>
          <w:rFonts w:eastAsiaTheme="minorEastAsia"/>
        </w:rPr>
        <w:t>Msection</w:t>
      </w:r>
      <w:r>
        <w:rPr>
          <w:rFonts w:hint="eastAsia" w:asciiTheme="minorEastAsia" w:hAnsiTheme="minorEastAsia" w:eastAsiaTheme="minorEastAsia"/>
        </w:rPr>
        <w:t>的审计工作，协助编写审计工作底稿</w:t>
      </w:r>
    </w:p>
    <w:p>
      <w:pPr>
        <w:pStyle w:val="6"/>
      </w:pPr>
    </w:p>
    <w:p>
      <w:pPr>
        <w:pStyle w:val="6"/>
        <w:tabs>
          <w:tab w:val="left" w:pos="360"/>
        </w:tabs>
      </w:pPr>
      <w:r>
        <w:rPr>
          <w:rFonts w:hint="eastAsia"/>
          <w:b/>
        </w:rPr>
        <w:t>光夏投资管理公司</w:t>
      </w:r>
      <w:r>
        <w:tab/>
      </w:r>
      <w:r>
        <w:rPr>
          <w:rFonts w:hint="eastAsia"/>
          <w:b/>
        </w:rPr>
        <w:t xml:space="preserve"> 中国上海</w:t>
      </w:r>
    </w:p>
    <w:p>
      <w:pPr>
        <w:pStyle w:val="6"/>
        <w:tabs>
          <w:tab w:val="left" w:pos="360"/>
        </w:tabs>
      </w:pPr>
      <w:r>
        <w:rPr>
          <w:rFonts w:hint="eastAsia" w:ascii="华文楷体" w:hAnsi="华文楷体" w:eastAsia="华文楷体"/>
        </w:rPr>
        <w:t>外汇交易员</w:t>
      </w:r>
      <w:r>
        <w:tab/>
      </w:r>
      <w:r>
        <w:t>2012.9 – 2013.12</w:t>
      </w:r>
    </w:p>
    <w:p>
      <w:pPr>
        <w:pStyle w:val="6"/>
        <w:numPr>
          <w:ilvl w:val="0"/>
          <w:numId w:val="2"/>
        </w:numPr>
        <w:rPr>
          <w:rFonts w:eastAsiaTheme="minorEastAsia"/>
        </w:rPr>
      </w:pPr>
      <w:r>
        <w:rPr>
          <w:rFonts w:hint="eastAsia" w:asciiTheme="minorEastAsia" w:hAnsiTheme="minorEastAsia" w:eastAsiaTheme="minorEastAsia"/>
        </w:rPr>
        <w:t>收益率</w:t>
      </w:r>
      <w:r>
        <w:rPr>
          <w:rFonts w:eastAsiaTheme="minorEastAsia"/>
        </w:rPr>
        <w:t>200%+</w:t>
      </w:r>
    </w:p>
    <w:p>
      <w:pPr>
        <w:pStyle w:val="6"/>
        <w:tabs>
          <w:tab w:val="left" w:pos="360"/>
        </w:tabs>
        <w:rPr>
          <w:b/>
        </w:rPr>
      </w:pPr>
    </w:p>
    <w:p>
      <w:pPr>
        <w:pStyle w:val="6"/>
        <w:tabs>
          <w:tab w:val="left" w:pos="360"/>
        </w:tabs>
      </w:pPr>
      <w:r>
        <w:rPr>
          <w:rFonts w:hint="eastAsia"/>
          <w:b/>
        </w:rPr>
        <w:t>东方证券有限公司</w:t>
      </w:r>
      <w:r>
        <w:tab/>
      </w:r>
      <w:r>
        <w:rPr>
          <w:rFonts w:hint="eastAsia"/>
          <w:b/>
        </w:rPr>
        <w:t>中国上海</w:t>
      </w:r>
    </w:p>
    <w:p>
      <w:pPr>
        <w:pStyle w:val="6"/>
        <w:tabs>
          <w:tab w:val="left" w:pos="360"/>
        </w:tabs>
      </w:pPr>
      <w:r>
        <w:rPr>
          <w:rFonts w:hint="eastAsia" w:ascii="华文楷体" w:hAnsi="华文楷体" w:eastAsia="华文楷体"/>
        </w:rPr>
        <w:t>机构业务总部，助理</w:t>
      </w:r>
      <w:r>
        <w:tab/>
      </w:r>
      <w:r>
        <w:t>2013.4 –</w:t>
      </w:r>
      <w:r>
        <w:rPr>
          <w:rFonts w:hint="eastAsia"/>
        </w:rPr>
        <w:t xml:space="preserve"> </w:t>
      </w:r>
      <w:r>
        <w:t>2013.7</w:t>
      </w:r>
    </w:p>
    <w:p>
      <w:pPr>
        <w:pStyle w:val="6"/>
        <w:numPr>
          <w:ilvl w:val="0"/>
          <w:numId w:val="2"/>
        </w:num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整理相关政府类及信托类的项目概要，打电话询问相关客户的合作意向，按照模板完成相关基金评估报告等</w:t>
      </w:r>
    </w:p>
    <w:p>
      <w:pPr>
        <w:pStyle w:val="6"/>
        <w:tabs>
          <w:tab w:val="left" w:pos="360"/>
        </w:tabs>
        <w:rPr>
          <w:b/>
        </w:rPr>
      </w:pPr>
    </w:p>
    <w:p>
      <w:pPr>
        <w:pStyle w:val="6"/>
        <w:tabs>
          <w:tab w:val="left" w:pos="360"/>
        </w:tabs>
      </w:pPr>
      <w:r>
        <w:rPr>
          <w:rFonts w:hint="eastAsia"/>
          <w:b/>
        </w:rPr>
        <w:t>欧莱雅</w:t>
      </w:r>
      <w:r>
        <w:tab/>
      </w:r>
      <w:r>
        <w:rPr>
          <w:rFonts w:hint="eastAsia"/>
          <w:b/>
        </w:rPr>
        <w:t>中国上海</w:t>
      </w:r>
    </w:p>
    <w:p>
      <w:pPr>
        <w:pStyle w:val="6"/>
        <w:tabs>
          <w:tab w:val="left" w:pos="360"/>
        </w:tabs>
      </w:pPr>
      <w:r>
        <w:rPr>
          <w:rFonts w:hint="eastAsia" w:ascii="华文楷体" w:hAnsi="华文楷体" w:eastAsia="华文楷体"/>
        </w:rPr>
        <w:t>暑期实习生</w:t>
      </w:r>
      <w:r>
        <w:rPr>
          <w:rFonts w:ascii="华文楷体" w:hAnsi="华文楷体" w:eastAsia="华文楷体"/>
        </w:rPr>
        <w:t>, Finance Controller</w:t>
      </w:r>
      <w:r>
        <w:tab/>
      </w:r>
      <w:r>
        <w:t xml:space="preserve">2013.7 –  </w:t>
      </w:r>
      <w:r>
        <w:rPr>
          <w:rFonts w:hint="eastAsia"/>
        </w:rPr>
        <w:t>至今</w:t>
      </w:r>
    </w:p>
    <w:p>
      <w:pPr>
        <w:pStyle w:val="6"/>
        <w:tabs>
          <w:tab w:val="left" w:pos="360"/>
        </w:tabs>
        <w:rPr>
          <w:b/>
        </w:rPr>
      </w:pPr>
      <w:r>
        <w:rPr>
          <w:b/>
        </w:rPr>
        <w:t xml:space="preserve"> </w:t>
      </w:r>
    </w:p>
    <w:p>
      <w:pPr>
        <w:pStyle w:val="6"/>
        <w:tabs>
          <w:tab w:val="left" w:pos="360"/>
        </w:tabs>
      </w:pPr>
      <w:r>
        <w:rPr>
          <w:rFonts w:hint="eastAsia"/>
          <w:b/>
        </w:rPr>
        <w:t>复旦大学学术部</w:t>
      </w:r>
      <w:r>
        <w:tab/>
      </w:r>
      <w:r>
        <w:rPr>
          <w:rFonts w:hint="eastAsia"/>
          <w:b/>
        </w:rPr>
        <w:t>中国上海</w:t>
      </w:r>
    </w:p>
    <w:p>
      <w:pPr>
        <w:pStyle w:val="6"/>
        <w:tabs>
          <w:tab w:val="left" w:pos="360"/>
        </w:tabs>
      </w:pPr>
      <w:r>
        <w:rPr>
          <w:rFonts w:hint="eastAsia" w:ascii="华文楷体" w:hAnsi="华文楷体" w:eastAsia="华文楷体"/>
        </w:rPr>
        <w:t>副部长</w:t>
      </w:r>
      <w:r>
        <w:tab/>
      </w:r>
      <w:r>
        <w:t>2012.</w:t>
      </w:r>
      <w:r>
        <w:rPr>
          <w:rFonts w:hint="eastAsia"/>
        </w:rPr>
        <w:t>9</w:t>
      </w:r>
      <w:r>
        <w:t xml:space="preserve"> – 201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7</w:t>
      </w:r>
    </w:p>
    <w:p>
      <w:pPr>
        <w:pStyle w:val="6"/>
        <w:tabs>
          <w:tab w:val="left" w:pos="360"/>
        </w:tabs>
        <w:rPr>
          <w:b/>
        </w:rPr>
      </w:pPr>
    </w:p>
    <w:p>
      <w:pPr>
        <w:pStyle w:val="6"/>
        <w:pBdr>
          <w:bottom w:val="single" w:color="auto" w:sz="4" w:space="1"/>
        </w:pBdr>
        <w:tabs>
          <w:tab w:val="left" w:pos="360"/>
        </w:tabs>
        <w:rPr>
          <w:b/>
        </w:rPr>
      </w:pPr>
      <w:r>
        <w:rPr>
          <w:rFonts w:hint="eastAsia"/>
          <w:b/>
        </w:rPr>
        <w:t>技能，活动和兴趣</w:t>
      </w:r>
    </w:p>
    <w:p>
      <w:pPr>
        <w:pStyle w:val="6"/>
      </w:pPr>
      <w:r>
        <w:rPr>
          <w:rFonts w:hint="eastAsia"/>
          <w:b/>
        </w:rPr>
        <w:t>语言</w:t>
      </w:r>
      <w:r>
        <w:rPr>
          <w:b/>
        </w:rPr>
        <w:t>:</w:t>
      </w:r>
      <w:r>
        <w:t xml:space="preserve"> </w:t>
      </w:r>
      <w:r>
        <w:rPr>
          <w:rFonts w:hint="eastAsia"/>
        </w:rPr>
        <w:t>良好的英语口语和写作能力，四六级600+</w:t>
      </w:r>
    </w:p>
    <w:p>
      <w:pPr>
        <w:pStyle w:val="6"/>
      </w:pPr>
      <w:r>
        <w:rPr>
          <w:rFonts w:hint="eastAsia"/>
          <w:b/>
        </w:rPr>
        <w:t>技术技能</w:t>
      </w:r>
      <w:r>
        <w:rPr>
          <w:b/>
        </w:rPr>
        <w:t>:</w:t>
      </w:r>
      <w:r>
        <w:t xml:space="preserve"> Visual Basic </w:t>
      </w:r>
      <w:r>
        <w:rPr>
          <w:rFonts w:hint="eastAsia"/>
        </w:rPr>
        <w:t>编程，熟练使用 Photo</w:t>
      </w:r>
      <w:r>
        <w:t>s</w:t>
      </w:r>
      <w:r>
        <w:rPr>
          <w:rFonts w:hint="eastAsia"/>
        </w:rPr>
        <w:t>hop 和 Flash 等</w:t>
      </w:r>
      <w:r>
        <w:t xml:space="preserve"> </w:t>
      </w:r>
      <w:r>
        <w:rPr>
          <w:rFonts w:hint="eastAsia"/>
        </w:rPr>
        <w:t>软件</w:t>
      </w:r>
    </w:p>
    <w:p>
      <w:pPr>
        <w:pStyle w:val="6"/>
      </w:pPr>
      <w:r>
        <w:rPr>
          <w:rFonts w:hint="eastAsia"/>
          <w:b/>
        </w:rPr>
        <w:t>证书</w:t>
      </w:r>
      <w:r>
        <w:t xml:space="preserve">: </w:t>
      </w:r>
      <w:r>
        <w:rPr>
          <w:rFonts w:hint="eastAsia"/>
        </w:rPr>
        <w:t>上海高级口译证书，全国计算机二级证书，证券从业资格证，国家二级运动员</w:t>
      </w:r>
    </w:p>
    <w:p>
      <w:pPr>
        <w:pStyle w:val="6"/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00007A87" w:usb1="80000000" w:usb2="00000008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12792514">
    <w:nsid w:val="6C0D04C2"/>
    <w:multiLevelType w:val="multilevel"/>
    <w:tmpl w:val="6C0D04C2"/>
    <w:lvl w:ilvl="0" w:tentative="1">
      <w:start w:val="1"/>
      <w:numFmt w:val="bullet"/>
      <w:lvlText w:val=""/>
      <w:lvlJc w:val="left"/>
      <w:pPr>
        <w:tabs>
          <w:tab w:val="left" w:pos="4584"/>
        </w:tabs>
        <w:ind w:left="4584" w:hanging="360"/>
      </w:pPr>
      <w:rPr>
        <w:rFonts w:hint="default" w:ascii="Symbol" w:hAnsi="Symbol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131700905">
    <w:nsid w:val="7F0F2CA9"/>
    <w:multiLevelType w:val="multilevel"/>
    <w:tmpl w:val="7F0F2CA9"/>
    <w:lvl w:ilvl="0" w:tentative="1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auto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812792514"/>
  </w:num>
  <w:num w:numId="2">
    <w:abstractNumId w:val="21317009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20"/>
  <w:displayHorizontalDrawingGridEvery w:val="2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3EB1"/>
    <w:rsid w:val="000116A9"/>
    <w:rsid w:val="000138AC"/>
    <w:rsid w:val="00020CC4"/>
    <w:rsid w:val="00071171"/>
    <w:rsid w:val="00082D9A"/>
    <w:rsid w:val="00083964"/>
    <w:rsid w:val="0009369A"/>
    <w:rsid w:val="000A35B7"/>
    <w:rsid w:val="000A4785"/>
    <w:rsid w:val="000B1E21"/>
    <w:rsid w:val="000E0988"/>
    <w:rsid w:val="00106541"/>
    <w:rsid w:val="00137332"/>
    <w:rsid w:val="0018476A"/>
    <w:rsid w:val="00185CD2"/>
    <w:rsid w:val="0019316F"/>
    <w:rsid w:val="0019481D"/>
    <w:rsid w:val="001957D7"/>
    <w:rsid w:val="001A44D4"/>
    <w:rsid w:val="001A4991"/>
    <w:rsid w:val="001B541A"/>
    <w:rsid w:val="001D02CE"/>
    <w:rsid w:val="001F5B53"/>
    <w:rsid w:val="002027E2"/>
    <w:rsid w:val="002709FE"/>
    <w:rsid w:val="002841ED"/>
    <w:rsid w:val="00286FD6"/>
    <w:rsid w:val="002F10F0"/>
    <w:rsid w:val="00302179"/>
    <w:rsid w:val="003022AB"/>
    <w:rsid w:val="00306DCB"/>
    <w:rsid w:val="00336913"/>
    <w:rsid w:val="003427EC"/>
    <w:rsid w:val="0035740F"/>
    <w:rsid w:val="00387715"/>
    <w:rsid w:val="003A5400"/>
    <w:rsid w:val="003D50F3"/>
    <w:rsid w:val="003E3CE7"/>
    <w:rsid w:val="003F4D3C"/>
    <w:rsid w:val="003F4FE8"/>
    <w:rsid w:val="00412B92"/>
    <w:rsid w:val="004234C3"/>
    <w:rsid w:val="00454A55"/>
    <w:rsid w:val="00486223"/>
    <w:rsid w:val="004D0187"/>
    <w:rsid w:val="004E2A56"/>
    <w:rsid w:val="004E7233"/>
    <w:rsid w:val="005116B3"/>
    <w:rsid w:val="00533A66"/>
    <w:rsid w:val="005465C8"/>
    <w:rsid w:val="00584767"/>
    <w:rsid w:val="00584EA5"/>
    <w:rsid w:val="00586FA6"/>
    <w:rsid w:val="005A7E86"/>
    <w:rsid w:val="00607ACA"/>
    <w:rsid w:val="006202A8"/>
    <w:rsid w:val="006353C5"/>
    <w:rsid w:val="00670973"/>
    <w:rsid w:val="006766D4"/>
    <w:rsid w:val="006820D9"/>
    <w:rsid w:val="00697F98"/>
    <w:rsid w:val="006A4099"/>
    <w:rsid w:val="006A5CE4"/>
    <w:rsid w:val="006C15A9"/>
    <w:rsid w:val="00705DA0"/>
    <w:rsid w:val="00712F91"/>
    <w:rsid w:val="007162F1"/>
    <w:rsid w:val="00721D00"/>
    <w:rsid w:val="00740599"/>
    <w:rsid w:val="00751BA0"/>
    <w:rsid w:val="007717D0"/>
    <w:rsid w:val="007B1F7E"/>
    <w:rsid w:val="007D53B0"/>
    <w:rsid w:val="007E18D2"/>
    <w:rsid w:val="00820D5D"/>
    <w:rsid w:val="0082567A"/>
    <w:rsid w:val="008346D8"/>
    <w:rsid w:val="00837785"/>
    <w:rsid w:val="0084051A"/>
    <w:rsid w:val="00842C15"/>
    <w:rsid w:val="00846C6E"/>
    <w:rsid w:val="00864C6E"/>
    <w:rsid w:val="008653FE"/>
    <w:rsid w:val="0087141A"/>
    <w:rsid w:val="008B4FAC"/>
    <w:rsid w:val="008B5E04"/>
    <w:rsid w:val="008F0CE6"/>
    <w:rsid w:val="008F2C40"/>
    <w:rsid w:val="008F4566"/>
    <w:rsid w:val="008F4FE8"/>
    <w:rsid w:val="009335E2"/>
    <w:rsid w:val="0096007A"/>
    <w:rsid w:val="009659EC"/>
    <w:rsid w:val="00984949"/>
    <w:rsid w:val="009A26D0"/>
    <w:rsid w:val="009B0E71"/>
    <w:rsid w:val="009E6A85"/>
    <w:rsid w:val="009F3B83"/>
    <w:rsid w:val="009F6C57"/>
    <w:rsid w:val="00A16FD1"/>
    <w:rsid w:val="00A20ED7"/>
    <w:rsid w:val="00A30C5F"/>
    <w:rsid w:val="00A3687D"/>
    <w:rsid w:val="00A84434"/>
    <w:rsid w:val="00AB36F5"/>
    <w:rsid w:val="00AB4FA1"/>
    <w:rsid w:val="00B075B3"/>
    <w:rsid w:val="00B269FC"/>
    <w:rsid w:val="00B613F3"/>
    <w:rsid w:val="00B71685"/>
    <w:rsid w:val="00B745E0"/>
    <w:rsid w:val="00BA04FC"/>
    <w:rsid w:val="00BA5D19"/>
    <w:rsid w:val="00BB7279"/>
    <w:rsid w:val="00BB73F6"/>
    <w:rsid w:val="00C06D1B"/>
    <w:rsid w:val="00C16E48"/>
    <w:rsid w:val="00C234C8"/>
    <w:rsid w:val="00C40C6D"/>
    <w:rsid w:val="00C751C9"/>
    <w:rsid w:val="00C77A50"/>
    <w:rsid w:val="00C875EA"/>
    <w:rsid w:val="00C9001D"/>
    <w:rsid w:val="00C92D6E"/>
    <w:rsid w:val="00C975CD"/>
    <w:rsid w:val="00CB64E5"/>
    <w:rsid w:val="00CD4E14"/>
    <w:rsid w:val="00CD5116"/>
    <w:rsid w:val="00CE5487"/>
    <w:rsid w:val="00D030BD"/>
    <w:rsid w:val="00D06C0F"/>
    <w:rsid w:val="00D34602"/>
    <w:rsid w:val="00D45540"/>
    <w:rsid w:val="00D71D20"/>
    <w:rsid w:val="00D8713B"/>
    <w:rsid w:val="00DF3B62"/>
    <w:rsid w:val="00E21F10"/>
    <w:rsid w:val="00E2433B"/>
    <w:rsid w:val="00E34551"/>
    <w:rsid w:val="00E549B5"/>
    <w:rsid w:val="00E7137C"/>
    <w:rsid w:val="00E93622"/>
    <w:rsid w:val="00ED6DB9"/>
    <w:rsid w:val="00EF3B9B"/>
    <w:rsid w:val="00F3000F"/>
    <w:rsid w:val="00F602BA"/>
    <w:rsid w:val="00F9119D"/>
    <w:rsid w:val="00F97027"/>
    <w:rsid w:val="00FB5F14"/>
    <w:rsid w:val="00FC6CC6"/>
    <w:rsid w:val="00FD1953"/>
    <w:rsid w:val="00FF1314"/>
    <w:rsid w:val="106C3948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3">
    <w:name w:val="header"/>
    <w:basedOn w:val="1"/>
    <w:uiPriority w:val="0"/>
    <w:pPr>
      <w:tabs>
        <w:tab w:val="center" w:pos="4320"/>
        <w:tab w:val="right" w:pos="8640"/>
      </w:tabs>
    </w:pPr>
  </w:style>
  <w:style w:type="paragraph" w:customStyle="1" w:styleId="6">
    <w:name w:val="Resume Align Right"/>
    <w:basedOn w:val="1"/>
    <w:uiPriority w:val="0"/>
    <w:pPr>
      <w:tabs>
        <w:tab w:val="right" w:pos="10080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Corporation</Company>
  <Pages>1</Pages>
  <Words>106</Words>
  <Characters>605</Characters>
  <Lines>5</Lines>
  <Paragraphs>1</Paragraphs>
  <TotalTime>0</TotalTime>
  <ScaleCrop>false</ScaleCrop>
  <LinksUpToDate>false</LinksUpToDate>
  <CharactersWithSpaces>710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2013-07-30T03:09:00Z</dcterms:created>
  <dc:creator>Resume Editing</dc:creator>
  <cp:lastModifiedBy>Administrator</cp:lastModifiedBy>
  <dcterms:modified xsi:type="dcterms:W3CDTF">2015-12-13T08:46:06Z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