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A.S.D. EVOLUTION SPORT</w:t>
      </w:r>
    </w:p>
    <w:p>
      <w:pPr>
        <w:spacing w:after="40"/>
        <w:jc w:val="center"/>
      </w:pPr>
      <w:r>
        <w:rPr>
          <w:color w:val="C4A35A"/>
          <w:sz w:val="24"/>
          <w:szCs w:val="24"/>
        </w:rPr>
        <w:t xml:space="preserve">✦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pacing w:val="200"/>
          <w:sz w:val="20"/>
          <w:szCs w:val="20"/>
        </w:rPr>
        <w:t xml:space="preserve">MIND MOVEMENT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400"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C4A35A"/>
          <w:spacing w:val="300"/>
          <w:sz w:val="18"/>
          <w:szCs w:val="18"/>
        </w:rPr>
        <w:t xml:space="preserve">PNL &amp; CARISMA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GRIGLIA DI VALUTAZIONE
PERFORMANCE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C3E50"/>
          <w:sz w:val="22"/>
          <w:szCs w:val="22"/>
        </w:rPr>
        <w:t xml:space="preserve">Le 10 Dimensioni del Carisma Comunicativo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pacing w:val="200"/>
          <w:sz w:val="18"/>
          <w:szCs w:val="18"/>
        </w:rPr>
        <w:t xml:space="preserve">MIND MOVEMENT ACADEMY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2C3E50"/>
          <w:sz w:val="20"/>
          <w:szCs w:val="20"/>
        </w:rPr>
        <w:t xml:space="preserve">Sezione Crescita Personale &amp; Comunicazione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LE 10 DIMENSIONI DEL CARISMA COMUNICATIVO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Questa griglia è lo strumento di valutazione principale del percorso. Viene usata per le Performance Intermedia (Giorno 5) e Finale (Giorno 6), ma anche per l’autovalutazione continua durante il Protocollo dei 30 Giorni. Ogni dimensione viene valutata da 1 (minimo) a 10 (eccellenza).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1. PRESENZA E RADICAMENTO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Il comunicatore appare centrato, stabile, “a terra”. La sua energia è calma e solida. Non è agitato, non oscilla, non si muove nervosamente.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Piedi stabili, peso distribuito equamente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Respirazione visibilmente calma e profonda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Assenza di movimenti nervosi (dondolio, toccarsi il viso, agitare le mani)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Sensazione di “peso” e solidità percepita dal pubblico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Capacità di stare fermi e in silenzio senza disagio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Linea Profonda Anteriore attiva, diaframma libero, tono vagale ventrale, attivazione propriocettiva plantare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2. RAPPORT CON IL PUBBLICO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Il comunicatore crea connessione con l’audience: li guarda, li include, si sintonizza al loro stato. Il pubblico si sente “visto”.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Contatto visivo distribuito (non fissare un punto o una persona)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Linguaggio inclusivo (“noi”, domande retoriche)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Mirroring sottile dell’energia del pubblico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Calibrazione: adattare il ritmo e il tono alla risposta del pubblico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Apertura corporea verso il pubblico (non braccia conserte, non spalle chiuse)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Co-regolazione del SNA, attivazione neuroni specchio, rapport fasciale (diaframma aperto = invito alla connessione)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3. VARIAZIONE VOCALE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La voce è espressiva, varia, musicale. Il comunicatore usa consapevolmente velocità, volume, tono e pause.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Almeno 3 variazioni di velocità (rallentare nei momenti importanti, accelerare nell’entusiasmo)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Uso del volume (sussurro per intimità, volume per autorità)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Variazione del tono (grave per serietà, acuto per energia)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Pause strategiche (prima delle frasi chiave, dopo le domande)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Voce che “risuona” nel corpo (non nasale, non strozzata)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Deep Front Line libera (diaframma-ioide-mandibola), attivazione vagale attraverso la laringe, risonanza toracica e cranica</w:t>
            </w:r>
          </w:p>
        </w:tc>
      </w:tr>
    </w:tbl>
    <w:p>
      <w:r>
        <w:br w:type="page"/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4. PATTERN LINGUISTICI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Il comunicatore usa consapevolmente i pattern Milton Model: presupposizioni, comandi nascosti, nominalizzazioni, double binds.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Almeno 5 pattern Milton identificabili nella presentazione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Uso fluido e naturale (non meccanico o forzato)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Embedded commands sottolineati con analog marking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Linguaggio che “apre” possibilità piuttosto che chiuderle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Yes sets e truismi per creare engagement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Integrazione della consapevolezza linguistica con la presenza corporea — i pattern sono più efficaci quando il corpo li “sostiene”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5. STRUTTURA NARRATIVA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La presentazione segue un arco narrativo chiaro: apertura, sviluppo, climax, chiusura. Eventuale uso della struttura in 5 fasi.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Gancio efficace nei primi 30 secondi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Arco narrativo con tensione e risoluzione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Uso di almeno una storia o metafora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Dettagli sensoriali VAK nella narrazione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Messaggio chiaro e memorabile alla fine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Call-to-action (esplicita o implicita)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Neural coupling narratore-pubblico, storytelling somatico (il corpo vive la storia), rilascio cortisolo-ossitocina-dopamina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6. CONGRUENZA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Pensiero, emozione, parola e corpo sono allineati. Il comunicatore “è” ciò che dice. Non c’è dissonanza percepibile.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Allineamento tra contenuto verbale e linguaggio corporeo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Espressione facciale coerente con le parole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Gestualità che amplifica (non contraddice) il messaggio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Energia emotiva percepita come autentica (non recitata)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Assenza di “micro-leak” (micro-espressioni incongruenti)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Tutte le catene miofasciali in sincronia con il messaggio, SNA in stato ventral vagale (sicurezza), assenza di pattern di stress</w:t>
            </w:r>
          </w:p>
        </w:tc>
      </w:tr>
    </w:tbl>
    <w:p>
      <w:r>
        <w:br w:type="page"/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7. GESTIONE DELLO SPAZIO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Il comunicatore usa lo spazio fisico in modo intenzionale: si muove con scopo, usa le zone del palco, gestisce la distanza.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Movimenti intenzionali (non vagare senza scopo)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Uso delle zone: centro (autorità), avanti (intimità), lato (transizione)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Ancoraggio spaziale (associare un punto a un tema/emozione)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Apertura dello spazio (non restare nascosti dietro un leggio)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Distanza appropriata dal pubblico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Consapevolezza propriocettiva completa, la Linea Laterale di Myers gestisce l’equilibrio e il movimento laterale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8. IMPATTO EMOTIVO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Il pubblico “sente qualcosa”. La presentazione crea un’esperienza emotiva, non solo intellettuale.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Il pubblico mostra reazioni emotive (sorrisi, cenni, espressioni intense)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Momenti di “pelle d’oca” o silenzio profondo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Applauso spontaneo o reazione vocale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 partecipanti ricordano come si sono sentiti, non solo cosa è stato detto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Sensazione di “campo emotivo” nella stanza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Attivazione del campo relazionale, co-regolazione emotiva attraverso il SNA, biochimica della connessione (ossitocina)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9. GESTIONE Q&amp;A / IMPROVVISAZIONE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Capacità di rispondere a domande, obiezioni e imprevisti mantenendo presenza e carisma.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Ascolto completo della domanda prima di rispondere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Pause di riflessione (non risposte affrettate)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Riformulazione della domanda (rapport con chi chiede)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Risposte strutturate (non divaganti)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Mantenimento dello stato di presenza anche sotto pressione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Uso di pattern Milton o metafore nelle risposte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Finestra di tolleranza ampia, SNA regolato anche sotto stress, flessibilità cognitiva (corteccia prefrontale attiva)</w:t>
            </w:r>
          </w:p>
        </w:tc>
      </w:tr>
    </w:tbl>
    <w:p>
      <w:r>
        <w:br w:type="page"/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A35A" w:sz="3"/>
              <w:left w:val="single" w:color="C4A35A" w:sz="3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A2E"/>
                <w:sz w:val="22"/>
                <w:szCs w:val="22"/>
              </w:rPr>
              <w:t xml:space="preserve">10. CARISMA COMPLESSIVO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La valutazione globale: al di là delle singole dimensioni, questa persona trasmette “qualcosa” che attira, ispira e coinvolge?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Indicatori osservabili: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 persone vogliono ascoltarla di più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Sensazione di autenticità e magnetismo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Equilibrio dei 3 Pilastri (Potere + Calore + Focus)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Il pubblico si sente “meglio” dopo averla ascoltata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Ricordo duraturo: il messaggio resta nella mente dopo giorni</w:t>
            </w:r>
          </w:p>
          <w:p>
            <w:pPr>
              <w:spacing w:before="40" w:after="0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4A35A"/>
                <w:sz w:val="17"/>
                <w:szCs w:val="17"/>
              </w:rPr>
              <w:t xml:space="preserve">✦ Mind Movement: Sistema mente-corpo-spirito integrato: PNEI in equilibrio, SNA ventral vagale dominante, catene fasciali libere, campo relazionale espanso, congruenza totale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GRIGLIA DI VALUTAZIONE —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C4A35A" w:sz="6"/>
              <w:right w:val="none" w:sz="0"/>
            </w:tcBorders>
          </w:tcPr>
          <w:p/>
        </w:tc>
      </w:tr>
    </w:tbl>
    <w:p>
      <w:pPr>
        <w:spacing w:before="80" w:after="0"/>
      </w:pPr>
    </w:p>
    <w:p>
      <w:pPr>
        <w:spacing w:before="80" w:after="8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Fotocopia questa pagina per ogni performance valutata. Una copia per il docente, una per il partecipante.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Partecipante: ___________________________________  Data: ____/____/____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Tipo: □ Performance Intermedia (G5)   □ Performance Finale (G6)   □ Autovalutazione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VOTO (1-10)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 / SUGGERIMENTI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1. PRESENZA E RADICAMENTO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2. RAPPORT CON IL PUBBLICO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3. VARIAZIONE VOCALE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4. PATTERN LINGUISTICI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5. STRUTTURA NARRATIVA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6. CONGRUENZA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7. GESTIONE DELLO SPAZIO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8. IMPATTO EMOTIVO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9. GESTIONE Q&amp;A / IMPROVVISAZIONE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10. CARISMA COMPLESSIVO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MEDIA TOTALE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80"/>
              <w:bottom w:type="dxa" w:w="200"/>
              <w:right w:type="dxa" w:w="80"/>
            </w:tcMar>
          </w:tcPr>
          <w:p/>
        </w:tc>
      </w:tr>
    </w:tbl>
    <w:p>
      <w:pPr>
        <w:spacing w:before="100" w:after="0"/>
      </w:pP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Punto di forza principale: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Area di miglioramento principale: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Suggerimento specifico per il miglioramento: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0" w:after="0"/>
      </w:pPr>
      <w:r>
        <w:rPr>
          <w:rFonts w:ascii="Calibri" w:cs="Calibri" w:eastAsia="Calibri" w:hAnsi="Calibri"/>
          <w:color w:val="E8E8E8"/>
          <w:sz w:val="18"/>
          <w:szCs w:val="18"/>
        </w:rPr>
        <w:t xml:space="preserve">________________________________________________________________________________</w:t>
      </w:r>
    </w:p>
    <w:p>
      <w:pPr>
        <w:spacing w:before="200" w:after="0"/>
      </w:pPr>
    </w:p>
    <w:p>
      <w:pPr>
        <w:jc w:val="right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Firma Valutatore: 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Griglia Valutazione Performance — Mind Movement Academy — Pag.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A.S.D. EVOLUTION SPORT </w:t>
    </w:r>
    <w:r>
      <w:rPr>
        <w:color w:val="C4A35A"/>
        <w:sz w:val="16"/>
        <w:szCs w:val="16"/>
      </w:rPr>
      <w:t xml:space="preserve">✦</w:t>
    </w:r>
    <w:r>
      <w:rPr>
        <w:rFonts w:ascii="Calibri" w:cs="Calibri" w:eastAsia="Calibri" w:hAnsi="Calibri"/>
        <w:color w:val="666666"/>
        <w:sz w:val="16"/>
        <w:szCs w:val="16"/>
      </w:rPr>
      <w:t xml:space="preserve"> MIND MOVEMENT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2026-02-06T05:15:17.735Z</dcterms:created>
  <dcterms:modified xsi:type="dcterms:W3CDTF">2026-02-06T05:15:17.735Z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