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b/>
          <w:bCs/>
          <w:color w:val="888888"/>
          <w:sz w:val="20"/>
          <w:szCs w:val="20"/>
        </w:rPr>
        <w:t xml:space="preserve">MEMORANDO INTERNO — CONFIDENCIAL</w:t>
      </w:r>
    </w:p>
    <w:p>
      <w:pPr>
        <w:pBdr>
          <w:bottom w:val="single" w:color="1F3864" w:sz="8" w:space="1"/>
        </w:pBdr>
        <w:spacing w:before="0" w:after="240"/>
      </w:pPr>
      <w:r>
        <w:rPr>
          <w:b/>
          <w:bCs/>
          <w:color w:val="1F3864"/>
          <w:sz w:val="36"/>
          <w:szCs w:val="36"/>
        </w:rPr>
        <w:t xml:space="preserve">Global Forwarding Solutions, Inc.</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120"/>
            </w:tcMar>
          </w:tcPr>
          <w:p>
            <w:r>
              <w:rPr>
                <w:b/>
                <w:bCs/>
                <w:color w:val="555555"/>
                <w:sz w:val="20"/>
                <w:szCs w:val="20"/>
              </w:rPr>
              <w:t xml:space="preserve">PARA:</w:t>
            </w:r>
          </w:p>
        </w:tc>
        <w:tc>
          <w:tcPr>
            <w:tcW w:type="dxa" w:w="7360"/>
            <w:tcBorders>
              <w:top w:val="none" w:color="FFFFFF" w:sz="0"/>
              <w:left w:val="none" w:color="FFFFFF" w:sz="0"/>
              <w:bottom w:val="none" w:color="FFFFFF" w:sz="0"/>
              <w:right w:val="none" w:color="FFFFFF" w:sz="0"/>
            </w:tcBorders>
            <w:tcMar>
              <w:top w:type="dxa" w:w="40"/>
              <w:left w:type="dxa" w:w="0"/>
              <w:bottom w:type="dxa" w:w="40"/>
              <w:right w:type="dxa" w:w="0"/>
            </w:tcMar>
          </w:tcPr>
          <w:p>
            <w:r>
              <w:rPr>
                <w:sz w:val="20"/>
                <w:szCs w:val="20"/>
              </w:rPr>
              <w:t xml:space="preserve">Junta Directiva, Global Forwarding Solutions, Inc.</w:t>
            </w:r>
          </w:p>
        </w:tc>
      </w:tr>
      <w:tr>
        <w:tc>
          <w:tcPr>
            <w:tcW w:type="dxa" w:w="2000"/>
            <w:tcBorders>
              <w:top w:val="none" w:color="FFFFFF" w:sz="0"/>
              <w:left w:val="none" w:color="FFFFFF" w:sz="0"/>
              <w:bottom w:val="none" w:color="FFFFFF" w:sz="0"/>
              <w:right w:val="none" w:color="FFFFFF" w:sz="0"/>
            </w:tcBorders>
            <w:tcMar>
              <w:top w:type="dxa" w:w="40"/>
              <w:left w:type="dxa" w:w="0"/>
              <w:bottom w:type="dxa" w:w="40"/>
              <w:right w:type="dxa" w:w="120"/>
            </w:tcMar>
          </w:tcPr>
          <w:p>
            <w:r>
              <w:rPr>
                <w:b/>
                <w:bCs/>
                <w:color w:val="555555"/>
                <w:sz w:val="20"/>
                <w:szCs w:val="20"/>
              </w:rPr>
              <w:t xml:space="preserve">DE:</w:t>
            </w:r>
          </w:p>
        </w:tc>
        <w:tc>
          <w:tcPr>
            <w:tcW w:type="dxa" w:w="7360"/>
            <w:tcBorders>
              <w:top w:val="none" w:color="FFFFFF" w:sz="0"/>
              <w:left w:val="none" w:color="FFFFFF" w:sz="0"/>
              <w:bottom w:val="none" w:color="FFFFFF" w:sz="0"/>
              <w:right w:val="none" w:color="FFFFFF" w:sz="0"/>
            </w:tcBorders>
            <w:tcMar>
              <w:top w:type="dxa" w:w="40"/>
              <w:left w:type="dxa" w:w="0"/>
              <w:bottom w:type="dxa" w:w="40"/>
              <w:right w:type="dxa" w:w="0"/>
            </w:tcMar>
          </w:tcPr>
          <w:p>
            <w:r>
              <w:rPr>
                <w:sz w:val="20"/>
                <w:szCs w:val="20"/>
              </w:rPr>
              <w:t xml:space="preserve">Liderazgo Ejecutivo — Estrategia y Comunicaciones</w:t>
            </w:r>
          </w:p>
        </w:tc>
      </w:tr>
      <w:tr>
        <w:tc>
          <w:tcPr>
            <w:tcW w:type="dxa" w:w="2000"/>
            <w:tcBorders>
              <w:top w:val="none" w:color="FFFFFF" w:sz="0"/>
              <w:left w:val="none" w:color="FFFFFF" w:sz="0"/>
              <w:bottom w:val="none" w:color="FFFFFF" w:sz="0"/>
              <w:right w:val="none" w:color="FFFFFF" w:sz="0"/>
            </w:tcBorders>
            <w:tcMar>
              <w:top w:type="dxa" w:w="40"/>
              <w:left w:type="dxa" w:w="0"/>
              <w:bottom w:type="dxa" w:w="40"/>
              <w:right w:type="dxa" w:w="120"/>
            </w:tcMar>
          </w:tcPr>
          <w:p>
            <w:r>
              <w:rPr>
                <w:b/>
                <w:bCs/>
                <w:color w:val="555555"/>
                <w:sz w:val="20"/>
                <w:szCs w:val="20"/>
              </w:rPr>
              <w:t xml:space="preserve">FECHA:</w:t>
            </w:r>
          </w:p>
        </w:tc>
        <w:tc>
          <w:tcPr>
            <w:tcW w:type="dxa" w:w="7360"/>
            <w:tcBorders>
              <w:top w:val="none" w:color="FFFFFF" w:sz="0"/>
              <w:left w:val="none" w:color="FFFFFF" w:sz="0"/>
              <w:bottom w:val="none" w:color="FFFFFF" w:sz="0"/>
              <w:right w:val="none" w:color="FFFFFF" w:sz="0"/>
            </w:tcBorders>
            <w:tcMar>
              <w:top w:type="dxa" w:w="40"/>
              <w:left w:type="dxa" w:w="0"/>
              <w:bottom w:type="dxa" w:w="40"/>
              <w:right w:type="dxa" w:w="0"/>
            </w:tcMar>
          </w:tcPr>
          <w:p>
            <w:r>
              <w:rPr>
                <w:sz w:val="20"/>
                <w:szCs w:val="20"/>
              </w:rPr>
              <w:t xml:space="preserve">14 de octubre de 2025</w:t>
            </w:r>
          </w:p>
        </w:tc>
      </w:tr>
      <w:tr>
        <w:tc>
          <w:tcPr>
            <w:tcW w:type="dxa" w:w="2000"/>
            <w:tcBorders>
              <w:top w:val="none" w:color="FFFFFF" w:sz="0"/>
              <w:left w:val="none" w:color="FFFFFF" w:sz="0"/>
              <w:bottom w:val="none" w:color="FFFFFF" w:sz="0"/>
              <w:right w:val="none" w:color="FFFFFF" w:sz="0"/>
            </w:tcBorders>
            <w:tcMar>
              <w:top w:type="dxa" w:w="40"/>
              <w:left w:type="dxa" w:w="0"/>
              <w:bottom w:type="dxa" w:w="40"/>
              <w:right w:type="dxa" w:w="120"/>
            </w:tcMar>
          </w:tcPr>
          <w:p>
            <w:r>
              <w:rPr>
                <w:b/>
                <w:bCs/>
                <w:color w:val="555555"/>
                <w:sz w:val="20"/>
                <w:szCs w:val="20"/>
              </w:rPr>
              <w:t xml:space="preserve">ASUNTO:</w:t>
            </w:r>
          </w:p>
        </w:tc>
        <w:tc>
          <w:tcPr>
            <w:tcW w:type="dxa" w:w="7360"/>
            <w:tcBorders>
              <w:top w:val="none" w:color="FFFFFF" w:sz="0"/>
              <w:left w:val="none" w:color="FFFFFF" w:sz="0"/>
              <w:bottom w:val="none" w:color="FFFFFF" w:sz="0"/>
              <w:right w:val="none" w:color="FFFFFF" w:sz="0"/>
            </w:tcBorders>
            <w:tcMar>
              <w:top w:type="dxa" w:w="40"/>
              <w:left w:type="dxa" w:w="0"/>
              <w:bottom w:type="dxa" w:w="40"/>
              <w:right w:type="dxa" w:w="0"/>
            </w:tcMar>
          </w:tcPr>
          <w:p>
            <w:r>
              <w:rPr>
                <w:b/>
                <w:bCs/>
                <w:sz w:val="20"/>
                <w:szCs w:val="20"/>
              </w:rPr>
              <w:t xml:space="preserve">Aprobación para proceder: Contrato Maestro con Strategic Enterprise Holdings, LLC (versión revisada)</w:t>
            </w:r>
          </w:p>
        </w:tc>
      </w:tr>
    </w:tbl>
    <w:p>
      <w:pPr>
        <w:pBdr>
          <w:bottom w:val="single" w:color="2E5090"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60"/>
              <w:left w:type="dxa" w:w="200"/>
              <w:bottom w:type="dxa" w:w="160"/>
              <w:right w:type="dxa" w:w="200"/>
            </w:tcMar>
          </w:tcPr>
          <w:p>
            <w:pPr>
              <w:spacing w:before="0" w:after="80"/>
            </w:pPr>
            <w:r>
              <w:rPr>
                <w:b/>
                <w:bCs/>
                <w:color w:val="1F3864"/>
                <w:sz w:val="20"/>
                <w:szCs w:val="20"/>
              </w:rPr>
              <w:t xml:space="preserve">RESUMEN EJECUTIVO</w:t>
            </w:r>
          </w:p>
          <w:p>
            <w:pPr>
              <w:spacing w:before="0" w:after="0"/>
            </w:pPr>
            <w:r>
              <w:rPr>
                <w:sz w:val="20"/>
                <w:szCs w:val="20"/>
              </w:rPr>
              <w:t xml:space="preserve">Strategic Enterprise Holdings ha devuelto una versión revisada del Contrato Maestro de Logística y Servicios de Cadena de Suministro Global, con la eliminación de tres cláusulas críticas que originalmente representaban riesgos materiales para GFS: la Sección 12 (Limitación de Responsabilidad), la Sección 14.3 (Integración Administrativa) y la Sección 25 (Recuperación y Subrogación). Esta revisión mejora sustancialmente la posición contractual de GFS. Se recomienda aprobación y firma inmediata.</w:t>
            </w:r>
          </w:p>
        </w:tc>
      </w:tr>
    </w:tbl>
    <w:p>
      <w:pPr>
        <w:spacing w:before="80" w:after="80"/>
      </w:pPr>
      <w:r>
        <w:t xml:space="preserve"/>
      </w:r>
    </w:p>
    <w:p>
      <w:pPr>
        <w:spacing w:before="80" w:after="80"/>
      </w:pPr>
      <w:r>
        <w:t xml:space="preserve"/>
      </w:r>
    </w:p>
    <w:p>
      <w:pPr>
        <w:pStyle w:val="Heading1"/>
        <w:spacing w:before="320" w:after="160"/>
      </w:pPr>
      <w:r>
        <w:rPr>
          <w:b/>
          <w:bCs/>
          <w:color w:val="1F3864"/>
          <w:sz w:val="28"/>
          <w:szCs w:val="28"/>
        </w:rPr>
        <w:t xml:space="preserve">1. Contexto Estratégico</w:t>
      </w:r>
    </w:p>
    <w:p>
      <w:pPr>
        <w:spacing w:before="100" w:after="100"/>
      </w:pPr>
      <w:r>
        <w:rPr>
          <w:sz w:val="22"/>
          <w:szCs w:val="22"/>
        </w:rPr>
        <w:t xml:space="preserve">El presente memorando tiene por objeto presentar a la Junta Directiva un análisis de los cambios incorporados por Strategic Enterprise Holdings en la versión revisada del Contrato Maestro, y sustentar la recomendación ejecutiva de proceder con la firma sin demora.</w:t>
      </w:r>
    </w:p>
    <w:p>
      <w:pPr>
        <w:spacing w:before="80" w:after="80"/>
      </w:pPr>
      <w:r>
        <w:t xml:space="preserve"/>
      </w:r>
    </w:p>
    <w:p>
      <w:pPr>
        <w:spacing w:before="100" w:after="100"/>
      </w:pPr>
      <w:r>
        <w:rPr>
          <w:sz w:val="22"/>
          <w:szCs w:val="22"/>
        </w:rPr>
        <w:t xml:space="preserve">GFS se encuentra en una coyuntura crítica: el cierre de nuestra ronda de financiación Serie B está condicionado a la formalización de este contrato con nuestro arrendatario principal. Simultáneamente, la versión revisada del contrato elimina cláusulas que, en su forma original, habrían expuesto a GFS a riesgos legales y financieros de alta severidad. La convergencia de estos dos factores —urgencia de la financiación y mejora objetiva de los términos contractuales— justifica plenamente la decisión de avanzar de inmediato.</w:t>
      </w:r>
    </w:p>
    <w:p>
      <w:pPr>
        <w:pBdr>
          <w:bottom w:val="single" w:color="2E5090" w:sz="4" w:space="1"/>
        </w:pBdr>
        <w:spacing w:before="160" w:after="160"/>
      </w:pPr>
      <w:r>
        <w:t xml:space="preserve"/>
      </w:r>
    </w:p>
    <w:p>
      <w:pPr>
        <w:pStyle w:val="Heading1"/>
        <w:spacing w:before="320" w:after="160"/>
      </w:pPr>
      <w:r>
        <w:rPr>
          <w:b/>
          <w:bCs/>
          <w:color w:val="1F3864"/>
          <w:sz w:val="28"/>
          <w:szCs w:val="28"/>
        </w:rPr>
        <w:t xml:space="preserve">2. Análisis de los Cambios: Cláusulas Eliminadas</w:t>
      </w:r>
    </w:p>
    <w:p>
      <w:pPr>
        <w:spacing w:before="100" w:after="100"/>
      </w:pPr>
      <w:r>
        <w:rPr>
          <w:sz w:val="22"/>
          <w:szCs w:val="22"/>
        </w:rPr>
        <w:t xml:space="preserve">A continuación se detalla el impacto de cada cláusula eliminada en la posición de GFS: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1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sz w:val="20"/>
                <w:szCs w:val="20"/>
              </w:rPr>
              <w:t xml:space="preserve">Sección</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sz w:val="20"/>
                <w:szCs w:val="20"/>
              </w:rPr>
              <w:t xml:space="preserve">Texto original (riesgo para GFS)</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sz w:val="20"/>
                <w:szCs w:val="20"/>
              </w:rPr>
              <w:t xml:space="preserve">Estado en versión revisada</w:t>
            </w:r>
          </w:p>
        </w:tc>
        <w:tc>
          <w:tcPr>
            <w:tcW w:type="dxa" w:w="31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sz w:val="20"/>
                <w:szCs w:val="20"/>
              </w:rPr>
              <w:t xml:space="preserve">Beneficio neto para GFS</w:t>
            </w:r>
          </w:p>
        </w:tc>
      </w:tr>
      <w:tr>
        <w:tc>
          <w:tcPr>
            <w:tcW w:type="dxa" w:w="1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sz w:val="20"/>
                <w:szCs w:val="20"/>
              </w:rPr>
              <w:t xml:space="preserve">Sec. 12
Limitación de Responsabilidad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Tope de daños = tarifas de los últimos 12 meses. Excluía daños consecuenciales.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ELIMINADA</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20"/>
                <w:szCs w:val="20"/>
              </w:rPr>
              <w:t xml:space="preserve">GFS puede reclamar daños reales en caso de incumplimiento grave del cliente, sin tope artificial.</w:t>
            </w:r>
          </w:p>
        </w:tc>
      </w:tr>
      <w:tr>
        <w:tc>
          <w:tcPr>
            <w:tcW w:type="dxa" w:w="1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sz w:val="20"/>
                <w:szCs w:val="20"/>
              </w:rPr>
              <w:t xml:space="preserve">Sec. 14.3
Integración Administrativa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 aceptación de servicios constituía renuncia automática a la Sección 7.1 (precedencia), permitiendo al cliente imponer su propia Tarifa Maestra.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ELIMINADA</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20"/>
                <w:szCs w:val="20"/>
              </w:rPr>
              <w:t xml:space="preserve">La Sección 7.1 mantiene plena vigencia: este Contrato prevalece sobre cualquier SOW o documentación del cliente.</w:t>
            </w:r>
          </w:p>
        </w:tc>
      </w:tr>
      <w:tr>
        <w:tc>
          <w:tcPr>
            <w:tcW w:type="dxa" w:w="1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sz w:val="20"/>
                <w:szCs w:val="20"/>
              </w:rPr>
              <w:t xml:space="preserve">Sec. 25
Recuperación y Subrogación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GFS cedía al cliente el control exclusivo de reclamaciones de terceros. El cliente retenía el 100% de las recuperaciones.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ELIMINADA</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sz w:val="20"/>
                <w:szCs w:val="20"/>
              </w:rPr>
              <w:t xml:space="preserve">GFS recupera el control de sus propias reclamaciones de subrogación, sin ceder recuperaciones al cliente.</w:t>
            </w:r>
          </w:p>
        </w:tc>
      </w:tr>
    </w:tbl>
    <w:p>
      <w:pPr>
        <w:spacing w:before="80" w:after="80"/>
      </w:pPr>
      <w:r>
        <w:t xml:space="preserve"/>
      </w:r>
    </w:p>
    <w:p>
      <w:pPr>
        <w:spacing w:before="80" w:after="80"/>
      </w:pPr>
      <w:r>
        <w:t xml:space="preserve"/>
      </w:r>
    </w:p>
    <w:p>
      <w:pPr>
        <w:pStyle w:val="Heading1"/>
        <w:spacing w:before="320" w:after="160"/>
      </w:pPr>
      <w:r>
        <w:rPr>
          <w:b/>
          <w:bCs/>
          <w:color w:val="1F3864"/>
          <w:sz w:val="28"/>
          <w:szCs w:val="28"/>
        </w:rPr>
        <w:t xml:space="preserve">3. Por qué la Eliminación de Estas Cláusulas es Fundamentalmente Positiva</w:t>
      </w:r>
    </w:p>
    <w:p>
      <w:pPr>
        <w:pStyle w:val="Heading2"/>
        <w:spacing w:before="240" w:after="120"/>
      </w:pPr>
      <w:r>
        <w:rPr>
          <w:b/>
          <w:bCs/>
          <w:color w:val="2E5090"/>
          <w:sz w:val="24"/>
          <w:szCs w:val="24"/>
        </w:rPr>
        <w:t xml:space="preserve">3.1 Sección 12 — Recuperación de Responsabilidad</w:t>
      </w:r>
    </w:p>
    <w:p>
      <w:pPr>
        <w:spacing w:before="100" w:after="100"/>
      </w:pPr>
      <w:r>
        <w:rPr>
          <w:sz w:val="22"/>
          <w:szCs w:val="22"/>
        </w:rPr>
        <w:t xml:space="preserve">La versión original imponía un tope de responsabilidad igual a las tarifas pagadas en los últimos 12 meses, lo que habría limitado severamente la capacidad de GFS de obtener compensación en caso de incumplimiento contractual por parte del cliente. La eliminación de esta cláusula:</w:t>
      </w:r>
    </w:p>
    <w:p>
      <w:pPr>
        <w:pStyle w:val="ListParagraph"/>
        <w:numPr>
          <w:ilvl w:val="0"/>
          <w:numId w:val="2"/>
        </w:numPr>
        <w:spacing w:before="60" w:after="60"/>
      </w:pPr>
      <w:r>
        <w:rPr>
          <w:b w:val="false"/>
          <w:bCs w:val="false"/>
          <w:sz w:val="22"/>
          <w:szCs w:val="22"/>
        </w:rPr>
        <w:t xml:space="preserve">Permite a GFS reclamar el valor real de los daños sufridos ante incumplimientos materiales.</w:t>
      </w:r>
    </w:p>
    <w:p>
      <w:pPr>
        <w:pStyle w:val="ListParagraph"/>
        <w:numPr>
          <w:ilvl w:val="0"/>
          <w:numId w:val="2"/>
        </w:numPr>
        <w:spacing w:before="60" w:after="60"/>
      </w:pPr>
      <w:r>
        <w:rPr>
          <w:b w:val="false"/>
          <w:bCs w:val="false"/>
          <w:sz w:val="22"/>
          <w:szCs w:val="22"/>
        </w:rPr>
        <w:t xml:space="preserve">Elimina la asimetría que penalizaba a GFS frente a un cliente de mayor poder económico.</w:t>
      </w:r>
    </w:p>
    <w:p>
      <w:pPr>
        <w:pStyle w:val="ListParagraph"/>
        <w:numPr>
          <w:ilvl w:val="0"/>
          <w:numId w:val="2"/>
        </w:numPr>
        <w:spacing w:before="60" w:after="60"/>
      </w:pPr>
      <w:r>
        <w:rPr>
          <w:b w:val="false"/>
          <w:bCs w:val="false"/>
          <w:sz w:val="22"/>
          <w:szCs w:val="22"/>
        </w:rPr>
        <w:t xml:space="preserve">Fortalece la posición negociadora de GFS en disputas futuras, actuando como desincentivo al incumplimiento.</w:t>
      </w:r>
    </w:p>
    <w:p>
      <w:pPr>
        <w:spacing w:before="80" w:after="80"/>
      </w:pPr>
      <w:r>
        <w:t xml:space="preserve"/>
      </w:r>
    </w:p>
    <w:p>
      <w:pPr>
        <w:pStyle w:val="Heading2"/>
        <w:spacing w:before="240" w:after="120"/>
      </w:pPr>
      <w:r>
        <w:rPr>
          <w:b/>
          <w:bCs/>
          <w:color w:val="2E5090"/>
          <w:sz w:val="24"/>
          <w:szCs w:val="24"/>
        </w:rPr>
        <w:t xml:space="preserve">3.2 Sección 14.3 — Soberanía Contractual Restaurada</w:t>
      </w:r>
    </w:p>
    <w:p>
      <w:pPr>
        <w:spacing w:before="100" w:after="100"/>
      </w:pPr>
      <w:r>
        <w:rPr>
          <w:sz w:val="22"/>
          <w:szCs w:val="22"/>
        </w:rPr>
        <w:t xml:space="preserve">La cláusula eliminada era particularmente peligrosa porque su mecanismo era implícito: la mera prestación de servicios constituía automáticamente una renuncia a los términos de precedencia establecidos en la Sección 7.1. En la práctica, esto habría permitido al cliente modificar unilateralmente las condiciones operativas aplicables a todos los movimientos terrestres y marítimos — el núcleo del negocio de GFS. Con su eliminación:</w:t>
      </w:r>
    </w:p>
    <w:p>
      <w:pPr>
        <w:pStyle w:val="ListParagraph"/>
        <w:numPr>
          <w:ilvl w:val="0"/>
          <w:numId w:val="2"/>
        </w:numPr>
        <w:spacing w:before="60" w:after="60"/>
      </w:pPr>
      <w:r>
        <w:rPr>
          <w:b w:val="false"/>
          <w:bCs w:val="false"/>
          <w:sz w:val="22"/>
          <w:szCs w:val="22"/>
        </w:rPr>
        <w:t xml:space="preserve">Este Contrato Maestro mantiene primacía sobre cualquier Documento de Trabajo (SOW) o documentación operativa del cliente.</w:t>
      </w:r>
    </w:p>
    <w:p>
      <w:pPr>
        <w:pStyle w:val="ListParagraph"/>
        <w:numPr>
          <w:ilvl w:val="0"/>
          <w:numId w:val="2"/>
        </w:numPr>
        <w:spacing w:before="60" w:after="60"/>
      </w:pPr>
      <w:r>
        <w:rPr>
          <w:b w:val="false"/>
          <w:bCs w:val="false"/>
          <w:sz w:val="22"/>
          <w:szCs w:val="22"/>
        </w:rPr>
        <w:t xml:space="preserve">GFS opera bajo sus propios estándares y tarifas, no bajo la Tarifa Maestra del cliente.</w:t>
      </w:r>
    </w:p>
    <w:p>
      <w:pPr>
        <w:pStyle w:val="ListParagraph"/>
        <w:numPr>
          <w:ilvl w:val="0"/>
          <w:numId w:val="2"/>
        </w:numPr>
        <w:spacing w:before="60" w:after="60"/>
      </w:pPr>
      <w:r>
        <w:rPr>
          <w:b w:val="false"/>
          <w:bCs w:val="false"/>
          <w:sz w:val="22"/>
          <w:szCs w:val="22"/>
        </w:rPr>
        <w:t xml:space="preserve">Se protege la integridad de los márgenes y SLAs acordados bilateralmente.</w:t>
      </w:r>
    </w:p>
    <w:p>
      <w:pPr>
        <w:spacing w:before="80" w:after="80"/>
      </w:pPr>
      <w:r>
        <w:t xml:space="preserve"/>
      </w:r>
    </w:p>
    <w:p>
      <w:pPr>
        <w:pStyle w:val="Heading2"/>
        <w:spacing w:before="240" w:after="120"/>
      </w:pPr>
      <w:r>
        <w:rPr>
          <w:b/>
          <w:bCs/>
          <w:color w:val="2E5090"/>
          <w:sz w:val="24"/>
          <w:szCs w:val="24"/>
        </w:rPr>
        <w:t xml:space="preserve">3.3 Sección 25 — Control sobre Activos Financieros Propios</w:t>
      </w:r>
    </w:p>
    <w:p>
      <w:pPr>
        <w:spacing w:before="100" w:after="100"/>
      </w:pPr>
      <w:r>
        <w:rPr>
          <w:sz w:val="22"/>
          <w:szCs w:val="22"/>
        </w:rPr>
        <w:t xml:space="preserve">La Sección 25 original representaba la cláusula de mayor riesgo financiero inmediato para GFS. Bajo ese esquema:</w:t>
      </w:r>
    </w:p>
    <w:p>
      <w:pPr>
        <w:pStyle w:val="ListParagraph"/>
        <w:numPr>
          <w:ilvl w:val="0"/>
          <w:numId w:val="2"/>
        </w:numPr>
        <w:spacing w:before="60" w:after="60"/>
      </w:pPr>
      <w:r>
        <w:rPr>
          <w:b w:val="false"/>
          <w:bCs w:val="false"/>
          <w:sz w:val="22"/>
          <w:szCs w:val="22"/>
        </w:rPr>
        <w:t xml:space="preserve">El cliente habría controlado exclusivamente la liquidación de reclamaciones de carga y responsabilidad de GFS.</w:t>
      </w:r>
    </w:p>
    <w:p>
      <w:pPr>
        <w:pStyle w:val="ListParagraph"/>
        <w:numPr>
          <w:ilvl w:val="0"/>
          <w:numId w:val="2"/>
        </w:numPr>
        <w:spacing w:before="60" w:after="60"/>
      </w:pPr>
      <w:r>
        <w:rPr>
          <w:b w:val="false"/>
          <w:bCs w:val="false"/>
          <w:sz w:val="22"/>
          <w:szCs w:val="22"/>
        </w:rPr>
        <w:t xml:space="preserve">Todos los montos recuperados habría sido retenidos por el cliente como “tarifa de servicio”, sin límite definido.</w:t>
      </w:r>
    </w:p>
    <w:p>
      <w:pPr>
        <w:pStyle w:val="ListParagraph"/>
        <w:numPr>
          <w:ilvl w:val="0"/>
          <w:numId w:val="2"/>
        </w:numPr>
        <w:spacing w:before="60" w:after="60"/>
      </w:pPr>
      <w:r>
        <w:rPr>
          <w:b w:val="false"/>
          <w:bCs w:val="false"/>
          <w:sz w:val="22"/>
          <w:szCs w:val="22"/>
        </w:rPr>
        <w:t xml:space="preserve">GFS habría perdido visibilidad y control sobre reclamaciones que son activos financieros directos de la compañía.</w:t>
      </w:r>
    </w:p>
    <w:p>
      <w:pPr>
        <w:spacing w:before="80" w:after="80"/>
      </w:pPr>
      <w:r>
        <w:t xml:space="preserve"/>
      </w:r>
    </w:p>
    <w:p>
      <w:pPr>
        <w:spacing w:before="100" w:after="100"/>
      </w:pPr>
      <w:r>
        <w:rPr>
          <w:sz w:val="22"/>
          <w:szCs w:val="22"/>
        </w:rPr>
        <w:t xml:space="preserve">Con la eliminación de esta sección, GFS recupera el control pleno sobre sus procesos de subrogación, lo que tiene implicaciones directas en el flujo de caja y en los informes financieros relevantes para nuestros inversores de Serie B.</w:t>
      </w:r>
    </w:p>
    <w:p>
      <w:pPr>
        <w:pBdr>
          <w:bottom w:val="single" w:color="2E5090" w:sz="4" w:space="1"/>
        </w:pBdr>
        <w:spacing w:before="160" w:after="160"/>
      </w:pPr>
      <w:r>
        <w:t xml:space="preserve"/>
      </w:r>
    </w:p>
    <w:p>
      <w:pPr>
        <w:pStyle w:val="Heading1"/>
        <w:spacing w:before="320" w:after="160"/>
      </w:pPr>
      <w:r>
        <w:rPr>
          <w:b/>
          <w:bCs/>
          <w:color w:val="1F3864"/>
          <w:sz w:val="28"/>
          <w:szCs w:val="28"/>
        </w:rPr>
        <w:t xml:space="preserve">4. Implicaciones para la Financiación Serie B</w:t>
      </w:r>
    </w:p>
    <w:p>
      <w:pPr>
        <w:spacing w:before="100" w:after="100"/>
      </w:pPr>
      <w:r>
        <w:rPr>
          <w:sz w:val="22"/>
          <w:szCs w:val="22"/>
        </w:rPr>
        <w:t xml:space="preserve">Los inversores de capital de riesgo en etapas intermedias y tardías realizan due diligence contractual riguroso. La presentación de un Contrato Maestro que:</w:t>
      </w:r>
    </w:p>
    <w:p>
      <w:pPr>
        <w:pStyle w:val="ListParagraph"/>
        <w:numPr>
          <w:ilvl w:val="0"/>
          <w:numId w:val="2"/>
        </w:numPr>
        <w:spacing w:before="60" w:after="60"/>
      </w:pPr>
      <w:r>
        <w:rPr>
          <w:b w:val="false"/>
          <w:bCs w:val="false"/>
          <w:sz w:val="22"/>
          <w:szCs w:val="22"/>
        </w:rPr>
        <w:t xml:space="preserve">No contiene cláusulas de limitación de responsabilidad desventajosas para GFS,</w:t>
      </w:r>
    </w:p>
    <w:p>
      <w:pPr>
        <w:pStyle w:val="ListParagraph"/>
        <w:numPr>
          <w:ilvl w:val="0"/>
          <w:numId w:val="2"/>
        </w:numPr>
        <w:spacing w:before="60" w:after="60"/>
      </w:pPr>
      <w:r>
        <w:rPr>
          <w:b w:val="false"/>
          <w:bCs w:val="false"/>
          <w:sz w:val="22"/>
          <w:szCs w:val="22"/>
        </w:rPr>
        <w:t xml:space="preserve">Garantiza la soberanía operativa y tarifaria de GFS sobre su negocio principal, y</w:t>
      </w:r>
    </w:p>
    <w:p>
      <w:pPr>
        <w:pStyle w:val="ListParagraph"/>
        <w:numPr>
          <w:ilvl w:val="0"/>
          <w:numId w:val="2"/>
        </w:numPr>
        <w:spacing w:before="60" w:after="60"/>
      </w:pPr>
      <w:r>
        <w:rPr>
          <w:b w:val="false"/>
          <w:bCs w:val="false"/>
          <w:sz w:val="22"/>
          <w:szCs w:val="22"/>
        </w:rPr>
        <w:t xml:space="preserve">Preserva los derechos de GFS sobre sus propias reclamaciones de subrogación,</w:t>
      </w:r>
    </w:p>
    <w:p>
      <w:pPr>
        <w:spacing w:before="80" w:after="80"/>
      </w:pPr>
      <w:r>
        <w:t xml:space="preserve"/>
      </w:r>
    </w:p>
    <w:p>
      <w:pPr>
        <w:spacing w:before="100" w:after="100"/>
      </w:pPr>
      <w:r>
        <w:rPr>
          <w:sz w:val="22"/>
          <w:szCs w:val="22"/>
        </w:rPr>
        <w:t xml:space="preserve">...demuestra ante el inversor principal una base contractual sólida y una gestión legal competente. Esta versión del contrato es, objetivamente, más fácil de defender en el contexto de diligencia de la ronda que la versión original.</w:t>
      </w:r>
    </w:p>
    <w:p>
      <w:pPr>
        <w:spacing w:before="80" w:after="80"/>
      </w:pPr>
      <w:r>
        <w:t xml:space="preserve"/>
      </w:r>
    </w:p>
    <w:p>
      <w:pPr>
        <w:spacing w:before="100" w:after="100"/>
      </w:pPr>
      <w:r>
        <w:rPr>
          <w:sz w:val="22"/>
          <w:szCs w:val="22"/>
        </w:rPr>
        <w:t xml:space="preserve">Adicionalmente, el hecho de que Strategic haya aceptado eliminar estas cláusulas sugiere que la relación comercial es suficientemente valiosa para ambas partes como para generar concesiones significativas — señal positiva sobre el LTV proyectado de la relación.</w:t>
      </w:r>
    </w:p>
    <w:p>
      <w:pPr>
        <w:pBdr>
          <w:bottom w:val="single" w:color="2E5090" w:sz="4" w:space="1"/>
        </w:pBdr>
        <w:spacing w:before="160" w:after="160"/>
      </w:pPr>
      <w:r>
        <w:t xml:space="preserve"/>
      </w:r>
    </w:p>
    <w:p>
      <w:pPr>
        <w:pStyle w:val="Heading1"/>
        <w:spacing w:before="320" w:after="160"/>
      </w:pPr>
      <w:r>
        <w:rPr>
          <w:b/>
          <w:bCs/>
          <w:color w:val="1F3864"/>
          <w:sz w:val="28"/>
          <w:szCs w:val="28"/>
        </w:rPr>
        <w:t xml:space="preserve">5. Cláusulas Relevantes que Permanecen sin Cambios</w:t>
      </w:r>
    </w:p>
    <w:p>
      <w:pPr>
        <w:spacing w:before="100" w:after="100"/>
      </w:pPr>
      <w:r>
        <w:rPr>
          <w:sz w:val="22"/>
          <w:szCs w:val="22"/>
        </w:rPr>
        <w:t xml:space="preserve">La Junta debe tomar nota de que las siguientes cláusulas favorables para GFS permanecen inalteradas en la versión revisada:</w:t>
      </w:r>
    </w:p>
    <w:p>
      <w:pPr>
        <w:pStyle w:val="ListParagraph"/>
        <w:numPr>
          <w:ilvl w:val="0"/>
          <w:numId w:val="2"/>
        </w:numPr>
        <w:spacing w:before="60" w:after="60"/>
      </w:pPr>
      <w:r>
        <w:rPr>
          <w:b w:val="false"/>
          <w:bCs w:val="false"/>
          <w:sz w:val="22"/>
          <w:szCs w:val="22"/>
        </w:rPr>
        <w:t xml:space="preserve">Sección 5.2: GFS retiene todos los derechos sobre sus algoritmos de enrutamiento patentados y plataformas de software logístico.</w:t>
      </w:r>
    </w:p>
    <w:p>
      <w:pPr>
        <w:pStyle w:val="ListParagraph"/>
        <w:numPr>
          <w:ilvl w:val="0"/>
          <w:numId w:val="2"/>
        </w:numPr>
        <w:spacing w:before="60" w:after="60"/>
      </w:pPr>
      <w:r>
        <w:rPr>
          <w:b w:val="false"/>
          <w:bCs w:val="false"/>
          <w:sz w:val="22"/>
          <w:szCs w:val="22"/>
        </w:rPr>
        <w:t xml:space="preserve">Sección 7.1: Este Contrato prevalece sobre cualquier SOW (reforzado por la eliminación de la Sección 14.3).</w:t>
      </w:r>
    </w:p>
    <w:p>
      <w:pPr>
        <w:pStyle w:val="ListParagraph"/>
        <w:numPr>
          <w:ilvl w:val="0"/>
          <w:numId w:val="2"/>
        </w:numPr>
        <w:spacing w:before="60" w:after="60"/>
      </w:pPr>
      <w:r>
        <w:rPr>
          <w:b w:val="false"/>
          <w:bCs w:val="false"/>
          <w:sz w:val="22"/>
          <w:szCs w:val="22"/>
        </w:rPr>
        <w:t xml:space="preserve">Sección 9.2: Derecho de auditoría limitado — una vez por año.</w:t>
      </w:r>
    </w:p>
    <w:p>
      <w:pPr>
        <w:pStyle w:val="ListParagraph"/>
        <w:numPr>
          <w:ilvl w:val="0"/>
          <w:numId w:val="2"/>
        </w:numPr>
        <w:spacing w:before="60" w:after="60"/>
      </w:pPr>
      <w:r>
        <w:rPr>
          <w:b w:val="false"/>
          <w:bCs w:val="false"/>
          <w:sz w:val="22"/>
          <w:szCs w:val="22"/>
        </w:rPr>
        <w:t xml:space="preserve">Sección 13: Indemnización de GFS al cliente está acotada a negligencia grave o conducta dolosa.</w:t>
      </w:r>
    </w:p>
    <w:p>
      <w:pPr>
        <w:pStyle w:val="ListParagraph"/>
        <w:numPr>
          <w:ilvl w:val="0"/>
          <w:numId w:val="2"/>
        </w:numPr>
        <w:spacing w:before="60" w:after="60"/>
      </w:pPr>
      <w:r>
        <w:rPr>
          <w:b w:val="false"/>
          <w:bCs w:val="false"/>
          <w:sz w:val="22"/>
          <w:szCs w:val="22"/>
        </w:rPr>
        <w:t xml:space="preserve">Sección 4.2: Ajuste anual de tarifas indexado al IPC, tope del 3%.</w:t>
      </w:r>
    </w:p>
    <w:p>
      <w:pPr>
        <w:pBdr>
          <w:bottom w:val="single" w:color="2E5090" w:sz="4" w:space="1"/>
        </w:pBdr>
        <w:spacing w:before="160" w:after="160"/>
      </w:pPr>
      <w:r>
        <w:t xml:space="preserve"/>
      </w:r>
    </w:p>
    <w:p>
      <w:pPr>
        <w:pStyle w:val="Heading1"/>
        <w:spacing w:before="320" w:after="160"/>
      </w:pPr>
      <w:r>
        <w:rPr>
          <w:b/>
          <w:bCs/>
          <w:color w:val="1F3864"/>
          <w:sz w:val="28"/>
          <w:szCs w:val="28"/>
        </w:rPr>
        <w:t xml:space="preserve">6. Recomendación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60"/>
              <w:left w:type="dxa" w:w="200"/>
              <w:bottom w:type="dxa" w:w="160"/>
              <w:right w:type="dxa" w:w="200"/>
            </w:tcMar>
          </w:tcPr>
          <w:p>
            <w:pPr>
              <w:spacing w:before="0" w:after="80"/>
            </w:pPr>
            <w:r>
              <w:rPr>
                <w:b/>
                <w:bCs/>
                <w:color w:val="1B5E20"/>
                <w:sz w:val="20"/>
                <w:szCs w:val="20"/>
              </w:rPr>
              <w:t xml:space="preserve">RECOMENDACIÓN EJECUTIVA</w:t>
            </w:r>
          </w:p>
          <w:p>
            <w:pPr>
              <w:spacing w:before="0" w:after="60"/>
            </w:pPr>
            <w:r>
              <w:rPr>
                <w:sz w:val="20"/>
                <w:szCs w:val="20"/>
              </w:rPr>
              <w:t xml:space="preserve">El liderazgo ejecutivo recomienda a la Junta Directiva autorizar la firma inmediata del Contrato Maestro revisado con Strategic Enterprise Holdings, LLC, en los términos de la versión devuelta con fecha de hoy.</w:t>
            </w:r>
          </w:p>
          <w:p>
            <w:pPr>
              <w:spacing w:before="60" w:after="0"/>
            </w:pPr>
            <w:r>
              <w:rPr>
                <w:sz w:val="20"/>
                <w:szCs w:val="20"/>
              </w:rPr>
              <w:t xml:space="preserve">La eliminación de las Secciones 12, 14.3 y 25 constituye una mejora material y objetiva de las condiciones contractuales para GFS. La firma de este contrato es simultáneamente condición para el cierre de la Serie B y una decisión legítimamente favorable para los intereses a largo plazo de la compañía y sus empleados.</w:t>
            </w:r>
          </w:p>
        </w:tc>
      </w:tr>
    </w:tbl>
    <w:p>
      <w:pPr>
        <w:spacing w:before="80" w:after="80"/>
      </w:pPr>
      <w:r>
        <w:t xml:space="preserve"/>
      </w:r>
    </w:p>
    <w:p>
      <w:pPr>
        <w:spacing w:before="80" w:after="80"/>
      </w:pPr>
      <w:r>
        <w:t xml:space="preserve"/>
      </w:r>
    </w:p>
    <w:p>
      <w:pPr>
        <w:spacing w:before="100" w:after="100"/>
      </w:pPr>
      <w:r>
        <w:rPr>
          <w:sz w:val="22"/>
          <w:szCs w:val="22"/>
        </w:rPr>
        <w:t xml:space="preserve">Se solicita a los miembros de la Junta emitir aprobación formal para proceder. El CEO y el equipo legal ejecutarán la firma a la brevedad posible.</w:t>
      </w:r>
    </w:p>
    <w:p>
      <w:pPr>
        <w:spacing w:before="80" w:after="80"/>
      </w:pPr>
      <w:r>
        <w:t xml:space="preserve"/>
      </w:r>
    </w:p>
    <w:p>
      <w:pPr>
        <w:spacing w:before="100" w:after="100"/>
      </w:pPr>
      <w:r>
        <w:rPr>
          <w:i/>
          <w:iCs/>
          <w:sz w:val="22"/>
          <w:szCs w:val="22"/>
        </w:rPr>
        <w:t xml:space="preserve">_____________________________________________</w:t>
      </w:r>
    </w:p>
    <w:p>
      <w:pPr>
        <w:spacing w:before="100" w:after="100"/>
      </w:pPr>
      <w:r>
        <w:rPr>
          <w:i/>
          <w:iCs/>
          <w:sz w:val="22"/>
          <w:szCs w:val="22"/>
        </w:rPr>
        <w:t xml:space="preserve">Firma Ejecutiva — Global Forwarding Solutions, Inc.</w:t>
      </w:r>
    </w:p>
    <w:p>
      <w:pPr>
        <w:spacing w:before="100" w:after="100"/>
      </w:pPr>
      <w:r>
        <w:rPr>
          <w:i/>
          <w:iCs/>
          <w:sz w:val="22"/>
          <w:szCs w:val="22"/>
        </w:rPr>
        <w:t xml:space="preserve">Fecha: 14 de octubre de 2025</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8"/>
        <w:szCs w:val="18"/>
      </w:rPr>
      <w:t xml:space="preserve">CONFIDENCIAL — Solo para uso interno de la Junta Directiva</w:t>
    </w:r>
    <w:r>
      <w:rPr>
        <w:sz w:val="18"/>
        <w:szCs w:val="18"/>
      </w:rPr>
      <w:t xml:space="preserv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2026-03-08T03:48:34.113Z</dcterms:created>
  <dcterms:modified xsi:type="dcterms:W3CDTF">2026-03-08T03:48:34.114Z</dcterms:modified>
</cp:coreProperties>
</file>

<file path=docProps/custom.xml><?xml version="1.0" encoding="utf-8"?>
<Properties xmlns="http://schemas.openxmlformats.org/officeDocument/2006/custom-properties" xmlns:vt="http://schemas.openxmlformats.org/officeDocument/2006/docPropsVTypes"/>
</file>