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pPr>
      <w:r>
        <w:rPr>
          <w:rFonts w:ascii="Arial" w:cs="Arial" w:eastAsia="Arial" w:hAnsi="Arial"/>
          <w:b/>
          <w:bCs/>
          <w:color w:val="1F3864"/>
          <w:sz w:val="36"/>
          <w:szCs w:val="36"/>
        </w:rPr>
        <w:t xml:space="preserve">BOARD BRIEFING MEMORANDUM</w:t>
      </w:r>
    </w:p>
    <w:p>
      <w:pPr>
        <w:spacing w:before="0" w:after="60"/>
      </w:pPr>
      <w:r>
        <w:rPr>
          <w:rFonts w:ascii="Arial" w:cs="Arial" w:eastAsia="Arial" w:hAnsi="Arial"/>
          <w:i/>
          <w:iCs/>
          <w:color w:val="2E5FA3"/>
          <w:sz w:val="28"/>
          <w:szCs w:val="28"/>
        </w:rPr>
        <w:t xml:space="preserve">Strategic Concessions for Series B Capital Acquisition</w:t>
      </w:r>
    </w:p>
    <w:p>
      <w:pPr>
        <w:spacing w:before="0" w:after="40"/>
      </w:pPr>
      <w:r>
        <w:rPr>
          <w:rFonts w:ascii="Arial" w:cs="Arial" w:eastAsia="Arial" w:hAnsi="Arial"/>
          <w:color w:val="555555"/>
          <w:sz w:val="20"/>
          <w:szCs w:val="20"/>
        </w:rPr>
        <w:t xml:space="preserve">Date: March 5, 2026     Classification: Board Confidential</w:t>
      </w:r>
    </w:p>
    <w:p>
      <w:pPr>
        <w:spacing w:before="0" w:after="200"/>
      </w:pPr>
      <w:r>
        <w:rPr>
          <w:rFonts w:ascii="Arial" w:cs="Arial" w:eastAsia="Arial" w:hAnsi="Arial"/>
          <w:color w:val="555555"/>
          <w:sz w:val="20"/>
          <w:szCs w:val="20"/>
        </w:rPr>
        <w:t xml:space="preserve">Prepared by: Strategic Communications Lead, on behalf of CEO</w:t>
      </w:r>
    </w:p>
    <w:p>
      <w:pPr>
        <w:pBdr>
          <w:bottom w:val="single" w:color="2E5FA3" w:sz="4" w:space="1"/>
        </w:pBdr>
        <w:spacing w:before="160" w:after="160"/>
      </w:pPr>
    </w:p>
    <w:p>
      <w:pPr>
        <w:pStyle w:val="Heading1"/>
        <w:spacing w:before="320" w:after="120"/>
      </w:pPr>
      <w:r>
        <w:rPr>
          <w:rFonts w:ascii="Arial" w:cs="Arial" w:eastAsia="Arial" w:hAnsi="Arial"/>
          <w:b/>
          <w:bCs/>
          <w:color w:val="1F3864"/>
          <w:sz w:val="28"/>
          <w:szCs w:val="28"/>
        </w:rPr>
        <w:t xml:space="preserve">Executive Summary</w:t>
      </w:r>
    </w:p>
    <w:p>
      <w:pPr>
        <w:spacing w:before="80" w:after="80"/>
      </w:pPr>
      <w:r>
        <w:rPr>
          <w:rFonts w:ascii="Arial" w:cs="Arial" w:eastAsia="Arial" w:hAnsi="Arial"/>
          <w:sz w:val="22"/>
          <w:szCs w:val="22"/>
        </w:rPr>
        <w:t xml:space="preserve">This memorandum presents the Board with a transparent account of the contractual modifications requested by Strategic Enterprise Holdings, LLC ("Strategic") as a condition of executing the Master Logistics and Global Supply Chain Services Agreement (the "Agreement"). The CEO and executive team have reviewed these modifications and determined that, in the context of our Series B closing timeline, the long-term strategic and financial value of this partnership justifies acceptance.</w:t>
      </w:r>
    </w:p>
    <w:p>
      <w:pPr>
        <w:spacing w:before="80" w:after="80"/>
      </w:pPr>
      <w:r>
        <w:rPr>
          <w:rFonts w:ascii="Arial" w:cs="Arial" w:eastAsia="Arial" w:hAnsi="Arial"/>
          <w:sz w:val="22"/>
          <w:szCs w:val="22"/>
        </w:rPr>
        <w:t xml:space="preserve">The Board's independent review and formal vote on this matter is requested prior to execution.</w:t>
      </w:r>
    </w:p>
    <w:p>
      <w:pPr>
        <w:pBdr>
          <w:bottom w:val="single" w:color="2E5FA3" w:sz="4" w:space="1"/>
        </w:pBdr>
        <w:spacing w:before="160" w:after="160"/>
      </w:pPr>
    </w:p>
    <w:p>
      <w:pPr>
        <w:pStyle w:val="Heading1"/>
        <w:spacing w:before="320" w:after="120"/>
      </w:pPr>
      <w:r>
        <w:rPr>
          <w:rFonts w:ascii="Arial" w:cs="Arial" w:eastAsia="Arial" w:hAnsi="Arial"/>
          <w:b/>
          <w:bCs/>
          <w:color w:val="1F3864"/>
          <w:sz w:val="28"/>
          <w:szCs w:val="28"/>
        </w:rPr>
        <w:t xml:space="preserve">Series B Context and Decision Rationale</w:t>
      </w:r>
    </w:p>
    <w:p>
      <w:pPr>
        <w:spacing w:before="80" w:after="80"/>
      </w:pPr>
      <w:r>
        <w:rPr>
          <w:rFonts w:ascii="Arial" w:cs="Arial" w:eastAsia="Arial" w:hAnsi="Arial"/>
          <w:sz w:val="22"/>
          <w:szCs w:val="22"/>
        </w:rPr>
        <w:t xml:space="preserve">Our lead investor has conditioned the Series B wire transfer on the execution of an Anchor Tenant agreement with Strategic by end of business today. The implications of non-execution are material:</w:t>
      </w:r>
    </w:p>
    <w:p>
      <w:pPr>
        <w:pStyle w:val="ListParagraph"/>
        <w:numPr>
          <w:ilvl w:val="0"/>
          <w:numId w:val="2"/>
        </w:numPr>
        <w:spacing w:before="60" w:after="60"/>
      </w:pPr>
      <w:r>
        <w:rPr>
          <w:rFonts w:ascii="Arial" w:cs="Arial" w:eastAsia="Arial" w:hAnsi="Arial"/>
          <w:sz w:val="22"/>
          <w:szCs w:val="22"/>
        </w:rPr>
        <w:t xml:space="preserve">Payroll for our 200 employees would be at risk within 30 days</w:t>
      </w:r>
    </w:p>
    <w:p>
      <w:pPr>
        <w:pStyle w:val="ListParagraph"/>
        <w:numPr>
          <w:ilvl w:val="0"/>
          <w:numId w:val="2"/>
        </w:numPr>
        <w:spacing w:before="60" w:after="60"/>
      </w:pPr>
      <w:r>
        <w:rPr>
          <w:rFonts w:ascii="Arial" w:cs="Arial" w:eastAsia="Arial" w:hAnsi="Arial"/>
          <w:sz w:val="22"/>
          <w:szCs w:val="22"/>
        </w:rPr>
        <w:t xml:space="preserve">Our Series B valuation anchor — a demonstrated enterprise revenue relationship — would be eliminated</w:t>
      </w:r>
    </w:p>
    <w:p>
      <w:pPr>
        <w:pStyle w:val="ListParagraph"/>
        <w:numPr>
          <w:ilvl w:val="0"/>
          <w:numId w:val="2"/>
        </w:numPr>
        <w:spacing w:before="60" w:after="60"/>
      </w:pPr>
      <w:r>
        <w:rPr>
          <w:rFonts w:ascii="Arial" w:cs="Arial" w:eastAsia="Arial" w:hAnsi="Arial"/>
          <w:sz w:val="22"/>
          <w:szCs w:val="22"/>
        </w:rPr>
        <w:t xml:space="preserve">Delay beyond today's deadline may trigger a re-pricing of the round or investor withdrawal, per verbal communication from the lead</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The CEO has weighed these operational realities against the legal risk profile introduced by Strategic's redline and has concluded that the Lifetime Value (LTV) of this anchor relationship, combined with the capital unlocked by Series B, outweighs the near-term legal exposure. This briefing provides the factual basis for the Board to evaluate that determination.</w:t>
      </w:r>
    </w:p>
    <w:p>
      <w:pPr>
        <w:pBdr>
          <w:bottom w:val="single" w:color="2E5FA3" w:sz="4" w:space="1"/>
        </w:pBdr>
        <w:spacing w:before="160" w:after="160"/>
      </w:pPr>
    </w:p>
    <w:p>
      <w:pPr>
        <w:pStyle w:val="Heading1"/>
        <w:spacing w:before="320" w:after="120"/>
      </w:pPr>
      <w:r>
        <w:rPr>
          <w:rFonts w:ascii="Arial" w:cs="Arial" w:eastAsia="Arial" w:hAnsi="Arial"/>
          <w:b/>
          <w:bCs/>
          <w:color w:val="1F3864"/>
          <w:sz w:val="28"/>
          <w:szCs w:val="28"/>
        </w:rPr>
        <w:t xml:space="preserve">Contractual Modifications: Plain-Language Summary</w:t>
      </w:r>
    </w:p>
    <w:p>
      <w:pPr>
        <w:spacing w:before="80" w:after="80"/>
      </w:pPr>
      <w:r>
        <w:rPr>
          <w:rFonts w:ascii="Arial" w:cs="Arial" w:eastAsia="Arial" w:hAnsi="Arial"/>
          <w:sz w:val="22"/>
          <w:szCs w:val="22"/>
        </w:rPr>
        <w:t xml:space="preserve">Strategic has returned a 'take it or leave it' redline striking three sections. The Board should understand each on its own terms:</w:t>
      </w:r>
    </w:p>
    <w:p>
      <w:pPr>
        <w:pStyle w:val="Heading2"/>
        <w:spacing w:before="240" w:after="80"/>
      </w:pPr>
      <w:r>
        <w:rPr>
          <w:rFonts w:ascii="Arial" w:cs="Arial" w:eastAsia="Arial" w:hAnsi="Arial"/>
          <w:b/>
          <w:bCs/>
          <w:color w:val="2E5FA3"/>
          <w:sz w:val="24"/>
          <w:szCs w:val="24"/>
        </w:rPr>
        <w:t xml:space="preserve">Section 12 — Limitation of Liability (STRUCK)</w:t>
      </w:r>
    </w:p>
    <w:p>
      <w:pPr>
        <w:spacing w:before="80" w:after="80"/>
      </w:pPr>
      <w:r>
        <w:rPr>
          <w:rFonts w:ascii="Arial" w:cs="Arial" w:eastAsia="Arial" w:hAnsi="Arial"/>
          <w:i w:val="false"/>
          <w:iCs w:val="false"/>
          <w:sz w:val="22"/>
          <w:szCs w:val="22"/>
        </w:rPr>
        <w:t xml:space="preserve">What it did: Capped each party's total liability at fees paid in the preceding 12 months, and excluded consequential damages from any claim.</w:t>
      </w:r>
    </w:p>
    <w:p>
      <w:pPr>
        <w:spacing w:before="80" w:after="80"/>
      </w:pPr>
      <w:r>
        <w:rPr>
          <w:rFonts w:ascii="Arial" w:cs="Arial" w:eastAsia="Arial" w:hAnsi="Arial"/>
          <w:sz w:val="22"/>
          <w:szCs w:val="22"/>
        </w:rPr>
        <w:t xml:space="preserve">Effect of removal: There is now no contractual ceiling on Strategic's potential claims against us. If a significant service failure, data breach, or cargo loss occurs, Strategic could pursue damages limited only by what a court awards — potentially exceeding our annual contract value by a substantial multiple.</w:t>
      </w:r>
    </w:p>
    <w:p>
      <w:pPr>
        <w:spacing w:before="80" w:after="80"/>
      </w:pPr>
      <w:r>
        <w:rPr>
          <w:rFonts w:ascii="Arial" w:cs="Arial" w:eastAsia="Arial" w:hAnsi="Arial"/>
          <w:sz w:val="22"/>
          <w:szCs w:val="22"/>
        </w:rPr>
        <w:t xml:space="preserve">Board should note: This is a high-consequence deletion. The framing as an 'Aggressive Market Entry Strategy' reflects our confidence in operational performance — but the Board should be clear-eyed that this represents genuine, unquantified financial exposure that scales with any service failure.</w:t>
      </w:r>
    </w:p>
    <w:p>
      <w:pPr>
        <w:pStyle w:val="Heading2"/>
        <w:spacing w:before="240" w:after="80"/>
      </w:pPr>
      <w:r>
        <w:rPr>
          <w:rFonts w:ascii="Arial" w:cs="Arial" w:eastAsia="Arial" w:hAnsi="Arial"/>
          <w:b/>
          <w:bCs/>
          <w:color w:val="2E5FA3"/>
          <w:sz w:val="24"/>
          <w:szCs w:val="24"/>
        </w:rPr>
        <w:t xml:space="preserve">Section 14.3 — Administrative Integration / Tariff Incorporation (STRUCK)</w:t>
      </w:r>
    </w:p>
    <w:p>
      <w:pPr>
        <w:spacing w:before="80" w:after="80"/>
      </w:pPr>
      <w:r>
        <w:rPr>
          <w:rFonts w:ascii="Arial" w:cs="Arial" w:eastAsia="Arial" w:hAnsi="Arial"/>
          <w:sz w:val="22"/>
          <w:szCs w:val="22"/>
        </w:rPr>
        <w:t xml:space="preserve">What it did: Established that Strategic's acceptance of services constituted a waiver of conflict with our Master Tariff and Global Terms of Carriage for ground and maritime movements — effectively incorporating our standard carrier terms.</w:t>
      </w:r>
    </w:p>
    <w:p>
      <w:pPr>
        <w:spacing w:before="80" w:after="80"/>
      </w:pPr>
      <w:r>
        <w:rPr>
          <w:rFonts w:ascii="Arial" w:cs="Arial" w:eastAsia="Arial" w:hAnsi="Arial"/>
          <w:sz w:val="22"/>
          <w:szCs w:val="22"/>
        </w:rPr>
        <w:t xml:space="preserve">Effect of removal: Our unilateral operating terms no longer govern ground and maritime movements. Disputes in these lanes will be governed solely by the Agreement and applicable law, without our tariff terms as a backstop. This increases operational and legal complexity in carrier liability scenarios.</w:t>
      </w:r>
    </w:p>
    <w:p>
      <w:pPr>
        <w:spacing w:before="80" w:after="80"/>
      </w:pPr>
      <w:r>
        <w:rPr>
          <w:rFonts w:ascii="Arial" w:cs="Arial" w:eastAsia="Arial" w:hAnsi="Arial"/>
          <w:sz w:val="22"/>
          <w:szCs w:val="22"/>
        </w:rPr>
        <w:t xml:space="preserve">Board should note: This is a moderate-risk deletion. It reduces our operational flexibility but is arguably a more balanced and defensible contract position. The removal eliminates a clause that could have been challenged as unconscionable.</w:t>
      </w:r>
    </w:p>
    <w:p>
      <w:pPr>
        <w:pStyle w:val="Heading2"/>
        <w:spacing w:before="240" w:after="80"/>
      </w:pPr>
      <w:r>
        <w:rPr>
          <w:rFonts w:ascii="Arial" w:cs="Arial" w:eastAsia="Arial" w:hAnsi="Arial"/>
          <w:b/>
          <w:bCs/>
          <w:color w:val="2E5FA3"/>
          <w:sz w:val="24"/>
          <w:szCs w:val="24"/>
        </w:rPr>
        <w:t xml:space="preserve">Section 25 — Recovery and Subrogation (STRUCK)</w:t>
      </w:r>
    </w:p>
    <w:p>
      <w:pPr>
        <w:spacing w:before="80" w:after="80"/>
      </w:pPr>
      <w:r>
        <w:rPr>
          <w:rFonts w:ascii="Arial" w:cs="Arial" w:eastAsia="Arial" w:hAnsi="Arial"/>
          <w:sz w:val="22"/>
          <w:szCs w:val="22"/>
        </w:rPr>
        <w:t xml:space="preserve">What it did: Granted GFS the sole and exclusive right to manage all third-party subrogation claims on Strategic's behalf, with authority to settle at our sole discretion and retain all recovery amounts as a 'service fee.'</w:t>
      </w:r>
    </w:p>
    <w:p>
      <w:pPr>
        <w:spacing w:before="80" w:after="80"/>
      </w:pPr>
      <w:r>
        <w:rPr>
          <w:rFonts w:ascii="Arial" w:cs="Arial" w:eastAsia="Arial" w:hAnsi="Arial"/>
          <w:sz w:val="22"/>
          <w:szCs w:val="22"/>
        </w:rPr>
        <w:t xml:space="preserve">Effect of removal: GFS loses the right to manage and retain recovery proceeds from third-party cargo claims.</w:t>
      </w:r>
    </w:p>
    <w:p>
      <w:pPr>
        <w:spacing w:before="80" w:after="80"/>
      </w:pPr>
      <w:r>
        <w:rPr>
          <w:rFonts w:ascii="Arial" w:cs="Arial" w:eastAsia="Arial" w:hAnsi="Arial"/>
          <w:sz w:val="22"/>
          <w:szCs w:val="22"/>
        </w:rPr>
        <w:t xml:space="preserve">Board should note: This clause was drafted in GFS's favor — it is Strategic's most commercially rational deletion. Its removal is consistent with market norms. The Board should not be concerned by its absence; our original inclusion of it was an aggressive opening position.</w:t>
      </w:r>
    </w:p>
    <w:p>
      <w:pPr>
        <w:pBdr>
          <w:bottom w:val="single" w:color="2E5FA3" w:sz="4" w:space="1"/>
        </w:pBdr>
        <w:spacing w:before="160" w:after="160"/>
      </w:pPr>
    </w:p>
    <w:p>
      <w:pPr>
        <w:pStyle w:val="Heading1"/>
        <w:spacing w:before="320" w:after="120"/>
      </w:pPr>
      <w:r>
        <w:rPr>
          <w:rFonts w:ascii="Arial" w:cs="Arial" w:eastAsia="Arial" w:hAnsi="Arial"/>
          <w:b/>
          <w:bCs/>
          <w:color w:val="1F3864"/>
          <w:sz w:val="28"/>
          <w:szCs w:val="28"/>
        </w:rPr>
        <w:t xml:space="preserve">Residual Risk Matrix</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2200"/>
        <w:gridCol w:w="2200"/>
        <w:gridCol w:w="1860"/>
      </w:tblGrid>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What Was Removed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Strategic Framing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Actual Residual Exposure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Mitigation Path</w:t>
            </w:r>
          </w:p>
        </w:tc>
      </w:tr>
      <w:tr>
        <w:trPr>
          <w:tblHeader/>
        </w:trPr>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Was Removed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Strategic Framing</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Actual Residual Exposure</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Mitigation Path</w:t>
            </w:r>
          </w:p>
        </w:tc>
      </w:tr>
      <w:tr>
        <w:tc>
          <w:tcPr>
            <w:tcW w:type="dxa" w:w="11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§12 Limitation of Liability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Damages cap (12-month fees) and consequential damages bar</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Demonstrates confidence in performance quality; signals partnership intent</w:t>
            </w:r>
          </w:p>
        </w:tc>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C0392B"/>
                <w:sz w:val="20"/>
                <w:szCs w:val="20"/>
              </w:rPr>
              <w:t xml:space="preserve">HIGH — Unlimited damages exposure on any material service failure or data incident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Robust insurance (§10); operational SLAs in SOW; Series B funds enable investment in quality systems</w:t>
            </w:r>
          </w:p>
        </w:tc>
      </w:tr>
      <w:tr>
        <w:tc>
          <w:tcPr>
            <w:tcW w:type="dxa" w:w="11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§14.3 Admin Integration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Tariff/Terms of Carriage incorporation for ground and maritime lanes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Provides a cleaner, more transparent contract structure for a flagship customer relationship</w:t>
            </w:r>
          </w:p>
        </w:tc>
        <w:tc>
          <w:tcPr>
            <w:tcW w:type="dxa" w:w="220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color w:val="E67E22"/>
                <w:sz w:val="20"/>
                <w:szCs w:val="20"/>
              </w:rPr>
              <w:t xml:space="preserve">MODERATE — Carrier disputes in ground/maritime lanes governed by Agreement only; tariff backstop unavailable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Negotiate detailed carrier liability provisions into SOW schedules</w:t>
            </w:r>
          </w:p>
        </w:tc>
      </w:tr>
      <w:tr>
        <w:tc>
          <w:tcPr>
            <w:tcW w:type="dxa" w:w="11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§25 Subrogation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GFS exclusive right to manage and retain third-party claim recoveries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Removal signals GFS prioritizes the customer relationship over revenue extraction on claims</w:t>
            </w:r>
          </w:p>
        </w:tc>
        <w:tc>
          <w:tcPr>
            <w:tcW w:type="dxa" w:w="2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1E8449"/>
                <w:sz w:val="20"/>
                <w:szCs w:val="20"/>
              </w:rPr>
              <w:t xml:space="preserve">LOW — This was an aggressive clause in GFS's favor; its removal is commercially standard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required; market-standard outcome</w:t>
            </w:r>
          </w:p>
        </w:tc>
      </w:tr>
    </w:tbl>
    <w:p>
      <w:pPr>
        <w:spacing w:before="80" w:after="80"/>
      </w:pPr>
      <w:r>
        <w:rPr>
          <w:rFonts w:ascii="Arial" w:cs="Arial" w:eastAsia="Arial" w:hAnsi="Arial"/>
          <w:sz w:val="22"/>
          <w:szCs w:val="22"/>
        </w:rPr>
        <w:t xml:space="preserve"/>
      </w:r>
    </w:p>
    <w:p>
      <w:pPr>
        <w:pBdr>
          <w:bottom w:val="single" w:color="2E5FA3" w:sz="4" w:space="1"/>
        </w:pBdr>
        <w:spacing w:before="160" w:after="160"/>
      </w:pPr>
    </w:p>
    <w:p>
      <w:pPr>
        <w:pStyle w:val="Heading1"/>
        <w:spacing w:before="320" w:after="120"/>
      </w:pPr>
      <w:r>
        <w:rPr>
          <w:rFonts w:ascii="Arial" w:cs="Arial" w:eastAsia="Arial" w:hAnsi="Arial"/>
          <w:b/>
          <w:bCs/>
          <w:color w:val="1F3864"/>
          <w:sz w:val="28"/>
          <w:szCs w:val="28"/>
        </w:rPr>
        <w:t xml:space="preserve">Mitigating Factors and Ongoing Protections</w:t>
      </w:r>
    </w:p>
    <w:p>
      <w:pPr>
        <w:spacing w:before="80" w:after="80"/>
      </w:pPr>
      <w:r>
        <w:rPr>
          <w:rFonts w:ascii="Arial" w:cs="Arial" w:eastAsia="Arial" w:hAnsi="Arial"/>
          <w:sz w:val="22"/>
          <w:szCs w:val="22"/>
        </w:rPr>
        <w:t xml:space="preserve">The Board should note that significant contractual protections remain in place notwithstanding the struck sections:</w:t>
      </w:r>
    </w:p>
    <w:p>
      <w:pPr>
        <w:pStyle w:val="ListParagraph"/>
        <w:numPr>
          <w:ilvl w:val="0"/>
          <w:numId w:val="2"/>
        </w:numPr>
        <w:spacing w:before="60" w:after="60"/>
      </w:pPr>
      <w:r>
        <w:rPr>
          <w:rFonts w:ascii="Arial" w:cs="Arial" w:eastAsia="Arial" w:hAnsi="Arial"/>
          <w:sz w:val="22"/>
          <w:szCs w:val="22"/>
        </w:rPr>
        <w:t xml:space="preserve">Insurance Coverage (§10): GFS maintains $5M General Liability, $10M Cargo, and $2M Professional Liability insurance — this is the primary economic backstop against the unlimited liability exposure created by striking §12.</w:t>
      </w:r>
    </w:p>
    <w:p>
      <w:pPr>
        <w:pStyle w:val="ListParagraph"/>
        <w:numPr>
          <w:ilvl w:val="0"/>
          <w:numId w:val="2"/>
        </w:numPr>
        <w:spacing w:before="60" w:after="60"/>
      </w:pPr>
      <w:r>
        <w:rPr>
          <w:rFonts w:ascii="Arial" w:cs="Arial" w:eastAsia="Arial" w:hAnsi="Arial"/>
          <w:sz w:val="22"/>
          <w:szCs w:val="22"/>
        </w:rPr>
        <w:t xml:space="preserve">Indemnification (§13): Mutual indemnification obligations survive, covering gross negligence and willful misconduct, as well as IP infringement by GFS's software platforms.</w:t>
      </w:r>
    </w:p>
    <w:p>
      <w:pPr>
        <w:pStyle w:val="ListParagraph"/>
        <w:numPr>
          <w:ilvl w:val="0"/>
          <w:numId w:val="2"/>
        </w:numPr>
        <w:spacing w:before="60" w:after="60"/>
      </w:pPr>
      <w:r>
        <w:rPr>
          <w:rFonts w:ascii="Arial" w:cs="Arial" w:eastAsia="Arial" w:hAnsi="Arial"/>
          <w:sz w:val="22"/>
          <w:szCs w:val="22"/>
        </w:rPr>
        <w:t xml:space="preserve">Data Breach Notification (§8): The 48-hour breach notification obligation and security standards remain intact.</w:t>
      </w:r>
    </w:p>
    <w:p>
      <w:pPr>
        <w:pStyle w:val="ListParagraph"/>
        <w:numPr>
          <w:ilvl w:val="0"/>
          <w:numId w:val="2"/>
        </w:numPr>
        <w:spacing w:before="60" w:after="60"/>
      </w:pPr>
      <w:r>
        <w:rPr>
          <w:rFonts w:ascii="Arial" w:cs="Arial" w:eastAsia="Arial" w:hAnsi="Arial"/>
          <w:sz w:val="22"/>
          <w:szCs w:val="22"/>
        </w:rPr>
        <w:t xml:space="preserve">Audit Rights (§9): Annual audit rights protect against undisclosed operational failures.</w:t>
      </w:r>
    </w:p>
    <w:p>
      <w:pPr>
        <w:pStyle w:val="ListParagraph"/>
        <w:numPr>
          <w:ilvl w:val="0"/>
          <w:numId w:val="2"/>
        </w:numPr>
        <w:spacing w:before="60" w:after="60"/>
      </w:pPr>
      <w:r>
        <w:rPr>
          <w:rFonts w:ascii="Arial" w:cs="Arial" w:eastAsia="Arial" w:hAnsi="Arial"/>
          <w:sz w:val="22"/>
          <w:szCs w:val="22"/>
        </w:rPr>
        <w:t xml:space="preserve">Dispute Resolution (§15): Delaware courts and executive escalation requirements remain as friction against frivolous claims.</w:t>
      </w:r>
    </w:p>
    <w:p>
      <w:pPr>
        <w:pStyle w:val="ListParagraph"/>
        <w:numPr>
          <w:ilvl w:val="0"/>
          <w:numId w:val="2"/>
        </w:numPr>
        <w:spacing w:before="60" w:after="60"/>
      </w:pPr>
      <w:r>
        <w:rPr>
          <w:rFonts w:ascii="Arial" w:cs="Arial" w:eastAsia="Arial" w:hAnsi="Arial"/>
          <w:sz w:val="22"/>
          <w:szCs w:val="22"/>
        </w:rPr>
        <w:t xml:space="preserve">Survival Clause (§23): Confidentiality, IP, and liability provisions survive termination — though §12 now surviving means the cap, not the unlimited exposure, survives termination.</w:t>
      </w:r>
    </w:p>
    <w:p>
      <w:pPr>
        <w:pBdr>
          <w:bottom w:val="single" w:color="2E5FA3" w:sz="4" w:space="1"/>
        </w:pBdr>
        <w:spacing w:before="160" w:after="160"/>
      </w:pPr>
    </w:p>
    <w:p>
      <w:pPr>
        <w:pStyle w:val="Heading1"/>
        <w:spacing w:before="320" w:after="120"/>
      </w:pPr>
      <w:r>
        <w:rPr>
          <w:rFonts w:ascii="Arial" w:cs="Arial" w:eastAsia="Arial" w:hAnsi="Arial"/>
          <w:b/>
          <w:bCs/>
          <w:color w:val="1F3864"/>
          <w:sz w:val="28"/>
          <w:szCs w:val="28"/>
        </w:rPr>
        <w:t xml:space="preserve">Board Action Required</w:t>
      </w:r>
    </w:p>
    <w:p>
      <w:pPr>
        <w:spacing w:before="80" w:after="80"/>
      </w:pPr>
      <w:r>
        <w:rPr>
          <w:rFonts w:ascii="Arial" w:cs="Arial" w:eastAsia="Arial" w:hAnsi="Arial"/>
          <w:sz w:val="22"/>
          <w:szCs w:val="22"/>
        </w:rPr>
        <w:t xml:space="preserve">The CEO requests that the Board take the following actions at today's emergency session:</w:t>
      </w:r>
    </w:p>
    <w:p>
      <w:pPr>
        <w:pStyle w:val="ListParagraph"/>
        <w:numPr>
          <w:ilvl w:val="0"/>
          <w:numId w:val="2"/>
        </w:numPr>
        <w:spacing w:before="60" w:after="60"/>
      </w:pPr>
      <w:r>
        <w:rPr>
          <w:rFonts w:ascii="Arial" w:cs="Arial" w:eastAsia="Arial" w:hAnsi="Arial"/>
          <w:sz w:val="22"/>
          <w:szCs w:val="22"/>
        </w:rPr>
        <w:t xml:space="preserve">Review this memorandum and confirm understanding of the risk profile of each struck section as described above</w:t>
      </w:r>
    </w:p>
    <w:p>
      <w:pPr>
        <w:pStyle w:val="ListParagraph"/>
        <w:numPr>
          <w:ilvl w:val="0"/>
          <w:numId w:val="2"/>
        </w:numPr>
        <w:spacing w:before="60" w:after="60"/>
      </w:pPr>
      <w:r>
        <w:rPr>
          <w:rFonts w:ascii="Arial" w:cs="Arial" w:eastAsia="Arial" w:hAnsi="Arial"/>
          <w:sz w:val="22"/>
          <w:szCs w:val="22"/>
        </w:rPr>
        <w:t xml:space="preserve">Vote on whether to authorize execution of the Agreement in its modified form, acknowledging the Series B timing constraint and the CEO's LTV analysis</w:t>
      </w:r>
    </w:p>
    <w:p>
      <w:pPr>
        <w:pStyle w:val="ListParagraph"/>
        <w:numPr>
          <w:ilvl w:val="0"/>
          <w:numId w:val="2"/>
        </w:numPr>
        <w:spacing w:before="60" w:after="60"/>
      </w:pPr>
      <w:r>
        <w:rPr>
          <w:rFonts w:ascii="Arial" w:cs="Arial" w:eastAsia="Arial" w:hAnsi="Arial"/>
          <w:sz w:val="22"/>
          <w:szCs w:val="22"/>
        </w:rPr>
        <w:t xml:space="preserve">If authorized, direct General Counsel to prepare a post-execution risk remediation plan addressing §12 exposure through enhanced insurance riders and SOW-level SLA provisions</w:t>
      </w:r>
    </w:p>
    <w:p>
      <w:pPr>
        <w:pStyle w:val="ListParagraph"/>
        <w:numPr>
          <w:ilvl w:val="0"/>
          <w:numId w:val="2"/>
        </w:numPr>
        <w:spacing w:before="60" w:after="60"/>
      </w:pPr>
      <w:r>
        <w:rPr>
          <w:rFonts w:ascii="Arial" w:cs="Arial" w:eastAsia="Arial" w:hAnsi="Arial"/>
          <w:sz w:val="22"/>
          <w:szCs w:val="22"/>
        </w:rPr>
        <w:t xml:space="preserve">Direct the CFO to confirm that Series B proceeds are sufficient to establish a reserve fund against potential uninsured claims exposure</w:t>
      </w:r>
    </w:p>
    <w:p>
      <w:pPr>
        <w:spacing w:before="80" w:after="80"/>
      </w:pPr>
      <w:r>
        <w:rPr>
          <w:rFonts w:ascii="Arial" w:cs="Arial" w:eastAsia="Arial" w:hAnsi="Arial"/>
          <w:sz w:val="22"/>
          <w:szCs w:val="22"/>
        </w:rPr>
        <w:t xml:space="preserve"/>
      </w:r>
    </w:p>
    <w:p>
      <w:pPr>
        <w:spacing w:before="80" w:after="80"/>
      </w:pPr>
      <w:r>
        <w:rPr>
          <w:rFonts w:ascii="Arial" w:cs="Arial" w:eastAsia="Arial" w:hAnsi="Arial"/>
          <w:i/>
          <w:iCs/>
          <w:sz w:val="22"/>
          <w:szCs w:val="22"/>
        </w:rPr>
        <w:t xml:space="preserve">The CEO and Strategic Communications Lead are available to present this briefing live and answer questions prior to the vote.</w:t>
      </w:r>
    </w:p>
    <w:p>
      <w:pPr>
        <w:pBdr>
          <w:bottom w:val="single" w:color="2E5FA3" w:sz="4" w:space="1"/>
        </w:pBdr>
        <w:spacing w:before="160" w:after="160"/>
      </w:pPr>
    </w:p>
    <w:p>
      <w:pPr>
        <w:spacing w:before="200" w:after="80"/>
      </w:pPr>
      <w:r>
        <w:rPr>
          <w:rFonts w:ascii="Arial" w:cs="Arial" w:eastAsia="Arial" w:hAnsi="Arial"/>
          <w:b/>
          <w:bCs/>
          <w:sz w:val="22"/>
          <w:szCs w:val="22"/>
        </w:rPr>
        <w:t xml:space="preserve">Submitted for Board Review:</w:t>
      </w:r>
    </w:p>
    <w:p>
      <w:pPr>
        <w:spacing w:before="80" w:after="60"/>
      </w:pPr>
      <w:r>
        <w:rPr>
          <w:rFonts w:ascii="Arial" w:cs="Arial" w:eastAsia="Arial" w:hAnsi="Arial"/>
          <w:sz w:val="22"/>
          <w:szCs w:val="22"/>
        </w:rPr>
        <w:t xml:space="preserve">CEO, Global Forwarding Solutions, Inc.</w:t>
      </w:r>
    </w:p>
    <w:p>
      <w:pPr>
        <w:spacing w:before="0" w:after="60"/>
      </w:pPr>
      <w:r>
        <w:rPr>
          <w:rFonts w:ascii="Arial" w:cs="Arial" w:eastAsia="Arial" w:hAnsi="Arial"/>
          <w:sz w:val="22"/>
          <w:szCs w:val="22"/>
        </w:rPr>
        <w:t xml:space="preserve">March 5, 2026</w:t>
      </w:r>
    </w:p>
    <w:p>
      <w:pPr>
        <w:spacing w:before="120" w:after="80"/>
      </w:pPr>
      <w:r>
        <w:rPr>
          <w:rFonts w:ascii="Arial" w:cs="Arial" w:eastAsia="Arial" w:hAnsi="Arial"/>
          <w:sz w:val="22"/>
          <w:szCs w:val="22"/>
        </w:rPr>
        <w:t xml:space="preserve">Strategic Communications Lead, Global Forwarding Solutions, Inc.</w:t>
      </w:r>
    </w:p>
    <w:p>
      <w:pPr>
        <w:spacing w:before="0" w:after="60"/>
      </w:pPr>
      <w:r>
        <w:rPr>
          <w:rFonts w:ascii="Arial" w:cs="Arial" w:eastAsia="Arial" w:hAnsi="Arial"/>
          <w:sz w:val="22"/>
          <w:szCs w:val="22"/>
        </w:rPr>
        <w:t xml:space="preserve">March 5, 2026</w:t>
      </w:r>
    </w:p>
    <w:p>
      <w:pPr>
        <w:spacing w:before="80" w:after="80"/>
      </w:pPr>
      <w:r>
        <w:rPr>
          <w:rFonts w:ascii="Arial" w:cs="Arial" w:eastAsia="Arial" w:hAnsi="Arial"/>
          <w:sz w:val="22"/>
          <w:szCs w:val="22"/>
        </w:rPr>
        <w:t xml:space="preserve"/>
      </w:r>
    </w:p>
    <w:p>
      <w:pPr>
        <w:pBdr>
          <w:top w:val="single" w:color="AAAAAA" w:sz="4" w:space="4"/>
        </w:pBdr>
        <w:shd w:fill="F2F3F4" w:val="clear"/>
        <w:spacing w:before="240" w:after="0"/>
      </w:pPr>
      <w:r>
        <w:rPr>
          <w:rFonts w:ascii="Arial" w:cs="Arial" w:eastAsia="Arial" w:hAnsi="Arial"/>
          <w:i/>
          <w:iCs/>
          <w:color w:val="777777"/>
          <w:sz w:val="18"/>
          <w:szCs w:val="18"/>
        </w:rPr>
        <w:t xml:space="preserve">CONFIDENTIAL — ATTORNEY-CLIENT PRIVILEGE MAY APPLY. This document is prepared for the exclusive use of the Board of Directors of Global Forwarding Solutions, Inc. Distribution outside the Board without CEO authorization is prohibited.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8"/>
        <w:szCs w:val="18"/>
      </w:rPr>
      <w:t xml:space="preserve">March 5, 2026  |  Strategic Enterprise Holdings — Anchor Tenant Execution</w:t>
    </w:r>
    <w:r>
      <w:rPr>
        <w:rFonts w:ascii="Arial" w:cs="Arial" w:eastAsia="Arial" w:hAnsi="Arial"/>
        <w:color w:val="888888"/>
        <w:sz w:val="18"/>
        <w:szCs w:val="18"/>
      </w:rPr>
      <w:t xml:space="preserve">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spacing w:after="100"/>
    </w:pPr>
    <w:r>
      <w:rPr>
        <w:rFonts w:ascii="Arial" w:cs="Arial" w:eastAsia="Arial" w:hAnsi="Arial"/>
        <w:b/>
        <w:bCs/>
        <w:color w:val="1F3864"/>
        <w:sz w:val="18"/>
        <w:szCs w:val="18"/>
      </w:rPr>
      <w:t xml:space="preserve">CONFIDENTIAL — BOARD OF DIRECTORS</w:t>
    </w:r>
    <w:r>
      <w:rPr>
        <w:rFonts w:ascii="Arial" w:cs="Arial" w:eastAsia="Arial" w:hAnsi="Arial"/>
        <w:color w:val="666666"/>
        <w:sz w:val="18"/>
        <w:szCs w:val="18"/>
      </w:rPr>
      <w:t xml:space="preserve">   |   Global Forwarding Solutions,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2026-03-06T03:53:07.013Z</dcterms:created>
  <dcterms:modified xsi:type="dcterms:W3CDTF">2026-03-06T03:53:07.015Z</dcterms:modified>
</cp:coreProperties>
</file>

<file path=docProps/custom.xml><?xml version="1.0" encoding="utf-8"?>
<Properties xmlns="http://schemas.openxmlformats.org/officeDocument/2006/custom-properties" xmlns:vt="http://schemas.openxmlformats.org/officeDocument/2006/docPropsVTypes"/>
</file>