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Comparaisons des graphes avec une approche logique entre les différents stades à l’aide d’une “métrique biologique” → modifications de la méthode d’apprentissage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faire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des gènes (colonnes) qui sont toujours à zéro (pre-processing)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Transformer le csv en prédicats ASP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clingo sur machine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Comparer le programme à 2 classes et le programme à n classes (différences)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Comprendre le code des supplementary materials de Bolteau 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scRNA2BoNI / ISBRA_2023_Supp / supplementary_material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Notes Armel: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2ème idée : relative à l'évolution actuelle de la thèse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obtention de famille de réseaux booléens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comment construire le pseudo-temps avec seulement les gènes / cellules sélectionnées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formuler leurs pistes par écrit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analyse de données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filtrer tous les gènes qui sont toujours nuls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 lancer le programme pour obtenir toutes les pseudo-perturbations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--&gt; interpréter le résultat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les zeros ajoutent du bruit/complexité inutile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écrire un script qui filtre les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utiliser python pour transformer csv en prédicat comme défini dans supplementary_material.pdf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pour lancer le solver ASP lui donner: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lignes 1 à 8 les données sous forme de prédicat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lignes 8 à 11 pour résoudre le problème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partir d'un fichier python et le transformer en fichier .alp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 qui nous intéresse dans csv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nom de la cellule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les différents gènes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s'il le gène i dans la cellule j est activé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expr(c3, g1, 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