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76" w:rsidRDefault="00B03476" w:rsidP="00B03476">
      <w:pPr>
        <w:pStyle w:val="Default"/>
      </w:pPr>
    </w:p>
    <w:p w:rsidR="00B03476" w:rsidRDefault="00B03476" w:rsidP="00B0347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de pós-graduação em Estatística Aplicada</w:t>
      </w:r>
    </w:p>
    <w:p w:rsidR="00B03476" w:rsidRDefault="00B03476" w:rsidP="00B03476">
      <w:pPr>
        <w:pStyle w:val="Default"/>
        <w:jc w:val="center"/>
        <w:rPr>
          <w:sz w:val="23"/>
          <w:szCs w:val="23"/>
        </w:rPr>
      </w:pPr>
    </w:p>
    <w:p w:rsidR="00987246" w:rsidRPr="00987246" w:rsidRDefault="00987246" w:rsidP="00987246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Felipe </w:t>
      </w:r>
      <w:proofErr w:type="spellStart"/>
      <w:r>
        <w:rPr>
          <w:sz w:val="16"/>
          <w:szCs w:val="16"/>
        </w:rPr>
        <w:t>Neres</w:t>
      </w:r>
      <w:proofErr w:type="spellEnd"/>
      <w:r>
        <w:rPr>
          <w:sz w:val="16"/>
          <w:szCs w:val="16"/>
        </w:rPr>
        <w:t xml:space="preserve"> Silva Bezerra</w:t>
      </w:r>
      <w:bookmarkStart w:id="0" w:name="_GoBack"/>
      <w:bookmarkEnd w:id="0"/>
    </w:p>
    <w:p w:rsidR="00987246" w:rsidRDefault="00987246" w:rsidP="00B03476">
      <w:pPr>
        <w:pStyle w:val="Default"/>
        <w:jc w:val="center"/>
        <w:rPr>
          <w:sz w:val="23"/>
          <w:szCs w:val="23"/>
        </w:rPr>
      </w:pPr>
    </w:p>
    <w:p w:rsidR="00B03476" w:rsidRDefault="00B03476" w:rsidP="00B0347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Estatística Multivariada – Análise Fatorial Exploratória</w:t>
      </w:r>
    </w:p>
    <w:p w:rsidR="00B03476" w:rsidRDefault="00B03476" w:rsidP="00B03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03476" w:rsidRDefault="00B03476" w:rsidP="00B03476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1. Discuta cada um dos itens abaixo: </w:t>
      </w:r>
    </w:p>
    <w:p w:rsidR="00B03476" w:rsidRDefault="00B03476" w:rsidP="00710FC2">
      <w:pPr>
        <w:pStyle w:val="Default"/>
        <w:numPr>
          <w:ilvl w:val="0"/>
          <w:numId w:val="7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Cite as diferenças conceituais entre a análise de componentes principais e a análise fatorial. Dê um exemplo de aplicação de cada uma delas. </w:t>
      </w:r>
    </w:p>
    <w:p w:rsidR="00D84DDA" w:rsidRDefault="00D84DDA" w:rsidP="009410AF">
      <w:pPr>
        <w:pStyle w:val="Default"/>
        <w:spacing w:after="44"/>
        <w:ind w:left="360" w:firstLine="207"/>
        <w:rPr>
          <w:sz w:val="23"/>
          <w:szCs w:val="23"/>
        </w:rPr>
      </w:pPr>
      <w:r>
        <w:rPr>
          <w:sz w:val="23"/>
          <w:szCs w:val="23"/>
        </w:rPr>
        <w:t>A análise de componentes principais preocupa-se mais em reduzir o número de variáveis mantendo a maior parte da variância explicada, enquanto que a análise fatorial tem o intuito de agrupar variáveis em busca de variáveis latentes que possam ser interpretadas.</w:t>
      </w:r>
    </w:p>
    <w:p w:rsidR="00D84DDA" w:rsidRDefault="00D84DDA" w:rsidP="00D84DDA">
      <w:pPr>
        <w:pStyle w:val="Default"/>
        <w:spacing w:after="44"/>
        <w:ind w:left="360"/>
        <w:rPr>
          <w:sz w:val="23"/>
          <w:szCs w:val="23"/>
        </w:rPr>
      </w:pPr>
    </w:p>
    <w:p w:rsidR="007E1CEA" w:rsidRDefault="00B03476" w:rsidP="007E1CEA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Após uma rotação de fatores em uma Análise Fatorial, os autovalores e as comunalida</w:t>
      </w:r>
      <w:r w:rsidR="00CF3905">
        <w:rPr>
          <w:sz w:val="23"/>
          <w:szCs w:val="23"/>
        </w:rPr>
        <w:t>des podem se alterar? Explique.</w:t>
      </w:r>
    </w:p>
    <w:p w:rsidR="004B666A" w:rsidRDefault="004B666A" w:rsidP="009410AF">
      <w:pPr>
        <w:pStyle w:val="Default"/>
        <w:ind w:left="360" w:firstLine="207"/>
        <w:rPr>
          <w:sz w:val="23"/>
          <w:szCs w:val="23"/>
        </w:rPr>
      </w:pPr>
      <w:r>
        <w:rPr>
          <w:sz w:val="23"/>
          <w:szCs w:val="23"/>
        </w:rPr>
        <w:t>Como as cargas se alteram com a rotação, os autovalores de cada fator também se alteram, embora não haja modificação na variância acumulada. O mesmo ocorre com as comunalidades quando se utiliza rotação oblíqua.</w:t>
      </w:r>
    </w:p>
    <w:p w:rsidR="00CF3905" w:rsidRDefault="004B666A" w:rsidP="009410AF">
      <w:pPr>
        <w:pStyle w:val="Default"/>
        <w:ind w:left="360" w:firstLine="207"/>
        <w:rPr>
          <w:sz w:val="23"/>
          <w:szCs w:val="23"/>
        </w:rPr>
      </w:pPr>
      <w:r>
        <w:rPr>
          <w:sz w:val="23"/>
          <w:szCs w:val="23"/>
        </w:rPr>
        <w:t>Com a rotação ortogonal, por outro lado, as comunalidades são preservadas, já que não se alteram as posições das variáveis no espaço dos fatores.</w:t>
      </w:r>
    </w:p>
    <w:p w:rsidR="00B03476" w:rsidRDefault="00B03476" w:rsidP="00B03476">
      <w:pPr>
        <w:pStyle w:val="Default"/>
        <w:rPr>
          <w:sz w:val="23"/>
          <w:szCs w:val="23"/>
        </w:rPr>
      </w:pPr>
    </w:p>
    <w:p w:rsidR="00B03476" w:rsidRDefault="00B03476" w:rsidP="00B03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Considere um modelo com dois fatores comuns de 7 características de vinhos representadas pelas seguintes combinações após rotação Varimax: </w:t>
      </w:r>
    </w:p>
    <w:p w:rsidR="00B03476" w:rsidRDefault="00B03476" w:rsidP="00B03476">
      <w:pPr>
        <w:pStyle w:val="Default"/>
        <w:rPr>
          <w:sz w:val="23"/>
          <w:szCs w:val="23"/>
        </w:rPr>
      </w:pPr>
    </w:p>
    <w:p w:rsidR="00B03476" w:rsidRPr="00710FC2" w:rsidRDefault="00710FC2" w:rsidP="004972B9">
      <w:pPr>
        <w:pStyle w:val="Default"/>
        <w:ind w:left="708" w:firstLine="708"/>
        <w:rPr>
          <w:rFonts w:asciiTheme="minorHAnsi" w:hAnsiTheme="minorHAnsi" w:cstheme="minorHAnsi"/>
          <w:i/>
          <w:sz w:val="23"/>
          <w:szCs w:val="23"/>
        </w:rPr>
      </w:pPr>
      <w:r w:rsidRPr="00710FC2">
        <w:rPr>
          <w:rFonts w:asciiTheme="minorHAnsi" w:hAnsiTheme="minorHAnsi" w:cstheme="minorHAnsi"/>
          <w:i/>
          <w:sz w:val="23"/>
          <w:szCs w:val="23"/>
        </w:rPr>
        <w:t>Hedônico</w:t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=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0,71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1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+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0,01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 xml:space="preserve">2 </w:t>
      </w:r>
    </w:p>
    <w:p w:rsidR="00B03476" w:rsidRPr="00710FC2" w:rsidRDefault="00710FC2" w:rsidP="004972B9">
      <w:pPr>
        <w:pStyle w:val="Default"/>
        <w:ind w:left="708" w:firstLine="708"/>
        <w:rPr>
          <w:rFonts w:asciiTheme="minorHAnsi" w:hAnsiTheme="minorHAnsi" w:cstheme="minorHAnsi"/>
          <w:i/>
          <w:sz w:val="23"/>
          <w:szCs w:val="23"/>
        </w:rPr>
      </w:pPr>
      <w:r w:rsidRPr="00710FC2">
        <w:rPr>
          <w:rFonts w:asciiTheme="minorHAnsi" w:hAnsiTheme="minorHAnsi" w:cstheme="minorHAnsi"/>
          <w:i/>
          <w:sz w:val="23"/>
          <w:szCs w:val="23"/>
        </w:rPr>
        <w:t>Adequado para carnes</w:t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=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0,72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1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0,21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 xml:space="preserve">2 </w:t>
      </w:r>
    </w:p>
    <w:p w:rsidR="00B03476" w:rsidRPr="00710FC2" w:rsidRDefault="00710FC2" w:rsidP="004972B9">
      <w:pPr>
        <w:pStyle w:val="Default"/>
        <w:ind w:left="708" w:firstLine="708"/>
        <w:rPr>
          <w:rFonts w:asciiTheme="minorHAnsi" w:hAnsiTheme="minorHAnsi" w:cstheme="minorHAnsi"/>
          <w:i/>
          <w:sz w:val="23"/>
          <w:szCs w:val="23"/>
        </w:rPr>
      </w:pPr>
      <w:r w:rsidRPr="00710FC2">
        <w:rPr>
          <w:rFonts w:asciiTheme="minorHAnsi" w:hAnsiTheme="minorHAnsi" w:cstheme="minorHAnsi"/>
          <w:i/>
          <w:sz w:val="23"/>
          <w:szCs w:val="23"/>
        </w:rPr>
        <w:t>Adequado para sobremesas</w:t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=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0,11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1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0,73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 xml:space="preserve">2 </w:t>
      </w:r>
    </w:p>
    <w:p w:rsidR="00B03476" w:rsidRPr="00710FC2" w:rsidRDefault="00710FC2" w:rsidP="004972B9">
      <w:pPr>
        <w:pStyle w:val="Default"/>
        <w:ind w:left="708" w:firstLine="708"/>
        <w:rPr>
          <w:rFonts w:asciiTheme="minorHAnsi" w:hAnsiTheme="minorHAnsi" w:cstheme="minorHAnsi"/>
          <w:i/>
          <w:sz w:val="23"/>
          <w:szCs w:val="23"/>
        </w:rPr>
      </w:pPr>
      <w:r w:rsidRPr="00710FC2">
        <w:rPr>
          <w:rFonts w:asciiTheme="minorHAnsi" w:hAnsiTheme="minorHAnsi" w:cstheme="minorHAnsi"/>
          <w:i/>
          <w:sz w:val="23"/>
          <w:szCs w:val="23"/>
        </w:rPr>
        <w:t>Preço</w:t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=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  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0,80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1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0,20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 xml:space="preserve">2 </w:t>
      </w:r>
    </w:p>
    <w:p w:rsidR="00B03476" w:rsidRPr="00710FC2" w:rsidRDefault="00710FC2" w:rsidP="004972B9">
      <w:pPr>
        <w:pStyle w:val="Default"/>
        <w:ind w:left="708" w:firstLine="708"/>
        <w:rPr>
          <w:rFonts w:asciiTheme="minorHAnsi" w:hAnsiTheme="minorHAnsi" w:cstheme="minorHAnsi"/>
          <w:i/>
          <w:sz w:val="23"/>
          <w:szCs w:val="23"/>
        </w:rPr>
      </w:pPr>
      <w:r w:rsidRPr="00710FC2">
        <w:rPr>
          <w:rFonts w:asciiTheme="minorHAnsi" w:hAnsiTheme="minorHAnsi" w:cstheme="minorHAnsi"/>
          <w:i/>
          <w:sz w:val="23"/>
          <w:szCs w:val="23"/>
        </w:rPr>
        <w:t>Açúcar</w:t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=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  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0,13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1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0,91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 xml:space="preserve">2 </w:t>
      </w:r>
    </w:p>
    <w:p w:rsidR="00B03476" w:rsidRPr="00710FC2" w:rsidRDefault="00710FC2" w:rsidP="004972B9">
      <w:pPr>
        <w:pStyle w:val="Default"/>
        <w:ind w:left="708" w:firstLine="708"/>
        <w:rPr>
          <w:rFonts w:asciiTheme="minorHAnsi" w:hAnsiTheme="minorHAnsi" w:cstheme="minorHAnsi"/>
          <w:i/>
          <w:sz w:val="23"/>
          <w:szCs w:val="23"/>
        </w:rPr>
      </w:pPr>
      <w:r w:rsidRPr="00710FC2">
        <w:rPr>
          <w:rFonts w:asciiTheme="minorHAnsi" w:hAnsiTheme="minorHAnsi" w:cstheme="minorHAnsi"/>
          <w:i/>
          <w:sz w:val="23"/>
          <w:szCs w:val="23"/>
        </w:rPr>
        <w:t>Álcool</w:t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=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0,75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1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0,05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 xml:space="preserve">2 </w:t>
      </w:r>
    </w:p>
    <w:p w:rsidR="00B03476" w:rsidRPr="00710FC2" w:rsidRDefault="00710FC2" w:rsidP="004972B9">
      <w:pPr>
        <w:pStyle w:val="Default"/>
        <w:ind w:left="708" w:firstLine="708"/>
        <w:rPr>
          <w:rFonts w:asciiTheme="minorHAnsi" w:hAnsiTheme="minorHAnsi" w:cstheme="minorHAnsi"/>
          <w:i/>
          <w:sz w:val="23"/>
          <w:szCs w:val="23"/>
        </w:rPr>
      </w:pPr>
      <w:r w:rsidRPr="00710FC2">
        <w:rPr>
          <w:rFonts w:asciiTheme="minorHAnsi" w:hAnsiTheme="minorHAnsi" w:cstheme="minorHAnsi"/>
          <w:i/>
          <w:sz w:val="23"/>
          <w:szCs w:val="23"/>
        </w:rPr>
        <w:t>Acidez</w:t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Pr="00710FC2">
        <w:rPr>
          <w:rFonts w:asciiTheme="minorHAnsi" w:hAnsiTheme="minorHAnsi" w:cstheme="minorHAnsi"/>
          <w:i/>
          <w:sz w:val="23"/>
          <w:szCs w:val="23"/>
        </w:rPr>
        <w:tab/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=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0,78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1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−</w:t>
      </w:r>
      <w:r w:rsidRPr="00710FC2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0,03</w:t>
      </w:r>
      <w:r w:rsidR="00B03476" w:rsidRPr="00710FC2">
        <w:rPr>
          <w:rFonts w:ascii="Cambria Math" w:hAnsi="Cambria Math" w:cs="Cambria Math"/>
          <w:i/>
          <w:sz w:val="23"/>
          <w:szCs w:val="23"/>
        </w:rPr>
        <w:t>∗𝐹</w:t>
      </w:r>
      <w:r w:rsidR="00B03476" w:rsidRPr="00710FC2">
        <w:rPr>
          <w:rFonts w:asciiTheme="minorHAnsi" w:hAnsiTheme="minorHAnsi" w:cstheme="minorHAnsi"/>
          <w:i/>
          <w:sz w:val="23"/>
          <w:szCs w:val="23"/>
        </w:rPr>
        <w:t>2</w:t>
      </w:r>
    </w:p>
    <w:p w:rsidR="00B03476" w:rsidRDefault="00B03476" w:rsidP="00B03476">
      <w:pPr>
        <w:pStyle w:val="Default"/>
        <w:rPr>
          <w:sz w:val="17"/>
          <w:szCs w:val="17"/>
        </w:rPr>
      </w:pPr>
    </w:p>
    <w:p w:rsidR="009F58ED" w:rsidRDefault="00B03476" w:rsidP="009F58ED">
      <w:pPr>
        <w:pStyle w:val="Default"/>
        <w:numPr>
          <w:ilvl w:val="0"/>
          <w:numId w:val="1"/>
        </w:numPr>
        <w:spacing w:after="46"/>
        <w:ind w:left="502" w:hanging="360"/>
        <w:rPr>
          <w:sz w:val="23"/>
          <w:szCs w:val="23"/>
        </w:rPr>
      </w:pPr>
      <w:r>
        <w:rPr>
          <w:sz w:val="23"/>
          <w:szCs w:val="23"/>
        </w:rPr>
        <w:t>a) Quais são os au</w:t>
      </w:r>
      <w:r w:rsidR="009F58ED">
        <w:rPr>
          <w:sz w:val="23"/>
          <w:szCs w:val="23"/>
        </w:rPr>
        <w:t>tovalores dos fatores? Comente.</w:t>
      </w:r>
    </w:p>
    <w:p w:rsidR="009F58ED" w:rsidRDefault="009F58ED" w:rsidP="00B64C47">
      <w:pPr>
        <w:pStyle w:val="Default"/>
        <w:spacing w:after="46"/>
        <w:ind w:left="567" w:firstLine="284"/>
        <w:rPr>
          <w:sz w:val="23"/>
          <w:szCs w:val="23"/>
        </w:rPr>
      </w:pPr>
      <w:r>
        <w:rPr>
          <w:sz w:val="23"/>
          <w:szCs w:val="23"/>
        </w:rPr>
        <w:t xml:space="preserve">Os autovalores dos fatores 1 e 2 são, respectivamente, </w:t>
      </w:r>
      <w:r w:rsidRPr="009F58ED">
        <w:rPr>
          <w:sz w:val="23"/>
          <w:szCs w:val="23"/>
        </w:rPr>
        <w:t>2,8624</w:t>
      </w:r>
      <w:r>
        <w:rPr>
          <w:sz w:val="23"/>
          <w:szCs w:val="23"/>
        </w:rPr>
        <w:t xml:space="preserve"> e </w:t>
      </w:r>
      <w:r w:rsidRPr="009F58ED">
        <w:rPr>
          <w:sz w:val="23"/>
          <w:szCs w:val="23"/>
        </w:rPr>
        <w:t>1,4486</w:t>
      </w:r>
      <w:r>
        <w:rPr>
          <w:sz w:val="23"/>
          <w:szCs w:val="23"/>
        </w:rPr>
        <w:t>. O fator 1 se mostra mais relevante explicando as variáveis observadas, mas, seguindo o critério de Kaiser, ambos fatores devem ser considerados.</w:t>
      </w:r>
    </w:p>
    <w:p w:rsidR="009F58ED" w:rsidRPr="009F58ED" w:rsidRDefault="009F58ED" w:rsidP="009F58ED">
      <w:pPr>
        <w:pStyle w:val="Default"/>
        <w:numPr>
          <w:ilvl w:val="0"/>
          <w:numId w:val="1"/>
        </w:numPr>
        <w:spacing w:after="46"/>
        <w:ind w:left="502" w:hanging="360"/>
        <w:rPr>
          <w:sz w:val="23"/>
          <w:szCs w:val="23"/>
        </w:rPr>
      </w:pPr>
    </w:p>
    <w:p w:rsidR="00B03476" w:rsidRDefault="00B03476" w:rsidP="00B03476">
      <w:pPr>
        <w:pStyle w:val="Default"/>
        <w:numPr>
          <w:ilvl w:val="0"/>
          <w:numId w:val="1"/>
        </w:numPr>
        <w:spacing w:after="46"/>
        <w:ind w:left="502" w:hanging="360"/>
        <w:rPr>
          <w:sz w:val="23"/>
          <w:szCs w:val="23"/>
        </w:rPr>
      </w:pPr>
      <w:r>
        <w:rPr>
          <w:sz w:val="23"/>
          <w:szCs w:val="23"/>
        </w:rPr>
        <w:t xml:space="preserve">b) Qual o percentual da variabilidade é explicada pelos fatores individualmente e conjuntamente? </w:t>
      </w:r>
    </w:p>
    <w:p w:rsidR="004A7119" w:rsidRDefault="004A7119" w:rsidP="004A7119">
      <w:pPr>
        <w:pStyle w:val="PargrafodaLista"/>
        <w:ind w:left="567" w:firstLine="284"/>
        <w:rPr>
          <w:sz w:val="23"/>
          <w:szCs w:val="23"/>
        </w:rPr>
      </w:pPr>
      <w:r>
        <w:rPr>
          <w:sz w:val="23"/>
          <w:szCs w:val="23"/>
        </w:rPr>
        <w:t xml:space="preserve">Os fatores 1 e 2 explicam, respectivamente, </w:t>
      </w:r>
      <w:r w:rsidRPr="004A7119">
        <w:rPr>
          <w:sz w:val="23"/>
          <w:szCs w:val="23"/>
        </w:rPr>
        <w:t>40</w:t>
      </w:r>
      <w:r>
        <w:rPr>
          <w:sz w:val="23"/>
          <w:szCs w:val="23"/>
        </w:rPr>
        <w:t>,</w:t>
      </w:r>
      <w:r w:rsidRPr="004A7119">
        <w:rPr>
          <w:sz w:val="23"/>
          <w:szCs w:val="23"/>
        </w:rPr>
        <w:t>89</w:t>
      </w:r>
      <w:r>
        <w:rPr>
          <w:sz w:val="23"/>
          <w:szCs w:val="23"/>
        </w:rPr>
        <w:t xml:space="preserve">% e </w:t>
      </w:r>
      <w:r w:rsidRPr="004A7119">
        <w:rPr>
          <w:sz w:val="23"/>
          <w:szCs w:val="23"/>
        </w:rPr>
        <w:t>20</w:t>
      </w:r>
      <w:r>
        <w:rPr>
          <w:sz w:val="23"/>
          <w:szCs w:val="23"/>
        </w:rPr>
        <w:t xml:space="preserve">,69% e explicam conjuntamente </w:t>
      </w:r>
      <w:r w:rsidRPr="004A7119">
        <w:rPr>
          <w:sz w:val="23"/>
          <w:szCs w:val="23"/>
        </w:rPr>
        <w:t>61</w:t>
      </w:r>
      <w:r>
        <w:rPr>
          <w:sz w:val="23"/>
          <w:szCs w:val="23"/>
        </w:rPr>
        <w:t>,59 de toda variância observada.</w:t>
      </w:r>
    </w:p>
    <w:p w:rsidR="004A7119" w:rsidRDefault="004A7119" w:rsidP="00B03476">
      <w:pPr>
        <w:pStyle w:val="Default"/>
        <w:numPr>
          <w:ilvl w:val="0"/>
          <w:numId w:val="1"/>
        </w:numPr>
        <w:spacing w:after="46"/>
        <w:ind w:left="502" w:hanging="360"/>
        <w:rPr>
          <w:sz w:val="23"/>
          <w:szCs w:val="23"/>
        </w:rPr>
      </w:pPr>
    </w:p>
    <w:p w:rsidR="00B03476" w:rsidRDefault="00B03476" w:rsidP="00B03476">
      <w:pPr>
        <w:pStyle w:val="Default"/>
        <w:numPr>
          <w:ilvl w:val="0"/>
          <w:numId w:val="1"/>
        </w:numPr>
        <w:spacing w:after="46"/>
        <w:ind w:left="502" w:hanging="360"/>
        <w:rPr>
          <w:sz w:val="23"/>
          <w:szCs w:val="23"/>
        </w:rPr>
      </w:pPr>
      <w:r>
        <w:rPr>
          <w:sz w:val="23"/>
          <w:szCs w:val="23"/>
        </w:rPr>
        <w:t>c) Calcule as comunalidades. Qual característica dos vinhos foi menos explicada pelo model</w:t>
      </w:r>
      <w:r w:rsidR="0067219E">
        <w:rPr>
          <w:sz w:val="23"/>
          <w:szCs w:val="23"/>
        </w:rPr>
        <w:t>o? E qual foi a mais explicada?</w:t>
      </w:r>
    </w:p>
    <w:p w:rsidR="0067219E" w:rsidRDefault="0067219E" w:rsidP="00D65CF0">
      <w:pPr>
        <w:pStyle w:val="Default"/>
        <w:spacing w:after="46"/>
        <w:ind w:left="567" w:firstLine="284"/>
        <w:rPr>
          <w:sz w:val="23"/>
          <w:szCs w:val="23"/>
        </w:rPr>
      </w:pPr>
      <w:r>
        <w:rPr>
          <w:sz w:val="23"/>
          <w:szCs w:val="23"/>
        </w:rPr>
        <w:lastRenderedPageBreak/>
        <w:t>A característica menos explicada foi “Hedônico”, que teve 50,42% de sua variância explicada. A característica mais explicada foi “Açúcar”, com 84,5% da variância explicada pelos dois fatores.</w:t>
      </w:r>
    </w:p>
    <w:p w:rsidR="00BB6666" w:rsidRDefault="00BB6666" w:rsidP="00BB6666">
      <w:pPr>
        <w:pStyle w:val="Default"/>
        <w:numPr>
          <w:ilvl w:val="0"/>
          <w:numId w:val="1"/>
        </w:numPr>
        <w:ind w:left="502" w:hanging="360"/>
        <w:rPr>
          <w:sz w:val="23"/>
          <w:szCs w:val="23"/>
        </w:rPr>
      </w:pPr>
      <w:r>
        <w:rPr>
          <w:sz w:val="23"/>
          <w:szCs w:val="23"/>
        </w:rPr>
        <w:t>d) Interprete os fatores.</w:t>
      </w:r>
    </w:p>
    <w:p w:rsidR="00BB6666" w:rsidRPr="00BB6666" w:rsidRDefault="00BB6666" w:rsidP="005043E8">
      <w:pPr>
        <w:pStyle w:val="Default"/>
        <w:ind w:left="567" w:firstLine="284"/>
        <w:rPr>
          <w:sz w:val="23"/>
          <w:szCs w:val="23"/>
        </w:rPr>
      </w:pPr>
      <w:r>
        <w:rPr>
          <w:sz w:val="23"/>
          <w:szCs w:val="23"/>
        </w:rPr>
        <w:t xml:space="preserve">O fator 1 está correlacionado negativamente com as variáveis “Hedônico”, “Adequado para carnes”, “Álcool” e “Acidez”, e positivamente correlacionado com a variável “Preço”. Se </w:t>
      </w:r>
      <w:r w:rsidR="00102D07">
        <w:rPr>
          <w:sz w:val="23"/>
          <w:szCs w:val="23"/>
        </w:rPr>
        <w:t>vinhos mais caros forem caracterizados</w:t>
      </w:r>
      <w:r>
        <w:rPr>
          <w:sz w:val="23"/>
          <w:szCs w:val="23"/>
        </w:rPr>
        <w:t xml:space="preserve"> pela ausência das demais variáveis supracitadas, pode-se assumir o fator 1 como uma medida de qualidade</w:t>
      </w:r>
      <w:r w:rsidR="00102D07">
        <w:rPr>
          <w:sz w:val="23"/>
          <w:szCs w:val="23"/>
        </w:rPr>
        <w:t xml:space="preserve">. Como o fator 2 está correlacionado negativamente com “Adequado para sobremesa” e “Açúcar”, e supondo que vinhos doces possam ser mais adequados para sobremesas, este fator </w:t>
      </w:r>
      <w:r w:rsidR="005F28A7">
        <w:rPr>
          <w:sz w:val="23"/>
          <w:szCs w:val="23"/>
        </w:rPr>
        <w:t xml:space="preserve">estaria associado aos vinhos </w:t>
      </w:r>
      <w:r w:rsidR="00AA4CFB">
        <w:rPr>
          <w:sz w:val="23"/>
          <w:szCs w:val="23"/>
        </w:rPr>
        <w:t>“não-doces”</w:t>
      </w:r>
      <w:r w:rsidR="00102D07">
        <w:rPr>
          <w:sz w:val="23"/>
          <w:szCs w:val="23"/>
        </w:rPr>
        <w:t xml:space="preserve"> (ou </w:t>
      </w:r>
      <w:r w:rsidR="005F28A7">
        <w:rPr>
          <w:sz w:val="23"/>
          <w:szCs w:val="23"/>
        </w:rPr>
        <w:t xml:space="preserve">qualquer outra nomenclatura </w:t>
      </w:r>
      <w:r w:rsidR="00FE3230">
        <w:rPr>
          <w:sz w:val="23"/>
          <w:szCs w:val="23"/>
        </w:rPr>
        <w:t xml:space="preserve">antônima a </w:t>
      </w:r>
      <w:r w:rsidR="005F28A7">
        <w:rPr>
          <w:sz w:val="23"/>
          <w:szCs w:val="23"/>
        </w:rPr>
        <w:t xml:space="preserve">“doce” </w:t>
      </w:r>
      <w:r w:rsidR="00B9790D">
        <w:rPr>
          <w:sz w:val="23"/>
          <w:szCs w:val="23"/>
        </w:rPr>
        <w:t>que seria melhor definida por um</w:t>
      </w:r>
      <w:r w:rsidR="005F28A7">
        <w:rPr>
          <w:sz w:val="23"/>
          <w:szCs w:val="23"/>
        </w:rPr>
        <w:t xml:space="preserve"> </w:t>
      </w:r>
      <w:r w:rsidR="005F28A7">
        <w:t>sommelier</w:t>
      </w:r>
      <w:r w:rsidR="00102D07">
        <w:rPr>
          <w:sz w:val="23"/>
          <w:szCs w:val="23"/>
        </w:rPr>
        <w:t>).</w:t>
      </w:r>
    </w:p>
    <w:p w:rsidR="00B03476" w:rsidRDefault="00B03476" w:rsidP="00B03476">
      <w:pPr>
        <w:pStyle w:val="Default"/>
        <w:rPr>
          <w:sz w:val="23"/>
          <w:szCs w:val="23"/>
        </w:rPr>
      </w:pPr>
    </w:p>
    <w:p w:rsidR="00B03476" w:rsidRDefault="00B03476" w:rsidP="00B03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No ano de 2013, 1010 jovens eslovacos de 15 a 30 anos participaram de uma pesquisa acerca de hobbies, personalidades, opiniões, hábitos de consumo e preferências quanto a música e filmes. Um questionário com 90 questões foi aplicado, em que as respostas eram escores de 1 a 5, com 1 correspondendo a “Discordo totalmente”, “Não gosto” ou “Não tenho interesse” e 5 correspondendo a “Concordo totalmente”, “Gosto muito” ou “Muito interessado”. </w:t>
      </w:r>
    </w:p>
    <w:p w:rsidR="00B03476" w:rsidRDefault="00B03476" w:rsidP="00B03476">
      <w:pPr>
        <w:pStyle w:val="Default"/>
        <w:rPr>
          <w:sz w:val="23"/>
          <w:szCs w:val="23"/>
        </w:rPr>
      </w:pPr>
    </w:p>
    <w:p w:rsidR="000136B7" w:rsidRDefault="00B03476" w:rsidP="000136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 planilha “variáveis_jovens.xlsx” encontram-se as questões aplicadas na pesquisa e seus respectivos nomes correspondentes </w:t>
      </w:r>
      <w:r w:rsidR="000136B7">
        <w:rPr>
          <w:sz w:val="23"/>
          <w:szCs w:val="23"/>
        </w:rPr>
        <w:t>na planilha “dados_jovens.csv”.</w:t>
      </w:r>
    </w:p>
    <w:p w:rsidR="000136B7" w:rsidRDefault="000136B7" w:rsidP="000136B7">
      <w:pPr>
        <w:pStyle w:val="Default"/>
        <w:rPr>
          <w:sz w:val="23"/>
          <w:szCs w:val="23"/>
        </w:rPr>
      </w:pPr>
    </w:p>
    <w:p w:rsidR="00B03476" w:rsidRDefault="00B03476" w:rsidP="000136B7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Analisando o KMO e o teste de esfericidade, podemos descrever essa grande quantidade de interesses humanos em um número menor de conceitos latentes? </w:t>
      </w:r>
    </w:p>
    <w:p w:rsidR="00001902" w:rsidRDefault="00001902" w:rsidP="00E431F9">
      <w:pPr>
        <w:pStyle w:val="Default"/>
        <w:ind w:left="567" w:firstLine="284"/>
        <w:rPr>
          <w:sz w:val="23"/>
          <w:szCs w:val="23"/>
        </w:rPr>
      </w:pPr>
      <w:r>
        <w:rPr>
          <w:sz w:val="23"/>
          <w:szCs w:val="23"/>
        </w:rPr>
        <w:t xml:space="preserve">Segundo medida de adequacidade do critério de </w:t>
      </w:r>
      <w:r w:rsidRPr="00001902">
        <w:rPr>
          <w:sz w:val="23"/>
          <w:szCs w:val="23"/>
        </w:rPr>
        <w:t>Kaiser-Meyer-</w:t>
      </w:r>
      <w:proofErr w:type="spellStart"/>
      <w:r w:rsidRPr="00001902">
        <w:rPr>
          <w:sz w:val="23"/>
          <w:szCs w:val="23"/>
        </w:rPr>
        <w:t>Olkin</w:t>
      </w:r>
      <w:proofErr w:type="spellEnd"/>
      <w:r>
        <w:rPr>
          <w:sz w:val="23"/>
          <w:szCs w:val="23"/>
        </w:rPr>
        <w:t xml:space="preserve">, </w:t>
      </w:r>
      <w:r w:rsidRPr="00001902">
        <w:rPr>
          <w:sz w:val="23"/>
          <w:szCs w:val="23"/>
        </w:rPr>
        <w:t>81% da variabilidade vem de fator comum</w:t>
      </w:r>
      <w:r>
        <w:rPr>
          <w:sz w:val="23"/>
          <w:szCs w:val="23"/>
        </w:rPr>
        <w:t xml:space="preserve"> e, de acordo com o teste de esfericidade de </w:t>
      </w:r>
      <w:proofErr w:type="spellStart"/>
      <w:r>
        <w:rPr>
          <w:sz w:val="23"/>
          <w:szCs w:val="23"/>
        </w:rPr>
        <w:t>Bartlett</w:t>
      </w:r>
      <w:proofErr w:type="spellEnd"/>
      <w:r>
        <w:rPr>
          <w:sz w:val="23"/>
          <w:szCs w:val="23"/>
        </w:rPr>
        <w:t>, rejeita-se a hipótese nula de que as variáveis não são correlacionadas.</w:t>
      </w:r>
      <w:r w:rsidR="00E431F9">
        <w:rPr>
          <w:sz w:val="23"/>
          <w:szCs w:val="23"/>
        </w:rPr>
        <w:t xml:space="preserve"> Ambos os testes indicam que é possível descrever as variáveis observadas em variáveis latentes.</w:t>
      </w:r>
    </w:p>
    <w:p w:rsidR="00E431F9" w:rsidRDefault="00E431F9" w:rsidP="00E431F9">
      <w:pPr>
        <w:pStyle w:val="Default"/>
        <w:ind w:left="567" w:firstLine="284"/>
        <w:rPr>
          <w:sz w:val="23"/>
          <w:szCs w:val="23"/>
        </w:rPr>
      </w:pPr>
    </w:p>
    <w:p w:rsidR="000136B7" w:rsidRDefault="00B03476" w:rsidP="000136B7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Quantos fatores </w:t>
      </w:r>
      <w:r w:rsidR="000136B7">
        <w:rPr>
          <w:sz w:val="23"/>
          <w:szCs w:val="23"/>
        </w:rPr>
        <w:t>podem ser utilizados no modelo?</w:t>
      </w:r>
    </w:p>
    <w:p w:rsidR="00954F3D" w:rsidRDefault="00967B6D" w:rsidP="00E13920">
      <w:pPr>
        <w:pStyle w:val="Default"/>
        <w:ind w:left="567" w:firstLine="284"/>
        <w:rPr>
          <w:sz w:val="23"/>
          <w:szCs w:val="23"/>
        </w:rPr>
      </w:pPr>
      <w:r>
        <w:rPr>
          <w:sz w:val="23"/>
          <w:szCs w:val="23"/>
        </w:rPr>
        <w:t>Seguindo o critério de Kaiser, os 24 primeiros fatores são relevantes explicando as variáveis observadas. O mesmo número de fatores são necessários para garantir ao mesmo 60% de variância explicada.</w:t>
      </w:r>
      <w:r w:rsidR="00310083">
        <w:rPr>
          <w:sz w:val="23"/>
          <w:szCs w:val="23"/>
        </w:rPr>
        <w:t xml:space="preserve"> Embora o </w:t>
      </w:r>
      <w:proofErr w:type="spellStart"/>
      <w:r w:rsidR="00310083">
        <w:rPr>
          <w:sz w:val="23"/>
          <w:szCs w:val="23"/>
        </w:rPr>
        <w:t>screeplot</w:t>
      </w:r>
      <w:proofErr w:type="spellEnd"/>
      <w:r w:rsidR="00310083">
        <w:rPr>
          <w:sz w:val="23"/>
          <w:szCs w:val="23"/>
        </w:rPr>
        <w:t xml:space="preserve"> demo</w:t>
      </w:r>
      <w:r w:rsidR="00E13920">
        <w:rPr>
          <w:sz w:val="23"/>
          <w:szCs w:val="23"/>
        </w:rPr>
        <w:t>nstre queda abrupta do autovalor quando se chega a quatro fatores.</w:t>
      </w:r>
    </w:p>
    <w:p w:rsidR="00E13920" w:rsidRDefault="00E13920" w:rsidP="00E13920">
      <w:pPr>
        <w:pStyle w:val="Default"/>
        <w:ind w:left="567" w:firstLine="284"/>
        <w:rPr>
          <w:sz w:val="23"/>
          <w:szCs w:val="23"/>
        </w:rPr>
      </w:pPr>
      <w:r>
        <w:rPr>
          <w:sz w:val="23"/>
          <w:szCs w:val="23"/>
        </w:rPr>
        <w:t>Visando manter a capacidade explicativa do modelo e seguindo métodos menos subjetivos, é aconselhável seguir com a análise de 24 fatores.</w:t>
      </w:r>
      <w:r w:rsidR="00777056">
        <w:rPr>
          <w:sz w:val="23"/>
          <w:szCs w:val="23"/>
        </w:rPr>
        <w:t xml:space="preserve"> Entretanto, avaliando as cargas (como segue nos itens posteriores), alguns fatores não foram relevantes para nenhuma variável original, sugerindo reduzir o número de fatores.</w:t>
      </w:r>
      <w:r w:rsidR="00071475">
        <w:rPr>
          <w:sz w:val="23"/>
          <w:szCs w:val="23"/>
        </w:rPr>
        <w:t xml:space="preserve"> Exigindo 19 fatores da análise fatorial com rotação Varimax, embora se perca variância explicada a níveis não aconselháveis, todos os fatores puderam ser interpretados.</w:t>
      </w:r>
    </w:p>
    <w:p w:rsidR="00954F3D" w:rsidRDefault="00954F3D" w:rsidP="00954F3D">
      <w:pPr>
        <w:pStyle w:val="Default"/>
        <w:rPr>
          <w:sz w:val="23"/>
          <w:szCs w:val="23"/>
        </w:rPr>
      </w:pPr>
    </w:p>
    <w:p w:rsidR="00DA2AA0" w:rsidRDefault="00FE4324" w:rsidP="00DA2AA0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FE4324">
        <w:rPr>
          <w:sz w:val="23"/>
          <w:szCs w:val="23"/>
        </w:rPr>
        <w:t xml:space="preserve">Estime as cargas dos fatores por Eixos Principais e escolha um método de rotação (Varimax ou </w:t>
      </w:r>
      <w:proofErr w:type="spellStart"/>
      <w:r w:rsidRPr="00FE4324">
        <w:rPr>
          <w:sz w:val="23"/>
          <w:szCs w:val="23"/>
        </w:rPr>
        <w:t>Oblimin</w:t>
      </w:r>
      <w:proofErr w:type="spellEnd"/>
      <w:r w:rsidRPr="00FE4324">
        <w:rPr>
          <w:sz w:val="23"/>
          <w:szCs w:val="23"/>
        </w:rPr>
        <w:t>) e explique por que é mais ade</w:t>
      </w:r>
      <w:r w:rsidR="000136B7">
        <w:rPr>
          <w:sz w:val="23"/>
          <w:szCs w:val="23"/>
        </w:rPr>
        <w:t>quado para a análise dos dados.</w:t>
      </w:r>
    </w:p>
    <w:p w:rsidR="00DA2AA0" w:rsidRDefault="00DA2AA0" w:rsidP="0046730E">
      <w:pPr>
        <w:pStyle w:val="Default"/>
        <w:ind w:left="567" w:firstLine="284"/>
        <w:rPr>
          <w:sz w:val="23"/>
          <w:szCs w:val="23"/>
        </w:rPr>
      </w:pPr>
      <w:r>
        <w:rPr>
          <w:sz w:val="23"/>
          <w:szCs w:val="23"/>
        </w:rPr>
        <w:t>Utilizando a rotação oblíqua, apenas 3 dentre os 24 fatores apresentaram correlação igual ou superior a 0,3, sendo que nenhuma destas correlações esteve demasiadamente longe dessa faixa (</w:t>
      </w:r>
      <w:r w:rsidRPr="00DA2AA0">
        <w:rPr>
          <w:sz w:val="23"/>
          <w:szCs w:val="23"/>
        </w:rPr>
        <w:t>PA1 e PA22</w:t>
      </w:r>
      <w:r>
        <w:rPr>
          <w:sz w:val="23"/>
          <w:szCs w:val="23"/>
        </w:rPr>
        <w:t xml:space="preserve"> com correlação de 0,32; </w:t>
      </w:r>
      <w:r w:rsidRPr="00DA2AA0">
        <w:rPr>
          <w:sz w:val="23"/>
          <w:szCs w:val="23"/>
        </w:rPr>
        <w:t>PA2 e PA15</w:t>
      </w:r>
      <w:r>
        <w:rPr>
          <w:sz w:val="23"/>
          <w:szCs w:val="23"/>
        </w:rPr>
        <w:t xml:space="preserve"> com correlação de </w:t>
      </w:r>
      <w:r w:rsidRPr="00DA2AA0">
        <w:rPr>
          <w:sz w:val="23"/>
          <w:szCs w:val="23"/>
        </w:rPr>
        <w:t>0,30</w:t>
      </w:r>
      <w:r>
        <w:rPr>
          <w:sz w:val="23"/>
          <w:szCs w:val="23"/>
        </w:rPr>
        <w:t xml:space="preserve">, e </w:t>
      </w:r>
      <w:r w:rsidRPr="00DA2AA0">
        <w:rPr>
          <w:sz w:val="23"/>
          <w:szCs w:val="23"/>
        </w:rPr>
        <w:t>PA1 e PA18</w:t>
      </w:r>
      <w:r>
        <w:rPr>
          <w:sz w:val="23"/>
          <w:szCs w:val="23"/>
        </w:rPr>
        <w:t xml:space="preserve"> com correlação de </w:t>
      </w:r>
      <w:r w:rsidRPr="00DA2AA0">
        <w:rPr>
          <w:sz w:val="23"/>
          <w:szCs w:val="23"/>
        </w:rPr>
        <w:t>0,30</w:t>
      </w:r>
      <w:r>
        <w:rPr>
          <w:sz w:val="23"/>
          <w:szCs w:val="23"/>
        </w:rPr>
        <w:t xml:space="preserve">). </w:t>
      </w:r>
      <w:r w:rsidR="00030A1E">
        <w:rPr>
          <w:sz w:val="23"/>
          <w:szCs w:val="23"/>
        </w:rPr>
        <w:t xml:space="preserve">Tendo em vista que a </w:t>
      </w:r>
      <w:r w:rsidR="00030A1E">
        <w:rPr>
          <w:sz w:val="23"/>
          <w:szCs w:val="23"/>
        </w:rPr>
        <w:lastRenderedPageBreak/>
        <w:t>magnitude das correlações entre os fatores ultrapassaram o limite recomendado por pouco e que os casos em que isso ocorreu não são tão expressivos visto o total de fatores, a análise segue com rotação Varimax</w:t>
      </w:r>
      <w:r w:rsidR="0028466D">
        <w:rPr>
          <w:sz w:val="23"/>
          <w:szCs w:val="23"/>
        </w:rPr>
        <w:t xml:space="preserve"> com redução do número de</w:t>
      </w:r>
      <w:r w:rsidR="00777056">
        <w:rPr>
          <w:sz w:val="23"/>
          <w:szCs w:val="23"/>
        </w:rPr>
        <w:t xml:space="preserve"> fatores</w:t>
      </w:r>
      <w:r w:rsidR="0028466D">
        <w:rPr>
          <w:sz w:val="23"/>
          <w:szCs w:val="23"/>
        </w:rPr>
        <w:t xml:space="preserve"> para 19 (como citado no item anterior)</w:t>
      </w:r>
      <w:r w:rsidR="00030A1E">
        <w:rPr>
          <w:sz w:val="23"/>
          <w:szCs w:val="23"/>
        </w:rPr>
        <w:t>, considerando que os fatores são independentes, o que favorece à interpretação dos fatores.</w:t>
      </w:r>
    </w:p>
    <w:p w:rsidR="00030A1E" w:rsidRPr="00DA2AA0" w:rsidRDefault="00030A1E" w:rsidP="00DA2AA0">
      <w:pPr>
        <w:pStyle w:val="Default"/>
        <w:rPr>
          <w:sz w:val="23"/>
          <w:szCs w:val="23"/>
        </w:rPr>
      </w:pPr>
    </w:p>
    <w:p w:rsidR="00FE4324" w:rsidRPr="000136B7" w:rsidRDefault="00FE4324" w:rsidP="000136B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0136B7">
        <w:rPr>
          <w:rFonts w:ascii="Calibri" w:hAnsi="Calibri" w:cs="Calibri"/>
          <w:color w:val="000000"/>
          <w:sz w:val="23"/>
          <w:szCs w:val="23"/>
        </w:rPr>
        <w:t xml:space="preserve">Interprete os fatores encontrados. </w:t>
      </w:r>
    </w:p>
    <w:p w:rsidR="00C66C22" w:rsidRDefault="00C66C22"/>
    <w:p w:rsidR="00CE61AC" w:rsidRDefault="00CE61AC">
      <w:r>
        <w:t>O fator</w:t>
      </w:r>
      <w:r w:rsidR="00FD08A9">
        <w:t xml:space="preserve"> </w:t>
      </w:r>
      <w:r w:rsidR="00FD08A9">
        <w:rPr>
          <w:i/>
        </w:rPr>
        <w:t>Classicismo</w:t>
      </w:r>
      <w:r>
        <w:t xml:space="preserve"> (PA1) </w:t>
      </w:r>
      <w:r w:rsidR="00277B8C">
        <w:t>está mais correlacionado</w:t>
      </w:r>
      <w:r w:rsidR="005C7CB7">
        <w:t xml:space="preserve"> diretamente</w:t>
      </w:r>
      <w:r w:rsidR="00277B8C">
        <w:t xml:space="preserve"> </w:t>
      </w:r>
      <w:r>
        <w:t>à preferência por músicas dos gêneros folclóri</w:t>
      </w:r>
      <w:r w:rsidR="005A65E1">
        <w:t>co, clássico, ópera, swing/jazz;</w:t>
      </w:r>
      <w:r>
        <w:t xml:space="preserve"> aos interesses em psicologia, recitação e criação de poesia, </w:t>
      </w:r>
      <w:r w:rsidR="005A65E1">
        <w:t>exposição de artes, instrumentos musicais e teatro, e</w:t>
      </w:r>
      <w:r w:rsidR="00671AB3">
        <w:t xml:space="preserve"> a</w:t>
      </w:r>
      <w:r w:rsidR="005A65E1">
        <w:t xml:space="preserve"> </w:t>
      </w:r>
      <w:r w:rsidR="00671AB3">
        <w:t>doação para a caridade.</w:t>
      </w:r>
    </w:p>
    <w:p w:rsidR="00671AB3" w:rsidRDefault="00671AB3">
      <w:r>
        <w:t>O fator</w:t>
      </w:r>
      <w:r w:rsidR="00082EF4">
        <w:t xml:space="preserve"> </w:t>
      </w:r>
      <w:r w:rsidR="00082EF4" w:rsidRPr="00082EF4">
        <w:rPr>
          <w:i/>
        </w:rPr>
        <w:t>Dinamismo</w:t>
      </w:r>
      <w:r>
        <w:t xml:space="preserve"> (PA2) </w:t>
      </w:r>
      <w:r w:rsidR="00277B8C">
        <w:t>está mais correlacionado</w:t>
      </w:r>
      <w:r w:rsidR="005C7CB7">
        <w:t xml:space="preserve"> diretamente</w:t>
      </w:r>
      <w:r w:rsidR="00277B8C">
        <w:t xml:space="preserve"> </w:t>
      </w:r>
      <w:r w:rsidR="00A5276B">
        <w:t>ao gosto pelos gêneros cinematográficos de ficção científica, faroeste e ação; aos interesses em matemática, física, internet, softwares de computador, carros e ciências e tecnologia, e ao dispêndio com aparatos tecnológicos.</w:t>
      </w:r>
    </w:p>
    <w:p w:rsidR="00DA36F2" w:rsidRDefault="00DA36F2">
      <w:r>
        <w:t>O fator</w:t>
      </w:r>
      <w:r w:rsidR="003049EB">
        <w:t xml:space="preserve"> </w:t>
      </w:r>
      <w:r w:rsidR="003049EB" w:rsidRPr="003049EB">
        <w:rPr>
          <w:i/>
        </w:rPr>
        <w:t>Vaidade</w:t>
      </w:r>
      <w:r>
        <w:t xml:space="preserve"> (PA11) </w:t>
      </w:r>
      <w:r w:rsidR="00277B8C">
        <w:t>está mais correlacionado</w:t>
      </w:r>
      <w:r w:rsidR="005C7CB7">
        <w:t xml:space="preserve"> diretamente </w:t>
      </w:r>
      <w:r w:rsidR="0007595A">
        <w:t>ao</w:t>
      </w:r>
      <w:r w:rsidR="00105196">
        <w:t>s</w:t>
      </w:r>
      <w:r w:rsidR="0007595A">
        <w:t xml:space="preserve"> interesse</w:t>
      </w:r>
      <w:r w:rsidR="00105196">
        <w:t>s</w:t>
      </w:r>
      <w:r w:rsidR="0007595A">
        <w:t xml:space="preserve"> no estilo de vida das celebridades e em fazer comprar; à preocupação com a saúde, com a aparência, com fazer contatos com as pessoas certas, e </w:t>
      </w:r>
      <w:r w:rsidR="0090062E">
        <w:t>à</w:t>
      </w:r>
      <w:r w:rsidR="0007595A">
        <w:t xml:space="preserve"> preferência por grandes shopping centers, usar roupas de marca e com o gasto com a aparência.</w:t>
      </w:r>
    </w:p>
    <w:p w:rsidR="0090062E" w:rsidRDefault="0090062E">
      <w:r>
        <w:t>O fator</w:t>
      </w:r>
      <w:r w:rsidR="00E63308">
        <w:t xml:space="preserve"> </w:t>
      </w:r>
      <w:r w:rsidR="00E63308">
        <w:rPr>
          <w:i/>
        </w:rPr>
        <w:t>Desgosto</w:t>
      </w:r>
      <w:r>
        <w:t xml:space="preserve"> (PA5) </w:t>
      </w:r>
      <w:r w:rsidR="00277B8C">
        <w:t>está mais correlacionado</w:t>
      </w:r>
      <w:r w:rsidR="005C7CB7">
        <w:t xml:space="preserve"> diretamente</w:t>
      </w:r>
      <w:r w:rsidR="00277B8C">
        <w:t xml:space="preserve"> </w:t>
      </w:r>
      <w:r w:rsidR="00BA0A3F">
        <w:t xml:space="preserve">à autocrítica, à sensação de solidão, ao arrependimento, </w:t>
      </w:r>
      <w:r w:rsidR="0020429F">
        <w:t>à alteração de humor e à raiva, e inversamente</w:t>
      </w:r>
      <w:r w:rsidR="00836B40">
        <w:t xml:space="preserve"> às variáveis relacionadas</w:t>
      </w:r>
      <w:r w:rsidR="0020429F">
        <w:t xml:space="preserve"> a ter sonhos</w:t>
      </w:r>
      <w:r w:rsidR="004C3ED7">
        <w:t xml:space="preserve"> bons</w:t>
      </w:r>
      <w:r w:rsidR="0020429F">
        <w:t>, à felicidade e ao quanto se está satisfeito com a própria personalidade.</w:t>
      </w:r>
    </w:p>
    <w:p w:rsidR="0020429F" w:rsidRDefault="0020429F">
      <w:r>
        <w:t>O fator</w:t>
      </w:r>
      <w:r w:rsidR="00533D3B">
        <w:t xml:space="preserve"> </w:t>
      </w:r>
      <w:r w:rsidR="00533D3B" w:rsidRPr="00533D3B">
        <w:rPr>
          <w:i/>
        </w:rPr>
        <w:t>Receptividade</w:t>
      </w:r>
      <w:r>
        <w:t xml:space="preserve"> (PA14)</w:t>
      </w:r>
      <w:r w:rsidR="005B60AA">
        <w:t xml:space="preserve"> </w:t>
      </w:r>
      <w:r w:rsidR="00277B8C">
        <w:t>está mais correlacionado</w:t>
      </w:r>
      <w:r w:rsidR="005C7CB7">
        <w:t xml:space="preserve"> diretamente</w:t>
      </w:r>
      <w:r w:rsidR="00277B8C">
        <w:t xml:space="preserve"> </w:t>
      </w:r>
      <w:r w:rsidR="00AF2BDD">
        <w:t xml:space="preserve">a ter muitos amigos, </w:t>
      </w:r>
      <w:r w:rsidR="000A3FDC">
        <w:t xml:space="preserve">à </w:t>
      </w:r>
      <w:r w:rsidR="00AF2BDD">
        <w:t xml:space="preserve">adaptação a novos ambientes, </w:t>
      </w:r>
      <w:r w:rsidR="000A3FDC">
        <w:t xml:space="preserve">à </w:t>
      </w:r>
      <w:r w:rsidR="00AF2BDD">
        <w:t>socialização,</w:t>
      </w:r>
      <w:r w:rsidR="000A3FDC">
        <w:t xml:space="preserve"> ao</w:t>
      </w:r>
      <w:r w:rsidR="00AF2BDD">
        <w:t xml:space="preserve"> nível de energia e</w:t>
      </w:r>
      <w:r w:rsidR="000A3FDC">
        <w:t xml:space="preserve"> ao</w:t>
      </w:r>
      <w:r w:rsidR="00AF2BDD">
        <w:t xml:space="preserve"> interesse em hobbies diferentes</w:t>
      </w:r>
      <w:r w:rsidR="00277B8C">
        <w:t xml:space="preserve">, e </w:t>
      </w:r>
      <w:r w:rsidR="005C7CB7">
        <w:t>inversamente às variáveis relacionadas a</w:t>
      </w:r>
      <w:r w:rsidR="00646DF1">
        <w:t>o medo em falar em público, ao us</w:t>
      </w:r>
      <w:r w:rsidR="008411C9">
        <w:t>o do tempo para tomar decisões e à necessidade de preparo para falar em público.</w:t>
      </w:r>
    </w:p>
    <w:p w:rsidR="000A3FDC" w:rsidRDefault="000A3FDC">
      <w:r>
        <w:t>O fator</w:t>
      </w:r>
      <w:r w:rsidR="00BB0017">
        <w:t xml:space="preserve"> </w:t>
      </w:r>
      <w:r w:rsidR="00BB0017">
        <w:rPr>
          <w:i/>
        </w:rPr>
        <w:t>Ciências Naturais</w:t>
      </w:r>
      <w:r>
        <w:t xml:space="preserve"> (PA7) está mais correlacionado diretamente ao</w:t>
      </w:r>
      <w:r w:rsidR="00105196">
        <w:t>s</w:t>
      </w:r>
      <w:r>
        <w:t xml:space="preserve"> interesse</w:t>
      </w:r>
      <w:r w:rsidR="00105196">
        <w:t>s</w:t>
      </w:r>
      <w:r w:rsidR="00427B89">
        <w:t xml:space="preserve"> em biologia, química e medicina.</w:t>
      </w:r>
    </w:p>
    <w:p w:rsidR="0036280F" w:rsidRDefault="0036280F">
      <w:r>
        <w:t>O fator</w:t>
      </w:r>
      <w:r w:rsidR="00F15353">
        <w:t xml:space="preserve"> </w:t>
      </w:r>
      <w:r w:rsidR="00F15353">
        <w:rPr>
          <w:i/>
        </w:rPr>
        <w:t>Música Agitada</w:t>
      </w:r>
      <w:r>
        <w:t xml:space="preserve"> (PA8) está mais correlacionado diretamente</w:t>
      </w:r>
      <w:r w:rsidRPr="0036280F">
        <w:t xml:space="preserve"> </w:t>
      </w:r>
      <w:r>
        <w:t xml:space="preserve">à preferência por músicas dos gêneros Rock, Metal Rock, </w:t>
      </w:r>
      <w:proofErr w:type="spellStart"/>
      <w:r>
        <w:t>Hardrock</w:t>
      </w:r>
      <w:proofErr w:type="spellEnd"/>
      <w:r>
        <w:t xml:space="preserve">, Punk, Rock ‘n’ </w:t>
      </w:r>
      <w:proofErr w:type="spellStart"/>
      <w:r w:rsidR="00790DAB">
        <w:t>Roll</w:t>
      </w:r>
      <w:proofErr w:type="spellEnd"/>
      <w:r w:rsidR="00790DAB">
        <w:t xml:space="preserve"> e música alternativa.</w:t>
      </w:r>
    </w:p>
    <w:p w:rsidR="00750E41" w:rsidRDefault="00750E41">
      <w:r>
        <w:t>O fator</w:t>
      </w:r>
      <w:r w:rsidR="00B35F92">
        <w:t xml:space="preserve"> </w:t>
      </w:r>
      <w:r w:rsidR="00B35F92">
        <w:rPr>
          <w:i/>
        </w:rPr>
        <w:t>Visão de Longo Prazo</w:t>
      </w:r>
      <w:r>
        <w:t xml:space="preserve"> (PA4)</w:t>
      </w:r>
      <w:r w:rsidR="005945C2">
        <w:t xml:space="preserve"> </w:t>
      </w:r>
      <w:r w:rsidR="00536847">
        <w:t xml:space="preserve">está mais correlacionado diretamente a um estilo de vida saudável, </w:t>
      </w:r>
      <w:r w:rsidR="005032F8">
        <w:t xml:space="preserve">à presteza, à organização de informações, obsessão por trabalho/estudo e </w:t>
      </w:r>
      <w:r w:rsidR="00151CBB">
        <w:t>formação</w:t>
      </w:r>
      <w:r w:rsidR="005032F8">
        <w:t xml:space="preserve"> de poupança, e inversamente a</w:t>
      </w:r>
      <w:r w:rsidR="007223D0">
        <w:t>o absenteísmo escolar e à dificuldade de acordar cedo.</w:t>
      </w:r>
    </w:p>
    <w:p w:rsidR="009C77D5" w:rsidRDefault="009C77D5">
      <w:r>
        <w:t>O fator</w:t>
      </w:r>
      <w:r w:rsidR="00137C6B">
        <w:t xml:space="preserve"> </w:t>
      </w:r>
      <w:r w:rsidR="00A82925">
        <w:rPr>
          <w:i/>
        </w:rPr>
        <w:t>Geopolítica</w:t>
      </w:r>
      <w:r>
        <w:t xml:space="preserve"> (PA6) está mais correlacionado diretamente aos interesses em história, política, geografia e eventos próximos.</w:t>
      </w:r>
    </w:p>
    <w:p w:rsidR="009C77D5" w:rsidRDefault="00C21524">
      <w:r>
        <w:t>O fator</w:t>
      </w:r>
      <w:r w:rsidR="00C75D43">
        <w:t xml:space="preserve"> </w:t>
      </w:r>
      <w:r w:rsidR="00C75D43">
        <w:rPr>
          <w:i/>
        </w:rPr>
        <w:t>Música Dançante</w:t>
      </w:r>
      <w:r>
        <w:t xml:space="preserve"> (PA16)</w:t>
      </w:r>
      <w:r w:rsidRPr="00C21524">
        <w:t xml:space="preserve"> </w:t>
      </w:r>
      <w:r>
        <w:t>está mais correlacionado diretamente</w:t>
      </w:r>
      <w:r w:rsidR="00322B73" w:rsidRPr="00322B73">
        <w:t xml:space="preserve"> </w:t>
      </w:r>
      <w:r w:rsidR="00322B73">
        <w:t>à preferência por músicas dos gêneros Dance, Disco, Funk, Pop e música latina.</w:t>
      </w:r>
    </w:p>
    <w:p w:rsidR="00322B73" w:rsidRDefault="00322B73">
      <w:r>
        <w:t>O fator</w:t>
      </w:r>
      <w:r w:rsidR="004B6C65">
        <w:t xml:space="preserve"> </w:t>
      </w:r>
      <w:r w:rsidR="004B6C65">
        <w:rPr>
          <w:i/>
        </w:rPr>
        <w:t>Religiosidade</w:t>
      </w:r>
      <w:r>
        <w:t xml:space="preserve"> (PA9)</w:t>
      </w:r>
      <w:r w:rsidRPr="00322B73">
        <w:t xml:space="preserve"> </w:t>
      </w:r>
      <w:r>
        <w:t xml:space="preserve">está mais correlacionado diretamente ao interesse em religião, à crença num “acerto de contas” </w:t>
      </w:r>
      <w:r w:rsidRPr="00322B73">
        <w:rPr>
          <w:i/>
        </w:rPr>
        <w:t>post mortem</w:t>
      </w:r>
      <w:r>
        <w:t xml:space="preserve"> e à crença em Deus.</w:t>
      </w:r>
    </w:p>
    <w:p w:rsidR="007F04B8" w:rsidRDefault="00852147" w:rsidP="007F04B8">
      <w:r>
        <w:t>O fator</w:t>
      </w:r>
      <w:r w:rsidR="00E136AC">
        <w:t xml:space="preserve"> </w:t>
      </w:r>
      <w:r w:rsidR="00E136AC" w:rsidRPr="00E136AC">
        <w:rPr>
          <w:i/>
        </w:rPr>
        <w:t>Socialização</w:t>
      </w:r>
      <w:r>
        <w:t xml:space="preserve"> (PA</w:t>
      </w:r>
      <w:r w:rsidR="002D5EB3">
        <w:t>3</w:t>
      </w:r>
      <w:r>
        <w:t>)</w:t>
      </w:r>
      <w:r w:rsidR="007F04B8">
        <w:t xml:space="preserve"> está mais correlacionado diretamente</w:t>
      </w:r>
      <w:r w:rsidR="007F04B8" w:rsidRPr="007F04B8">
        <w:t xml:space="preserve"> </w:t>
      </w:r>
      <w:r w:rsidR="00F36D10">
        <w:t>ao interesse em socializar-se e ao gasto com festas e socialização.</w:t>
      </w:r>
    </w:p>
    <w:p w:rsidR="00D91A40" w:rsidRDefault="007F04B8" w:rsidP="00D91A40">
      <w:r>
        <w:lastRenderedPageBreak/>
        <w:t>O fator</w:t>
      </w:r>
      <w:r w:rsidR="0095698E">
        <w:t xml:space="preserve"> </w:t>
      </w:r>
      <w:r w:rsidR="0095698E">
        <w:rPr>
          <w:i/>
        </w:rPr>
        <w:t>Sensibilidade</w:t>
      </w:r>
      <w:r>
        <w:t xml:space="preserve"> (PA</w:t>
      </w:r>
      <w:r w:rsidR="002D5EB3">
        <w:t>18</w:t>
      </w:r>
      <w:r>
        <w:t>) está mais correlacionado diretamente</w:t>
      </w:r>
      <w:r w:rsidR="00D91A40" w:rsidRPr="00D91A40">
        <w:t xml:space="preserve"> </w:t>
      </w:r>
      <w:r w:rsidR="00E26CCE">
        <w:t xml:space="preserve">ao gosto pelos gêneros cinematográficos de comédia, romance e fantasia, à empatia e a </w:t>
      </w:r>
      <w:r w:rsidR="00742808">
        <w:t>suscetibilidade</w:t>
      </w:r>
      <w:r w:rsidR="00E26CCE">
        <w:t xml:space="preserve"> ao choro.</w:t>
      </w:r>
    </w:p>
    <w:p w:rsidR="007F04B8" w:rsidRDefault="0068257F" w:rsidP="007F04B8">
      <w:r>
        <w:t>O fator</w:t>
      </w:r>
      <w:r w:rsidR="000A0AA6">
        <w:t xml:space="preserve"> </w:t>
      </w:r>
      <w:r w:rsidR="000A0AA6">
        <w:rPr>
          <w:i/>
        </w:rPr>
        <w:t>Esportes</w:t>
      </w:r>
      <w:r>
        <w:t xml:space="preserve"> (PA15</w:t>
      </w:r>
      <w:r w:rsidR="00D91A40">
        <w:t>) está mais correlacionado diretamente</w:t>
      </w:r>
      <w:r w:rsidR="004C5EC5">
        <w:t xml:space="preserve"> aos interesses em dança, esportes em nível competitivo e esportes radicais.</w:t>
      </w:r>
    </w:p>
    <w:p w:rsidR="007F04B8" w:rsidRDefault="007F04B8" w:rsidP="007F04B8">
      <w:r>
        <w:t>O fator</w:t>
      </w:r>
      <w:r w:rsidR="00425DD6">
        <w:t xml:space="preserve"> </w:t>
      </w:r>
      <w:r w:rsidR="00425DD6" w:rsidRPr="00425DD6">
        <w:rPr>
          <w:i/>
        </w:rPr>
        <w:t>Confiabilidade</w:t>
      </w:r>
      <w:r>
        <w:t xml:space="preserve"> (PA</w:t>
      </w:r>
      <w:r w:rsidR="002D5EB3">
        <w:t>19</w:t>
      </w:r>
      <w:r>
        <w:t>) está mais correlacionado diretamente</w:t>
      </w:r>
      <w:r w:rsidR="00FB1831">
        <w:t xml:space="preserve"> à confiabilidade no trabalho, ao cumprimento de promessas e ao cuidado com o que se toma emprestado.</w:t>
      </w:r>
    </w:p>
    <w:p w:rsidR="007F04B8" w:rsidRDefault="007F04B8" w:rsidP="007F04B8">
      <w:r>
        <w:t>O fator</w:t>
      </w:r>
      <w:r w:rsidR="0038152D">
        <w:t xml:space="preserve"> </w:t>
      </w:r>
      <w:r w:rsidR="0038152D">
        <w:rPr>
          <w:i/>
        </w:rPr>
        <w:t>Filmografia Embasada em Fatos</w:t>
      </w:r>
      <w:r>
        <w:t xml:space="preserve"> (PA</w:t>
      </w:r>
      <w:r w:rsidR="002D5EB3">
        <w:t>12</w:t>
      </w:r>
      <w:r>
        <w:t>) está mais correlacionado diretamente</w:t>
      </w:r>
      <w:r w:rsidR="003F155B" w:rsidRPr="003F155B">
        <w:t xml:space="preserve"> </w:t>
      </w:r>
      <w:r w:rsidR="003F155B">
        <w:t>ao gosto por documentário e por filmes ambientados em período de guerra.</w:t>
      </w:r>
    </w:p>
    <w:p w:rsidR="007F04B8" w:rsidRDefault="007F04B8" w:rsidP="007F04B8">
      <w:r>
        <w:t>O fator</w:t>
      </w:r>
      <w:r w:rsidR="0038152D">
        <w:t xml:space="preserve"> </w:t>
      </w:r>
      <w:r w:rsidR="0038152D">
        <w:rPr>
          <w:i/>
        </w:rPr>
        <w:t>Filmografia que Instiga Medo</w:t>
      </w:r>
      <w:r>
        <w:t xml:space="preserve"> (PA</w:t>
      </w:r>
      <w:r w:rsidR="002D5EB3">
        <w:t>10</w:t>
      </w:r>
      <w:r>
        <w:t>) está mais correlacionado diretamente</w:t>
      </w:r>
      <w:r w:rsidR="00A743FF" w:rsidRPr="00A743FF">
        <w:t xml:space="preserve"> </w:t>
      </w:r>
      <w:r w:rsidR="00A743FF">
        <w:t>ao gosto pelos gêneros cinematográficos de terror e suspense.</w:t>
      </w:r>
    </w:p>
    <w:p w:rsidR="007F04B8" w:rsidRDefault="007F04B8" w:rsidP="007724E3">
      <w:r>
        <w:t>O</w:t>
      </w:r>
      <w:r w:rsidR="007724E3">
        <w:t>s</w:t>
      </w:r>
      <w:r>
        <w:t xml:space="preserve"> fator</w:t>
      </w:r>
      <w:r w:rsidR="007724E3">
        <w:t xml:space="preserve">es </w:t>
      </w:r>
      <w:r w:rsidR="007724E3">
        <w:rPr>
          <w:i/>
        </w:rPr>
        <w:t>Línguas Estrangeiras</w:t>
      </w:r>
      <w:r>
        <w:t xml:space="preserve"> (PA</w:t>
      </w:r>
      <w:r w:rsidR="002D5EB3">
        <w:t>13</w:t>
      </w:r>
      <w:r>
        <w:t>)</w:t>
      </w:r>
      <w:r w:rsidR="007724E3">
        <w:t xml:space="preserve"> e </w:t>
      </w:r>
      <w:r w:rsidR="007724E3">
        <w:rPr>
          <w:i/>
        </w:rPr>
        <w:t>Atenção aos Conselhos dos Pais</w:t>
      </w:r>
      <w:r w:rsidR="007724E3">
        <w:t xml:space="preserve"> (PA17)</w:t>
      </w:r>
      <w:r>
        <w:t xml:space="preserve"> est</w:t>
      </w:r>
      <w:r w:rsidR="007724E3">
        <w:t>ão</w:t>
      </w:r>
      <w:r>
        <w:t xml:space="preserve"> mais correlacionado diretamente</w:t>
      </w:r>
      <w:r w:rsidR="000E3502">
        <w:t xml:space="preserve"> </w:t>
      </w:r>
      <w:r w:rsidR="007724E3">
        <w:t>à apenas as próprias variáveis, respectivamente.</w:t>
      </w:r>
    </w:p>
    <w:p w:rsidR="00751AC2" w:rsidRDefault="00751AC2"/>
    <w:p w:rsidR="00151CBB" w:rsidRDefault="00151CBB">
      <w:r>
        <w:t xml:space="preserve">As variáveis correspondentes a interesse em dança, hábito de faltar na escola, preocupação com a saúde, doação para a caridade, número de amigos, conhecer as pessoas certas, </w:t>
      </w:r>
      <w:r>
        <w:t>suscetibilidade ao choro</w:t>
      </w:r>
      <w:r>
        <w:t>, nível de energia, atenção ao conselho dos pais e formação de poupança</w:t>
      </w:r>
      <w:r w:rsidR="00B027F0">
        <w:t xml:space="preserve"> estão correlacionadas de forma muito próxima a mais de um fator, classificando-as como variáveis complexas.</w:t>
      </w:r>
    </w:p>
    <w:sectPr w:rsidR="00151CBB" w:rsidSect="00685236">
      <w:pgSz w:w="11906" w:h="17338"/>
      <w:pgMar w:top="1849" w:right="1339" w:bottom="1417" w:left="187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6CF267"/>
    <w:multiLevelType w:val="hybridMultilevel"/>
    <w:tmpl w:val="27ED52D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BBB0335"/>
    <w:multiLevelType w:val="hybridMultilevel"/>
    <w:tmpl w:val="FCFB09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1E8208B"/>
    <w:multiLevelType w:val="hybridMultilevel"/>
    <w:tmpl w:val="3D3C9DFA"/>
    <w:lvl w:ilvl="0" w:tplc="CE5C525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30D06F4"/>
    <w:multiLevelType w:val="hybridMultilevel"/>
    <w:tmpl w:val="BF34A27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8AC37EF"/>
    <w:multiLevelType w:val="hybridMultilevel"/>
    <w:tmpl w:val="F8CEA5AA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2DCB7BD3"/>
    <w:multiLevelType w:val="hybridMultilevel"/>
    <w:tmpl w:val="239EE6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C6885"/>
    <w:multiLevelType w:val="hybridMultilevel"/>
    <w:tmpl w:val="0ECA9B00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47311190"/>
    <w:multiLevelType w:val="hybridMultilevel"/>
    <w:tmpl w:val="1F1DA3A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04955DF"/>
    <w:multiLevelType w:val="hybridMultilevel"/>
    <w:tmpl w:val="434AD3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76"/>
    <w:rsid w:val="00001902"/>
    <w:rsid w:val="000136B7"/>
    <w:rsid w:val="00030A1E"/>
    <w:rsid w:val="00071475"/>
    <w:rsid w:val="0007595A"/>
    <w:rsid w:val="00082EF4"/>
    <w:rsid w:val="000A0AA6"/>
    <w:rsid w:val="000A3FDC"/>
    <w:rsid w:val="000B45CE"/>
    <w:rsid w:val="000E3502"/>
    <w:rsid w:val="00102D07"/>
    <w:rsid w:val="00105196"/>
    <w:rsid w:val="00137C6B"/>
    <w:rsid w:val="00151CBB"/>
    <w:rsid w:val="001F48D3"/>
    <w:rsid w:val="0020271C"/>
    <w:rsid w:val="0020429F"/>
    <w:rsid w:val="002722EF"/>
    <w:rsid w:val="00277B8C"/>
    <w:rsid w:val="0028466D"/>
    <w:rsid w:val="002B5D0F"/>
    <w:rsid w:val="002D5EB3"/>
    <w:rsid w:val="002D6F9F"/>
    <w:rsid w:val="003049EB"/>
    <w:rsid w:val="00310083"/>
    <w:rsid w:val="00322B73"/>
    <w:rsid w:val="0036280F"/>
    <w:rsid w:val="0038152D"/>
    <w:rsid w:val="003F155B"/>
    <w:rsid w:val="00425DD6"/>
    <w:rsid w:val="00427B89"/>
    <w:rsid w:val="0046730E"/>
    <w:rsid w:val="004972B9"/>
    <w:rsid w:val="004A7119"/>
    <w:rsid w:val="004B666A"/>
    <w:rsid w:val="004B6C65"/>
    <w:rsid w:val="004C3ED7"/>
    <w:rsid w:val="004C5EC5"/>
    <w:rsid w:val="005032F8"/>
    <w:rsid w:val="005043E8"/>
    <w:rsid w:val="00533D3B"/>
    <w:rsid w:val="00536847"/>
    <w:rsid w:val="005536FE"/>
    <w:rsid w:val="00566971"/>
    <w:rsid w:val="005945C2"/>
    <w:rsid w:val="005A65E1"/>
    <w:rsid w:val="005B60AA"/>
    <w:rsid w:val="005C7CB7"/>
    <w:rsid w:val="005E2CF3"/>
    <w:rsid w:val="005F28A7"/>
    <w:rsid w:val="005F4824"/>
    <w:rsid w:val="00646DF1"/>
    <w:rsid w:val="00671AB3"/>
    <w:rsid w:val="0067219E"/>
    <w:rsid w:val="0068257F"/>
    <w:rsid w:val="006C67E6"/>
    <w:rsid w:val="006D5F3E"/>
    <w:rsid w:val="006E3671"/>
    <w:rsid w:val="00710FC2"/>
    <w:rsid w:val="007223D0"/>
    <w:rsid w:val="0073062C"/>
    <w:rsid w:val="00742808"/>
    <w:rsid w:val="00750E41"/>
    <w:rsid w:val="00751AC2"/>
    <w:rsid w:val="00767677"/>
    <w:rsid w:val="007724E3"/>
    <w:rsid w:val="00777056"/>
    <w:rsid w:val="00790DAB"/>
    <w:rsid w:val="007E1CEA"/>
    <w:rsid w:val="007F04B8"/>
    <w:rsid w:val="00836B40"/>
    <w:rsid w:val="008411C9"/>
    <w:rsid w:val="00852147"/>
    <w:rsid w:val="0090062E"/>
    <w:rsid w:val="009410AF"/>
    <w:rsid w:val="00954F3D"/>
    <w:rsid w:val="0095698E"/>
    <w:rsid w:val="00967B6D"/>
    <w:rsid w:val="00987246"/>
    <w:rsid w:val="009C77D5"/>
    <w:rsid w:val="009F58ED"/>
    <w:rsid w:val="00A5276B"/>
    <w:rsid w:val="00A743FF"/>
    <w:rsid w:val="00A82925"/>
    <w:rsid w:val="00AA4CFB"/>
    <w:rsid w:val="00AE7265"/>
    <w:rsid w:val="00AF2BDD"/>
    <w:rsid w:val="00B027F0"/>
    <w:rsid w:val="00B03476"/>
    <w:rsid w:val="00B35F92"/>
    <w:rsid w:val="00B64C47"/>
    <w:rsid w:val="00B9790D"/>
    <w:rsid w:val="00BA0A3F"/>
    <w:rsid w:val="00BB0017"/>
    <w:rsid w:val="00BB6666"/>
    <w:rsid w:val="00C21524"/>
    <w:rsid w:val="00C66C22"/>
    <w:rsid w:val="00C75D43"/>
    <w:rsid w:val="00CC0FFE"/>
    <w:rsid w:val="00CE61AC"/>
    <w:rsid w:val="00CF3905"/>
    <w:rsid w:val="00D65CF0"/>
    <w:rsid w:val="00D84DDA"/>
    <w:rsid w:val="00D91A40"/>
    <w:rsid w:val="00DA2AA0"/>
    <w:rsid w:val="00DA36F2"/>
    <w:rsid w:val="00E136AC"/>
    <w:rsid w:val="00E13920"/>
    <w:rsid w:val="00E26CCE"/>
    <w:rsid w:val="00E431F9"/>
    <w:rsid w:val="00E63308"/>
    <w:rsid w:val="00EE4EF8"/>
    <w:rsid w:val="00F15353"/>
    <w:rsid w:val="00F36D10"/>
    <w:rsid w:val="00FB1831"/>
    <w:rsid w:val="00FD08A9"/>
    <w:rsid w:val="00FE3230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D2F3C-D479-4C5D-9FC8-8BA8C15C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034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E9CA-E309-4308-BC9A-100E0A5E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4</Pages>
  <Words>1512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108</cp:revision>
  <dcterms:created xsi:type="dcterms:W3CDTF">2019-03-24T17:14:00Z</dcterms:created>
  <dcterms:modified xsi:type="dcterms:W3CDTF">2019-05-01T21:59:00Z</dcterms:modified>
</cp:coreProperties>
</file>