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58" w:rsidRDefault="004F2758" w:rsidP="004F2758">
      <w:pPr>
        <w:rPr>
          <w:b/>
          <w:sz w:val="30"/>
          <w:szCs w:val="30"/>
        </w:rPr>
      </w:pPr>
      <w:r w:rsidRPr="00E7171F">
        <w:rPr>
          <w:b/>
          <w:sz w:val="30"/>
          <w:szCs w:val="30"/>
        </w:rPr>
        <w:t>Note</w:t>
      </w:r>
    </w:p>
    <w:p w:rsidR="004F2758" w:rsidRDefault="004F2758" w:rsidP="004F2758">
      <w:pPr>
        <w:rPr>
          <w:sz w:val="24"/>
          <w:szCs w:val="24"/>
        </w:rPr>
      </w:pPr>
    </w:p>
    <w:p w:rsidR="004F2758" w:rsidRDefault="004F2758" w:rsidP="004F2758">
      <w:pPr>
        <w:rPr>
          <w:sz w:val="24"/>
          <w:szCs w:val="24"/>
        </w:rPr>
      </w:pPr>
      <w:r>
        <w:rPr>
          <w:sz w:val="24"/>
          <w:szCs w:val="24"/>
        </w:rPr>
        <w:t xml:space="preserve">I segni grafici che rappresentano i suoni sono detti </w:t>
      </w:r>
      <w:r>
        <w:rPr>
          <w:i/>
          <w:sz w:val="24"/>
          <w:szCs w:val="24"/>
        </w:rPr>
        <w:t>note.</w:t>
      </w:r>
      <w:r>
        <w:rPr>
          <w:sz w:val="24"/>
          <w:szCs w:val="24"/>
        </w:rPr>
        <w:t xml:space="preserve"> Le note musicali sono sette; si chiamano </w:t>
      </w:r>
      <w:r>
        <w:rPr>
          <w:i/>
          <w:sz w:val="24"/>
          <w:szCs w:val="24"/>
        </w:rPr>
        <w:t xml:space="preserve">do, re, mi, fa, sol, la, si, </w:t>
      </w:r>
      <w:r>
        <w:rPr>
          <w:sz w:val="24"/>
          <w:szCs w:val="24"/>
        </w:rPr>
        <w:t xml:space="preserve">e formano la </w:t>
      </w:r>
      <w:r>
        <w:rPr>
          <w:i/>
          <w:sz w:val="24"/>
          <w:szCs w:val="24"/>
        </w:rPr>
        <w:t>scala musicale</w:t>
      </w:r>
      <w:r>
        <w:rPr>
          <w:sz w:val="24"/>
          <w:szCs w:val="24"/>
        </w:rPr>
        <w:t xml:space="preserve">. Questa successione di sette note, chiamate anche </w:t>
      </w:r>
      <w:r>
        <w:rPr>
          <w:i/>
          <w:sz w:val="24"/>
          <w:szCs w:val="24"/>
        </w:rPr>
        <w:t>gradi</w:t>
      </w:r>
      <w:r>
        <w:rPr>
          <w:sz w:val="24"/>
          <w:szCs w:val="24"/>
        </w:rPr>
        <w:t>, che termina con la ripetizione (8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 xml:space="preserve"> nota) della nota iniziale ma in posizione più acuta o più grave:</w:t>
      </w:r>
    </w:p>
    <w:p w:rsidR="004F2758" w:rsidRDefault="004F2758" w:rsidP="004F2758">
      <w:pPr>
        <w:rPr>
          <w:sz w:val="24"/>
          <w:szCs w:val="24"/>
        </w:rPr>
      </w:pPr>
    </w:p>
    <w:p w:rsidR="004F2758" w:rsidRPr="009C5E5F" w:rsidRDefault="004F2758" w:rsidP="004F2758">
      <w:pPr>
        <w:rPr>
          <w:sz w:val="24"/>
          <w:szCs w:val="24"/>
        </w:rPr>
      </w:pPr>
      <w:r>
        <w:rPr>
          <w:i/>
          <w:sz w:val="24"/>
          <w:szCs w:val="24"/>
        </w:rPr>
        <w:t>Note: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DO</w:t>
      </w:r>
      <w:r>
        <w:rPr>
          <w:sz w:val="24"/>
          <w:szCs w:val="24"/>
        </w:rPr>
        <w:tab/>
        <w:t>RE</w:t>
      </w:r>
      <w:r>
        <w:rPr>
          <w:sz w:val="24"/>
          <w:szCs w:val="24"/>
        </w:rPr>
        <w:tab/>
        <w:t>MI</w:t>
      </w:r>
      <w:r>
        <w:rPr>
          <w:sz w:val="24"/>
          <w:szCs w:val="24"/>
        </w:rPr>
        <w:tab/>
        <w:t>FA</w:t>
      </w:r>
      <w:r>
        <w:rPr>
          <w:sz w:val="24"/>
          <w:szCs w:val="24"/>
        </w:rPr>
        <w:tab/>
        <w:t>SOL</w:t>
      </w:r>
      <w:r>
        <w:rPr>
          <w:sz w:val="24"/>
          <w:szCs w:val="24"/>
        </w:rPr>
        <w:tab/>
        <w:t>LA</w:t>
      </w:r>
      <w:r>
        <w:rPr>
          <w:sz w:val="24"/>
          <w:szCs w:val="24"/>
        </w:rPr>
        <w:tab/>
        <w:t>SI</w:t>
      </w:r>
      <w:r>
        <w:rPr>
          <w:sz w:val="24"/>
          <w:szCs w:val="24"/>
        </w:rPr>
        <w:tab/>
        <w:t>DO</w:t>
      </w:r>
    </w:p>
    <w:p w:rsidR="004F2758" w:rsidRDefault="004F2758" w:rsidP="004F2758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Gradi: </w:t>
      </w:r>
      <w:r>
        <w:rPr>
          <w:i/>
          <w:sz w:val="24"/>
          <w:szCs w:val="24"/>
        </w:rPr>
        <w:tab/>
        <w:t xml:space="preserve"> </w:t>
      </w:r>
      <w:r>
        <w:rPr>
          <w:sz w:val="24"/>
          <w:szCs w:val="24"/>
        </w:rPr>
        <w:t>1°</w:t>
      </w:r>
      <w:r>
        <w:rPr>
          <w:sz w:val="24"/>
          <w:szCs w:val="24"/>
        </w:rPr>
        <w:tab/>
        <w:t xml:space="preserve"> 2°</w:t>
      </w:r>
      <w:r>
        <w:rPr>
          <w:sz w:val="24"/>
          <w:szCs w:val="24"/>
        </w:rPr>
        <w:tab/>
        <w:t xml:space="preserve"> 3°</w:t>
      </w:r>
      <w:r>
        <w:rPr>
          <w:sz w:val="24"/>
          <w:szCs w:val="24"/>
        </w:rPr>
        <w:tab/>
        <w:t xml:space="preserve"> 4°</w:t>
      </w:r>
      <w:r>
        <w:rPr>
          <w:sz w:val="24"/>
          <w:szCs w:val="24"/>
        </w:rPr>
        <w:tab/>
        <w:t xml:space="preserve"> 5°</w:t>
      </w:r>
      <w:r>
        <w:rPr>
          <w:sz w:val="24"/>
          <w:szCs w:val="24"/>
        </w:rPr>
        <w:tab/>
        <w:t xml:space="preserve"> 6°</w:t>
      </w:r>
      <w:r>
        <w:rPr>
          <w:sz w:val="24"/>
          <w:szCs w:val="24"/>
        </w:rPr>
        <w:tab/>
        <w:t>7°</w:t>
      </w:r>
      <w:r>
        <w:rPr>
          <w:sz w:val="24"/>
          <w:szCs w:val="24"/>
        </w:rPr>
        <w:tab/>
        <w:t xml:space="preserve"> 8° (=1°)</w:t>
      </w:r>
    </w:p>
    <w:p w:rsidR="004F2758" w:rsidRDefault="004F2758" w:rsidP="004F2758">
      <w:pPr>
        <w:rPr>
          <w:sz w:val="24"/>
          <w:szCs w:val="24"/>
        </w:rPr>
      </w:pPr>
    </w:p>
    <w:p w:rsidR="004F2758" w:rsidRDefault="004F2758" w:rsidP="004F2758">
      <w:pPr>
        <w:rPr>
          <w:sz w:val="24"/>
          <w:szCs w:val="24"/>
        </w:rPr>
      </w:pPr>
      <w:r>
        <w:rPr>
          <w:sz w:val="24"/>
          <w:szCs w:val="24"/>
        </w:rPr>
        <w:t xml:space="preserve">La scala musicale può essere </w:t>
      </w:r>
      <w:r>
        <w:rPr>
          <w:i/>
          <w:sz w:val="24"/>
          <w:szCs w:val="24"/>
        </w:rPr>
        <w:t xml:space="preserve">ascendente </w:t>
      </w:r>
      <w:r>
        <w:rPr>
          <w:sz w:val="24"/>
          <w:szCs w:val="24"/>
        </w:rPr>
        <w:t xml:space="preserve">o </w:t>
      </w:r>
      <w:r>
        <w:rPr>
          <w:i/>
          <w:sz w:val="24"/>
          <w:szCs w:val="24"/>
        </w:rPr>
        <w:t>discendente</w:t>
      </w:r>
      <w:r>
        <w:rPr>
          <w:sz w:val="24"/>
          <w:szCs w:val="24"/>
        </w:rPr>
        <w:t>. È ascendente quando i suoni che la compongono procedono dal grave verso l’acuto; è discendente quando i suoni procedono dall’acuto verso il grave.</w:t>
      </w:r>
    </w:p>
    <w:p w:rsidR="004F2758" w:rsidRPr="009C5E5F" w:rsidRDefault="004F2758" w:rsidP="004F2758">
      <w:pPr>
        <w:rPr>
          <w:sz w:val="24"/>
          <w:szCs w:val="24"/>
        </w:rPr>
      </w:pPr>
      <w:r>
        <w:rPr>
          <w:sz w:val="24"/>
          <w:szCs w:val="24"/>
        </w:rPr>
        <w:t>Esempio di scala naturale:</w:t>
      </w:r>
    </w:p>
    <w:p w:rsidR="004F2758" w:rsidRDefault="004F2758" w:rsidP="004F275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3107CA" wp14:editId="4B049BE9">
            <wp:extent cx="6076950" cy="2200275"/>
            <wp:effectExtent l="0" t="0" r="0" b="9525"/>
            <wp:docPr id="2" name="Immagine 2" descr="Risultati immagini per scala musicale ascendente e discend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ultati immagini per scala musicale ascendente e discend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758" w:rsidRDefault="004F2758" w:rsidP="004F2758">
      <w:pPr>
        <w:rPr>
          <w:sz w:val="24"/>
          <w:szCs w:val="24"/>
        </w:rPr>
      </w:pPr>
    </w:p>
    <w:p w:rsidR="004F2758" w:rsidRDefault="004F2758" w:rsidP="004F2758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Il discorso musicale è basato sulla ripetizione e sulla combinazione di queste note che, a seconda della loro posizione, rappresentano suoni </w:t>
      </w:r>
      <w:r>
        <w:rPr>
          <w:i/>
          <w:sz w:val="24"/>
          <w:szCs w:val="24"/>
        </w:rPr>
        <w:t>gravi, medi o acuti.</w:t>
      </w:r>
    </w:p>
    <w:p w:rsidR="0045204B" w:rsidRPr="0045204B" w:rsidRDefault="0045204B" w:rsidP="004F2758">
      <w:pPr>
        <w:rPr>
          <w:sz w:val="24"/>
          <w:szCs w:val="24"/>
        </w:rPr>
      </w:pPr>
    </w:p>
    <w:p w:rsidR="0045204B" w:rsidRDefault="0045204B" w:rsidP="0045204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È necessario mettere in chiaro </w:t>
      </w:r>
      <w:r w:rsidRPr="0045204B">
        <w:rPr>
          <w:noProof/>
          <w:sz w:val="24"/>
          <w:szCs w:val="24"/>
        </w:rPr>
        <w:t>la corrispondenza fra la scala musicale di sette note e la corrispondenza internazionale</w:t>
      </w:r>
      <w:r>
        <w:rPr>
          <w:noProof/>
          <w:sz w:val="24"/>
          <w:szCs w:val="24"/>
        </w:rPr>
        <w:t xml:space="preserve">. </w:t>
      </w:r>
    </w:p>
    <w:p w:rsidR="0045204B" w:rsidRPr="0045204B" w:rsidRDefault="0045204B" w:rsidP="0045204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</w:t>
      </w:r>
      <w:r w:rsidRPr="0045204B">
        <w:rPr>
          <w:noProof/>
          <w:sz w:val="24"/>
          <w:szCs w:val="24"/>
        </w:rPr>
        <w:t>i ha:</w:t>
      </w:r>
    </w:p>
    <w:p w:rsidR="0045204B" w:rsidRPr="0045204B" w:rsidRDefault="0045204B" w:rsidP="0045204B">
      <w:pPr>
        <w:rPr>
          <w:b/>
          <w:noProof/>
          <w:sz w:val="24"/>
          <w:szCs w:val="24"/>
        </w:rPr>
      </w:pPr>
      <w:r w:rsidRPr="0045204B">
        <w:rPr>
          <w:noProof/>
          <w:sz w:val="24"/>
          <w:szCs w:val="24"/>
        </w:rPr>
        <w:t xml:space="preserve">Do – </w:t>
      </w:r>
      <w:r w:rsidRPr="0045204B">
        <w:rPr>
          <w:b/>
          <w:noProof/>
          <w:sz w:val="24"/>
          <w:szCs w:val="24"/>
        </w:rPr>
        <w:t xml:space="preserve">C; </w:t>
      </w:r>
      <w:r w:rsidRPr="0045204B">
        <w:rPr>
          <w:noProof/>
          <w:sz w:val="24"/>
          <w:szCs w:val="24"/>
        </w:rPr>
        <w:t xml:space="preserve">Re – </w:t>
      </w:r>
      <w:r w:rsidRPr="0045204B">
        <w:rPr>
          <w:b/>
          <w:noProof/>
          <w:sz w:val="24"/>
          <w:szCs w:val="24"/>
        </w:rPr>
        <w:t xml:space="preserve">D; </w:t>
      </w:r>
      <w:r w:rsidRPr="0045204B">
        <w:rPr>
          <w:noProof/>
          <w:sz w:val="24"/>
          <w:szCs w:val="24"/>
        </w:rPr>
        <w:t xml:space="preserve">Mi – </w:t>
      </w:r>
      <w:r w:rsidRPr="0045204B">
        <w:rPr>
          <w:b/>
          <w:noProof/>
          <w:sz w:val="24"/>
          <w:szCs w:val="24"/>
        </w:rPr>
        <w:t xml:space="preserve">E, </w:t>
      </w:r>
      <w:r w:rsidRPr="0045204B">
        <w:rPr>
          <w:noProof/>
          <w:sz w:val="24"/>
          <w:szCs w:val="24"/>
        </w:rPr>
        <w:t xml:space="preserve">Fa – </w:t>
      </w:r>
      <w:r w:rsidRPr="0045204B">
        <w:rPr>
          <w:b/>
          <w:noProof/>
          <w:sz w:val="24"/>
          <w:szCs w:val="24"/>
        </w:rPr>
        <w:t xml:space="preserve">F; </w:t>
      </w:r>
      <w:r w:rsidRPr="0045204B">
        <w:rPr>
          <w:noProof/>
          <w:sz w:val="24"/>
          <w:szCs w:val="24"/>
        </w:rPr>
        <w:t xml:space="preserve">Sol – </w:t>
      </w:r>
      <w:r w:rsidRPr="0045204B">
        <w:rPr>
          <w:b/>
          <w:noProof/>
          <w:sz w:val="24"/>
          <w:szCs w:val="24"/>
        </w:rPr>
        <w:t xml:space="preserve">G; </w:t>
      </w:r>
      <w:r w:rsidRPr="0045204B">
        <w:rPr>
          <w:noProof/>
          <w:sz w:val="24"/>
          <w:szCs w:val="24"/>
        </w:rPr>
        <w:t xml:space="preserve">La – </w:t>
      </w:r>
      <w:r w:rsidRPr="0045204B">
        <w:rPr>
          <w:b/>
          <w:noProof/>
          <w:sz w:val="24"/>
          <w:szCs w:val="24"/>
        </w:rPr>
        <w:t xml:space="preserve">A; </w:t>
      </w:r>
      <w:r w:rsidRPr="0045204B">
        <w:rPr>
          <w:noProof/>
          <w:sz w:val="24"/>
          <w:szCs w:val="24"/>
        </w:rPr>
        <w:t xml:space="preserve">Si – </w:t>
      </w:r>
      <w:r w:rsidRPr="0045204B">
        <w:rPr>
          <w:b/>
          <w:noProof/>
          <w:sz w:val="24"/>
          <w:szCs w:val="24"/>
        </w:rPr>
        <w:t xml:space="preserve">B </w:t>
      </w:r>
      <w:bookmarkStart w:id="0" w:name="_GoBack"/>
      <w:bookmarkEnd w:id="0"/>
    </w:p>
    <w:p w:rsidR="0045204B" w:rsidRDefault="0045204B" w:rsidP="004F2758">
      <w:pPr>
        <w:rPr>
          <w:sz w:val="24"/>
          <w:szCs w:val="24"/>
        </w:rPr>
      </w:pPr>
    </w:p>
    <w:p w:rsidR="008C528D" w:rsidRPr="004F2758" w:rsidRDefault="008C528D">
      <w:pPr>
        <w:rPr>
          <w:sz w:val="24"/>
          <w:szCs w:val="24"/>
        </w:rPr>
      </w:pPr>
    </w:p>
    <w:sectPr w:rsidR="008C528D" w:rsidRPr="004F27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58"/>
    <w:rsid w:val="0045204B"/>
    <w:rsid w:val="004F2758"/>
    <w:rsid w:val="008C528D"/>
    <w:rsid w:val="00AF33E0"/>
    <w:rsid w:val="00D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385E8"/>
  <w15:chartTrackingRefBased/>
  <w15:docId w15:val="{E1D91DD8-F5BF-4966-9424-E1CDA4CE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2758"/>
    <w:pPr>
      <w:spacing w:after="0" w:line="24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181818" w:themeColor="text2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rFonts w:eastAsiaTheme="minorHAnsi"/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  <w:spacing w:after="160" w:line="259" w:lineRule="auto"/>
    </w:pPr>
    <w:rPr>
      <w:rFonts w:eastAsiaTheme="minorHAnsi"/>
      <w:color w:val="5A5A5A" w:themeColor="text1" w:themeTint="A5"/>
      <w:spacing w:val="10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 w:after="160" w:line="259" w:lineRule="auto"/>
      <w:ind w:left="720" w:right="720"/>
    </w:pPr>
    <w:rPr>
      <w:rFonts w:eastAsiaTheme="minorHAnsi"/>
      <w:i/>
      <w:iCs/>
      <w:color w:val="000000" w:themeColor="text1"/>
      <w:sz w:val="22"/>
      <w:szCs w:val="2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eastAsiaTheme="minorHAnsi"/>
      <w:color w:val="000000" w:themeColor="text1"/>
      <w:sz w:val="22"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3</cp:revision>
  <dcterms:created xsi:type="dcterms:W3CDTF">2019-02-27T09:34:00Z</dcterms:created>
  <dcterms:modified xsi:type="dcterms:W3CDTF">2019-03-07T08:10:00Z</dcterms:modified>
</cp:coreProperties>
</file>