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10E" w:rsidRDefault="0042110E" w:rsidP="0042110E">
      <w:pPr>
        <w:rPr>
          <w:b/>
          <w:sz w:val="30"/>
          <w:szCs w:val="30"/>
        </w:rPr>
      </w:pPr>
      <w:r>
        <w:rPr>
          <w:b/>
          <w:sz w:val="30"/>
          <w:szCs w:val="30"/>
        </w:rPr>
        <w:t>Alterazioni</w:t>
      </w:r>
    </w:p>
    <w:p w:rsidR="0042110E" w:rsidRDefault="0042110E" w:rsidP="0042110E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b/>
          <w:sz w:val="24"/>
          <w:szCs w:val="24"/>
        </w:rPr>
        <w:t>alterazioni</w:t>
      </w:r>
      <w:r>
        <w:rPr>
          <w:sz w:val="24"/>
          <w:szCs w:val="24"/>
        </w:rPr>
        <w:t xml:space="preserve"> sono segni grafici che posti davanti a una nota servono a modificare verso l’alto o verso il basso l’intonazione della nota stessa.</w:t>
      </w:r>
    </w:p>
    <w:p w:rsidR="0042110E" w:rsidRDefault="0042110E" w:rsidP="0042110E">
      <w:pPr>
        <w:rPr>
          <w:sz w:val="24"/>
          <w:szCs w:val="24"/>
        </w:rPr>
      </w:pPr>
      <w:r>
        <w:rPr>
          <w:sz w:val="24"/>
          <w:szCs w:val="24"/>
        </w:rPr>
        <w:t xml:space="preserve">Le alterazioni si suddividono in </w:t>
      </w:r>
      <w:r>
        <w:rPr>
          <w:b/>
          <w:sz w:val="24"/>
          <w:szCs w:val="24"/>
        </w:rPr>
        <w:t>alterazioni semplici</w:t>
      </w:r>
      <w:r>
        <w:rPr>
          <w:sz w:val="24"/>
          <w:szCs w:val="24"/>
        </w:rPr>
        <w:t xml:space="preserve"> e in </w:t>
      </w:r>
      <w:r>
        <w:rPr>
          <w:b/>
          <w:sz w:val="24"/>
          <w:szCs w:val="24"/>
        </w:rPr>
        <w:t>alterazioni doppie</w:t>
      </w:r>
      <w:r>
        <w:rPr>
          <w:sz w:val="24"/>
          <w:szCs w:val="24"/>
        </w:rPr>
        <w:t>.</w:t>
      </w:r>
    </w:p>
    <w:p w:rsidR="0042110E" w:rsidRDefault="0042110E" w:rsidP="0042110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C90477" wp14:editId="04BD1A15">
            <wp:extent cx="6120130" cy="3259288"/>
            <wp:effectExtent l="0" t="0" r="0" b="0"/>
            <wp:docPr id="3" name="Immagine 3" descr="Risultati immagini per alterazioni semplici music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alterazioni semplici musica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52772D" w:rsidRDefault="0052772D" w:rsidP="0042110E">
      <w:pPr>
        <w:rPr>
          <w:sz w:val="24"/>
          <w:szCs w:val="24"/>
        </w:rPr>
      </w:pPr>
    </w:p>
    <w:p w:rsidR="0042110E" w:rsidRDefault="0042110E" w:rsidP="0042110E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In un suono doppiamente alterato al quale si voglia annullare una delle alterazioni, è consuetudine usare insieme il bequadro e il bemolle o il bequadro e il diesis. </w:t>
      </w:r>
    </w:p>
    <w:p w:rsidR="0042110E" w:rsidRDefault="0042110E" w:rsidP="0042110E">
      <w:pPr>
        <w:rPr>
          <w:sz w:val="24"/>
          <w:szCs w:val="24"/>
        </w:rPr>
      </w:pPr>
      <w:r>
        <w:rPr>
          <w:sz w:val="24"/>
          <w:szCs w:val="24"/>
        </w:rPr>
        <w:t xml:space="preserve">Le alterazioni possono essere </w:t>
      </w:r>
      <w:r>
        <w:rPr>
          <w:b/>
          <w:sz w:val="24"/>
          <w:szCs w:val="24"/>
        </w:rPr>
        <w:t>costanti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o permanenti</w:t>
      </w:r>
      <w:r>
        <w:rPr>
          <w:sz w:val="24"/>
          <w:szCs w:val="24"/>
        </w:rPr>
        <w:t xml:space="preserve">), </w:t>
      </w:r>
      <w:r>
        <w:rPr>
          <w:b/>
          <w:sz w:val="24"/>
          <w:szCs w:val="24"/>
        </w:rPr>
        <w:t>momentanee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o transitorie</w:t>
      </w:r>
      <w:r>
        <w:rPr>
          <w:sz w:val="24"/>
          <w:szCs w:val="24"/>
        </w:rPr>
        <w:t xml:space="preserve">) e di </w:t>
      </w:r>
      <w:r>
        <w:rPr>
          <w:b/>
          <w:sz w:val="24"/>
          <w:szCs w:val="24"/>
        </w:rPr>
        <w:t xml:space="preserve">precauzione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o di rammento</w:t>
      </w:r>
      <w:r>
        <w:rPr>
          <w:sz w:val="24"/>
          <w:szCs w:val="24"/>
        </w:rPr>
        <w:t>).</w:t>
      </w:r>
    </w:p>
    <w:p w:rsidR="0042110E" w:rsidRDefault="0042110E" w:rsidP="0042110E">
      <w:pPr>
        <w:rPr>
          <w:sz w:val="24"/>
          <w:szCs w:val="24"/>
        </w:rPr>
      </w:pPr>
      <w:r>
        <w:rPr>
          <w:sz w:val="24"/>
          <w:szCs w:val="24"/>
        </w:rPr>
        <w:t xml:space="preserve">Sono </w:t>
      </w:r>
      <w:r>
        <w:rPr>
          <w:i/>
          <w:sz w:val="24"/>
          <w:szCs w:val="24"/>
        </w:rPr>
        <w:t>costanti</w:t>
      </w:r>
      <w:r>
        <w:rPr>
          <w:sz w:val="24"/>
          <w:szCs w:val="24"/>
        </w:rPr>
        <w:t xml:space="preserve"> quando sono poste all’inizio del pezzo subito dopo la chiave e prima dell’indicazione del tempo, e hanno valore, per i suoni corrispondenti, durante tutto il brano musicale. Per annullare un’alterazione costante, ci si serve del bequadro, il quale annulla l’alterazione per la sola battuta in cui è posto; nella battuta seguente l’alterazione riacquista la sua funzione. Per le alterazioni costanti è possibile solo l’uso dei diesis e dei bemolli.</w:t>
      </w:r>
    </w:p>
    <w:p w:rsidR="0042110E" w:rsidRDefault="0042110E" w:rsidP="0042110E">
      <w:pPr>
        <w:rPr>
          <w:sz w:val="24"/>
          <w:szCs w:val="24"/>
        </w:rPr>
      </w:pPr>
      <w:r>
        <w:rPr>
          <w:sz w:val="24"/>
          <w:szCs w:val="24"/>
        </w:rPr>
        <w:t xml:space="preserve">Sono </w:t>
      </w:r>
      <w:r>
        <w:rPr>
          <w:i/>
          <w:sz w:val="24"/>
          <w:szCs w:val="24"/>
        </w:rPr>
        <w:t>momentanee</w:t>
      </w:r>
      <w:r>
        <w:rPr>
          <w:sz w:val="24"/>
          <w:szCs w:val="24"/>
        </w:rPr>
        <w:t xml:space="preserve"> quando si trovano saltuariamente nel corso della composizione e in questo caso alterano il suono nella misura o battuta dove sono poste.</w:t>
      </w:r>
    </w:p>
    <w:p w:rsidR="00FB6DEA" w:rsidRPr="0042110E" w:rsidRDefault="0042110E" w:rsidP="0042110E">
      <w:r>
        <w:rPr>
          <w:sz w:val="24"/>
          <w:szCs w:val="24"/>
        </w:rPr>
        <w:t xml:space="preserve">Si chiamano alterazioni di </w:t>
      </w:r>
      <w:r>
        <w:rPr>
          <w:i/>
          <w:sz w:val="24"/>
          <w:szCs w:val="24"/>
        </w:rPr>
        <w:t>precauzione</w:t>
      </w:r>
      <w:r>
        <w:rPr>
          <w:sz w:val="24"/>
          <w:szCs w:val="24"/>
        </w:rPr>
        <w:t xml:space="preserve"> quando servono a rammentare all’esecutore che la nota, o le note, alterate momentaneamente nella misura o battuta precedente, devono ritornare allo stato naturale.</w:t>
      </w:r>
    </w:p>
    <w:sectPr w:rsidR="00FB6DEA" w:rsidRPr="004211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2D"/>
    <w:rsid w:val="00004155"/>
    <w:rsid w:val="0033265F"/>
    <w:rsid w:val="003658F6"/>
    <w:rsid w:val="003B253D"/>
    <w:rsid w:val="003D584E"/>
    <w:rsid w:val="0042110E"/>
    <w:rsid w:val="004F2758"/>
    <w:rsid w:val="004F7A12"/>
    <w:rsid w:val="0052772D"/>
    <w:rsid w:val="006B69E7"/>
    <w:rsid w:val="006D6FFB"/>
    <w:rsid w:val="008C528D"/>
    <w:rsid w:val="009A0155"/>
    <w:rsid w:val="00CC16AC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D1137A26-ED52-4054-AC31-FDE85B4E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ziano\Desktop\Livello%20intermedio_avanzato\2.%20Alterazioni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2. Alterazioni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Graziano</dc:creator>
  <cp:keywords/>
  <dc:description/>
  <cp:lastModifiedBy>Danilo Montanaro</cp:lastModifiedBy>
  <cp:revision>1</cp:revision>
  <cp:lastPrinted>2019-02-07T19:26:00Z</cp:lastPrinted>
  <dcterms:created xsi:type="dcterms:W3CDTF">2019-02-10T12:37:00Z</dcterms:created>
  <dcterms:modified xsi:type="dcterms:W3CDTF">2019-02-10T12:37:00Z</dcterms:modified>
</cp:coreProperties>
</file>