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DC23" w14:textId="5C4AEE10" w:rsidR="00D5571D" w:rsidRDefault="00F10B7A" w:rsidP="00D5571D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Smanicamento</w:t>
      </w:r>
      <w:proofErr w:type="spellEnd"/>
    </w:p>
    <w:p w14:paraId="419BD57F" w14:textId="50810FB1" w:rsidR="00F10B7A" w:rsidRPr="00D5571D" w:rsidRDefault="00F10B7A" w:rsidP="00D5571D">
      <w:pPr>
        <w:rPr>
          <w:sz w:val="30"/>
          <w:szCs w:val="30"/>
        </w:rPr>
      </w:pPr>
      <w:r>
        <w:rPr>
          <w:sz w:val="30"/>
          <w:szCs w:val="30"/>
        </w:rPr>
        <w:t>Una delle principali doti del bassista risiede nell’abilità con cui si sposta agilmente da una posizione e l’altra utilizzando per ognuna di esse la corretta diteggiatura. Dopo aver acquisito una certa pratica si potrà scegliere a piacimento in quale posizione situare la mano sinistra, facendo però attenzione che la posizione prescelta renda agevole l’esecuzione.</w:t>
      </w:r>
      <w:bookmarkStart w:id="0" w:name="_GoBack"/>
      <w:bookmarkEnd w:id="0"/>
    </w:p>
    <w:p w14:paraId="74AD1CFA" w14:textId="77777777" w:rsidR="00B57627" w:rsidRPr="00B57627" w:rsidRDefault="00B57627">
      <w:pPr>
        <w:rPr>
          <w:sz w:val="30"/>
          <w:szCs w:val="30"/>
        </w:rPr>
      </w:pPr>
    </w:p>
    <w:sectPr w:rsidR="00B57627" w:rsidRPr="00B576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8C528D"/>
    <w:rsid w:val="00A06C23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2019-03-02T08:06:00Z</cp:lastPrinted>
  <dcterms:created xsi:type="dcterms:W3CDTF">2019-03-02T08:10:00Z</dcterms:created>
  <dcterms:modified xsi:type="dcterms:W3CDTF">2019-03-02T08:10:00Z</dcterms:modified>
</cp:coreProperties>
</file>