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595959"/>
          <w:sz w:val="24"/>
          <w:szCs w:val="24"/>
        </w:rPr>
        <w:t xml:space="preserve">ETHICAL HACKING ESSENTIALS</w:t>
      </w:r>
    </w:p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Task 1: Reconnaissance &amp; Footprinting Report</w:t>
      </w:r>
    </w:p>
    <w:p>
      <w:pPr>
        <w:spacing w:after="400"/>
        <w:jc w:val="center"/>
      </w:pPr>
      <w:r>
        <w:rPr>
          <w:i/>
          <w:iCs/>
          <w:color w:val="2E74B5"/>
          <w:sz w:val="24"/>
          <w:szCs w:val="24"/>
        </w:rPr>
        <w:t xml:space="preserve">Target: OWASP Juice Shop (Dockerized Lab Environment)</w:t>
      </w:r>
    </w:p>
    <w:p>
      <w:pPr>
        <w:pBdr>
          <w:bottom w:val="single" w:color="BFBFBF" w:sz="6" w:space="1"/>
        </w:pBdr>
        <w:spacing w:after="200" w:before="100"/>
      </w:pPr>
      <w:r>
        <w:t xml:space="preserve"/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4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Chisom (chisom@kali)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Engagement Type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Authorized internal lab reconnaissance (training exercise)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Target Application</w:t>
            </w:r>
          </w:p>
        </w:tc>
        <w:tc>
          <w:tcPr>
            <w:tcW w:type="dxa" w:w="62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OWASP Juice Shop (bkimminich/juice-shop) – Docker image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Target Host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127.0.0.1 (localhost) – Docker container "juice-shop"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Target Port / Service</w:t>
            </w:r>
          </w:p>
        </w:tc>
        <w:tc>
          <w:tcPr>
            <w:tcW w:type="dxa" w:w="62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TCP 3000 – HTTP (Node.js / Express application)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Attacking Platform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Kali Linux 2026.3.2 (rolling)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Date of Assessment</w:t>
            </w:r>
          </w:p>
        </w:tc>
        <w:tc>
          <w:tcPr>
            <w:tcW w:type="dxa" w:w="62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07 October 2026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Tools Used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Docker, Nmap 7.99, Mozilla Firefox, Bash/Shell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1. Executive Summary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This report documents the passive and active reconnaissance and footprinting activities performed against a designated lab target, OWASP Juice Shop, deployed locally via Docker on a Kali Linux attacking machine. The exercise forms Task 1 of the Ethical Hacking Essentials internship program and was conducted strictly within an isolated, self-hosted lab environment with explicit authorization, in line with OWASP Juice Shop's intended purpose as a legal practice application.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The objective was to identify the attack surface of the target — open ports, running services, underlying technologies, and any information inadvertently disclosed by the application — using the same methodology a security analyst would apply during the information-gathering phase of a penetration test. Reconnaissance was carried out in two stages: environment/service setup and verification (treated as passive groundwork), followed by active scanning with Nmap and direct application review in a browser.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Key findings include one exposed TCP service (port 3000) hosting a Node.js/Express web application with verbose HTTP response headers, a publicly accessible copyright/version banner, and a non-standard HTTP header (X-Recruiting) that discloses an internal application route. These findings, while expected for a deliberately vulnerable training application, mirror the type of information-disclosure weaknesses that a real-world attacker would use to fingerprint and profile a production target.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Stand up a legally sanctioned, intentionally vulnerable web application (OWASP Juice Shop) inside an isolated lab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Perform active reconnaissance to enumerate open ports, running services, and service versions on the target host.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Identify the technologies, frameworks, and configuration details exposed by the target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Document all findings in a structured format consistent with professional security-assessment reporting standards.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Lay the groundwork for subsequent exploitation and remediation tasks (Tasks 2 and 3 of the program).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3. Scope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The assessment was limited to the following in-scope asset, with no external or third-party systems touched at any point: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Host: 127.0.0.1 (localhost) on the assessor's own Kali Linux virtual machine.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Application/Container: “juice-shop” Docker container built from the official bkimminich/juice-shop image, exposed on TCP port 3000.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Testing window: single session on 07 October 2026, approximately 06:58 – 07:29 (local system clock).</w:t>
      </w:r>
    </w:p>
    <w:p>
      <w:pPr>
        <w:spacing w:after="120"/>
      </w:pPr>
      <w:r>
        <w:rPr>
          <w:i/>
          <w:iCs/>
          <w:color w:val="595959"/>
          <w:sz w:val="22"/>
          <w:szCs w:val="22"/>
        </w:rPr>
        <w:t xml:space="preserve">All activity was performed against a self-deployed instance; no production or third-party infrastructure was scanned or accessed.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4. Methodology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The engagement followed a standard reconnaissance workflow: environment preparation, service deployment/verification, active port and service scanning, and manual application review. Each phase and its corresponding commands are detailed below.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4.1 Environment Preparation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The Kali Linux system package index was refreshed and Docker was installed to host the vulnerable target application: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$ sudo apt update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$ docker --version        # confirmed Docker was not yet installed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$ sudo apt install docker.io -y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Docker Engine, containerd, runc and supporting dependencies (docker.io 28.5.2, containerd 2.1.9, runc 1.3.6, criu 4.2.1-1) were installed successfully. The Docker service was then enabled and verified as active and running: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$ sudo systemctl enable --now docker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$ sudo systemctl status docker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Output confirmed: “Active: active (running)”, with the Docker API listening on /run/docker.sock and the daemon reporting successful initialization — establishing a stable container runtime for the lab target.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4.2 Target Deployment (Passive Setup)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The official OWASP Juice Shop image was pulled from Docker Hub and instantiated as a detached container, mapping container port 3000 to host port 3000: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$ sudo docker pull bkimminich/juice-shop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$ sudo docker run -d --name juice-shop -p 3000:3000 bkimminich/juice-shop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$ sudo docker ps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The docker ps output confirmed the container (ID 20e7a9e950d3) was “Up” and healthy, with port mapping 0.0.0.0:3000→3000/tcp and [::]:3000→3000/tcp, under the name juice-shop.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4.3 Active Reconnaissance – Port &amp; Service Scanning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Nmap was used to perform active service and version detection against the loopback target: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$ nmap -sV -p- 127.0.0.1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Initial scan results showed all 65,533 scanned TCP ports closed with one host up, except for two unrecognized services returned without a confident version match, prompting a focused, script-assisted re-scan: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$ nmap -sC -sV -p 3000 127.0.0.1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The follow-up scan returned a complete HTTP fingerprint for port 3000, summarized in the table below.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600"/>
        <w:gridCol w:w="494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 / Proto</w:t>
            </w:r>
          </w:p>
        </w:tc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9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3000/tcp</w:t>
            </w:r>
          </w:p>
        </w:tc>
        <w:tc>
          <w:tcPr>
            <w:tcW w:type="dxa" w:w="1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open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http</w:t>
            </w:r>
          </w:p>
        </w:tc>
        <w:tc>
          <w:tcPr>
            <w:tcW w:type="dxa" w:w="49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Golang net/http server (initial automated guess) – confirmed on manual review to be a Node.js/Express application (OWASP Juice Shop)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rPr>
          <w:color w:val="262626"/>
          <w:sz w:val="22"/>
          <w:szCs w:val="22"/>
        </w:rPr>
        <w:t xml:space="preserve">Nmap's NSE HTTP scripts (-sC) captured the full response headers returned by the web server, which were reviewed for information disclosure: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4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HTTP Header</w:t>
            </w:r>
          </w:p>
        </w:tc>
        <w:tc>
          <w:tcPr>
            <w:tcW w:type="dxa" w:w="58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HTTP/1.1</w:t>
            </w:r>
          </w:p>
        </w:tc>
        <w:tc>
          <w:tcPr>
            <w:tcW w:type="dxa" w:w="58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Access-Control-Allow-Origin</w:t>
            </w:r>
          </w:p>
        </w:tc>
        <w:tc>
          <w:tcPr>
            <w:tcW w:type="dxa" w:w="58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*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58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nosniff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58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SAMEORIGIN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Feature-Policy</w:t>
            </w:r>
          </w:p>
        </w:tc>
        <w:tc>
          <w:tcPr>
            <w:tcW w:type="dxa" w:w="58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payment 'self'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X-Recruiting</w:t>
            </w:r>
          </w:p>
        </w:tc>
        <w:tc>
          <w:tcPr>
            <w:tcW w:type="dxa" w:w="58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/#/jobs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Accept-Ranges</w:t>
            </w:r>
          </w:p>
        </w:tc>
        <w:tc>
          <w:tcPr>
            <w:tcW w:type="dxa" w:w="58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bytes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Cache-Control</w:t>
            </w:r>
          </w:p>
        </w:tc>
        <w:tc>
          <w:tcPr>
            <w:tcW w:type="dxa" w:w="58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public, max-age=0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Last-Modified</w:t>
            </w:r>
          </w:p>
        </w:tc>
        <w:tc>
          <w:tcPr>
            <w:tcW w:type="dxa" w:w="58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Wed, 07 Oct 2026 11:06:08 GMT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ETag</w:t>
            </w:r>
          </w:p>
        </w:tc>
        <w:tc>
          <w:tcPr>
            <w:tcW w:type="dxa" w:w="58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W/"24b1-1a1160acbe3"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58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text/html; charset=UTF-8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Content-Length</w:t>
            </w:r>
          </w:p>
        </w:tc>
        <w:tc>
          <w:tcPr>
            <w:tcW w:type="dxa" w:w="58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9393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4.4 Application-Layer Footprinting (Manual Review)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The raw HTML response body returned alongside the Nmap fingerprint, and a direct Firefox browser session to http://localhost:3000/, were reviewed to extract technology and versioning clues: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Page &lt;title&gt;: “OWASP Juice Shop”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Meta description: “Probably the most modern and sophisticated insecure web application” (a self-disclosed hint that the target is intentionally vulnerable)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Embedded copyright banner: “Copyright (c) 2014-2026 Bjoern Kimminich &amp; the OWASP Juice Shop contributors”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SPDX-License-Identifier: MIT (disclosed directly in the HTML source)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Viewport meta tag and markup style indicative of a modern single-page application (SPA) front end, consistent with Juice Shop's known Angular-based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Storefront confirmed functional in-browser: product catalog (e.g., Apple Juice, Apple Pomace, Banana Juice), account/login menu, shopping basket, and language selector all rendered correctly, confirming the application was fully operational for subsequent exploitation tasks.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5. Findings Summary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500"/>
        <w:gridCol w:w="474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Rating</w:t>
            </w:r>
          </w:p>
        </w:tc>
        <w:tc>
          <w:tcPr>
            <w:tcW w:type="dxa" w:w="47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Single exposed service on non-standard port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47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Only TCP/3000 (HTTP) is reachable; no other listening ports were discovered on the host during the full-range scan.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Verbose HTTP response headers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Low</w:t>
            </w:r>
          </w:p>
        </w:tc>
        <w:tc>
          <w:tcPr>
            <w:tcW w:type="dxa" w:w="47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Headers such as ETag, Last-Modified, and Content-Length reveal internal application state and could assist an attacker in cache-based or timing-based profiling.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Custom header discloses hidden route (X-Recruiting)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Low</w:t>
            </w:r>
          </w:p>
        </w:tc>
        <w:tc>
          <w:tcPr>
            <w:tcW w:type="dxa" w:w="47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The X-Recruiting: /#/jobs header exposes an application path not otherwise linked from the main navigation, expanding the discoverable attack surface.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Permissive CORS policy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Medium</w:t>
            </w:r>
          </w:p>
        </w:tc>
        <w:tc>
          <w:tcPr>
            <w:tcW w:type="dxa" w:w="47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Access-Control-Allow-Origin: * permits cross-origin requests from any domain, which can increase exposure to client-side attacks if sensitive endpoints are later identified.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Technology stack identifiable from markup/banners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Low</w:t>
            </w:r>
          </w:p>
        </w:tc>
        <w:tc>
          <w:tcPr>
            <w:tcW w:type="dxa" w:w="47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62626"/>
                <w:sz w:val="20"/>
                <w:szCs w:val="20"/>
              </w:rPr>
              <w:t xml:space="preserve">Copyright banner, SPDX license tag, and SPA-style markup allow quick identification of the application (Juice Shop) and its open-source codebase, enabling an attacker to pull public vulnerability data for it.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6.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Restrict Access-Control-Allow-Origin to a defined allow-list of trusted origins instead of a wildcard (*).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Remove or rename non-standard, informational headers (e.g., X-Recruiting) in production builds so internal routes are not advertised to unauthenticated scanners.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Suppress or genericize server banners, ETags, and Last-Modified values where they are not operationally required, to reduce fingerprinting surface.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Apply the principle of least exposure: only the ports and services strictly required for the application to function should be bound to externally reachable interfaces.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Keep the underlying framework and dependencies patched, since the identifiable technology stack allows attackers to quickly cross-reference known CVEs.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7. Conclusion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The reconnaissance and footprinting phase successfully identified the target's single exposed attack surface (TCP/3000, an HTTP/Node.js application), enumerated its HTTP-layer configuration, and extracted technology and versioning artifacts through both automated (Nmap NSE) and manual (browser-based) review. No intrusive or exploitative actions were taken at this stage; all activity was limited to information gathering, consistent with the passive/active reconnaissance phase of the penetration-testing lifecycle. These findings establish the baseline attack surface that will be carried forward into Task 2 (Exploit a Vulnerable Web App).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8. Appendix – Evidence Screenshots</w:t>
      </w:r>
    </w:p>
    <w:p>
      <w:pPr>
        <w:spacing w:after="120"/>
      </w:pPr>
      <w:r>
        <w:rPr>
          <w:color w:val="262626"/>
          <w:sz w:val="22"/>
          <w:szCs w:val="22"/>
        </w:rPr>
        <w:t xml:space="preserve">The following terminal and browser screenshots, captured live during the session, provide direct evidence for the methodology and findings documented in this report.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Exhibit A – Kali Update &amp; Docker Installation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80" w:before="200"/>
        <w:jc w:val="center"/>
      </w:pPr>
      <w:r>
        <w:drawing>
          <wp:inline distT="0" distB="0" distL="0" distR="0">
            <wp:extent cx="4762500" cy="501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9"/>
          <w:szCs w:val="19"/>
        </w:rPr>
        <w:t xml:space="preserve">Exhibit A: ‘sudo apt update’ and ‘sudo apt install docker.io -y’ – system refreshed and Docker Engine installed.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Exhibit B – Docker Service Enabled &amp; Verified Active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80" w:before="200"/>
        <w:jc w:val="center"/>
      </w:pPr>
      <w:r>
        <w:drawing>
          <wp:inline distT="0" distB="0" distL="0" distR="0">
            <wp:extent cx="47625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9"/>
          <w:szCs w:val="19"/>
        </w:rPr>
        <w:t xml:space="preserve">Exhibit B: Docker package unpacking/configuration completes; ‘systemctl enable --now docker’ and ‘systemctl status docker’ confirm the engine is active (running).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Exhibit C – Juice Shop Deployment &amp; Initial Nmap Scan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80" w:before="200"/>
        <w:jc w:val="center"/>
      </w:pPr>
      <w:r>
        <w:drawing>
          <wp:inline distT="0" distB="0" distL="0" distR="0">
            <wp:extent cx="47625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9"/>
          <w:szCs w:val="19"/>
        </w:rPr>
        <w:t xml:space="preserve">Exhibit C: ‘docker pull bkimminich/juice-shop’, container start (‘docker run’/‘docker ps’), and the initial ‘nmap -sV’ scan identifying port 3000 open.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Exhibit D – Targeted Nmap Service-Script Scan (Part 1)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80" w:before="200"/>
        <w:jc w:val="center"/>
      </w:pPr>
      <w:r>
        <w:drawing>
          <wp:inline distT="0" distB="0" distL="0" distR="0">
            <wp:extent cx="47625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9"/>
          <w:szCs w:val="19"/>
        </w:rPr>
        <w:t xml:space="preserve">Exhibit D: ‘nmap -sC -sV -p 3000’ output capturing the beginning of the HTTP service fingerprint and response headers.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Exhibit E – Targeted Nmap Service-Script Scan (Part 2 – Full HTTP Fingerprint)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80" w:before="200"/>
        <w:jc w:val="center"/>
      </w:pPr>
      <w:r>
        <w:drawing>
          <wp:inline distT="0" distB="0" distL="0" distR="0">
            <wp:extent cx="4762500" cy="468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9"/>
          <w:szCs w:val="19"/>
        </w:rPr>
        <w:t xml:space="preserve">Exhibit E: Completed HTTP fingerprint, including HTML banner, license identifier, and full response header set; scan completed in 12.86 seconds.</w:t>
      </w:r>
    </w:p>
    <w:p>
      <w:pPr>
        <w:pStyle w:val="Heading2"/>
        <w:spacing w:after="140" w:before="280"/>
      </w:pPr>
      <w:r>
        <w:rPr>
          <w:b/>
          <w:bCs/>
          <w:color w:val="1F3864"/>
        </w:rPr>
        <w:t xml:space="preserve">Exhibit F – Live Application Verification (Browser)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80" w:before="200"/>
        <w:jc w:val="center"/>
      </w:pPr>
      <w:r>
        <w:drawing>
          <wp:inline distT="0" distB="0" distL="0" distR="0">
            <wp:extent cx="47625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9"/>
          <w:szCs w:val="19"/>
        </w:rPr>
        <w:t xml:space="preserve">Exhibit F: OWASP Juice Shop storefront rendering correctly at http://localhost:3000, confirming the target application is fully operational.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5b72b365c751f6b80524b852f1676972fb5f66.jpg"/><Relationship Id="rId8" Type="http://schemas.openxmlformats.org/officeDocument/2006/relationships/image" Target="media/b23332cca726a800ff2625fd31612b028a27f33a.jpg"/><Relationship Id="rId9" Type="http://schemas.openxmlformats.org/officeDocument/2006/relationships/image" Target="media/9811c02720537ed1607749687f549c38eb34ec17.jpg"/><Relationship Id="rId10" Type="http://schemas.openxmlformats.org/officeDocument/2006/relationships/image" Target="media/32a30f528fab5a21408264d12d33a47a06f0c35e.jpg"/><Relationship Id="rId11" Type="http://schemas.openxmlformats.org/officeDocument/2006/relationships/image" Target="media/79303060f4f58e9f8891736eb7356d38f8910526.jpg"/><Relationship Id="rId12" Type="http://schemas.openxmlformats.org/officeDocument/2006/relationships/image" Target="media/41a1f0a711d0b863c91d7e8b21b90f37d9f7dbed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2026-10-07T11:59:34.861Z</dcterms:created>
  <dcterms:modified xsi:type="dcterms:W3CDTF">2026-10-07T11:59:34.866Z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