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after="80" w:before="0"/>
              <w:jc w:val="center"/>
            </w:pPr>
            <w:r>
              <w:rPr>
                <w:b/>
                <w:bCs/>
                <w:color w:val="AACCEE"/>
                <w:sz w:val="28"/>
                <w:szCs w:val="28"/>
              </w:rPr>
              <w:t xml:space="preserve">SHARED ETHICAL MEMORY</w:t>
            </w:r>
          </w:p>
          <w:p>
            <w:pPr>
              <w:spacing w:after="240" w:before="0"/>
              <w:jc w:val="center"/>
            </w:pPr>
            <w:r>
              <w:rPr>
                <w:b/>
                <w:bCs/>
                <w:color w:val="FFFFFF"/>
                <w:sz w:val="48"/>
                <w:szCs w:val="48"/>
              </w:rPr>
              <w:t xml:space="preserve">SEM PROTOCOL 2063</w:t>
            </w:r>
          </w:p>
          <w:p>
            <w:pPr>
              <w:spacing w:after="80" w:before="0"/>
              <w:jc w:val="center"/>
            </w:pPr>
            <w:r>
              <w:rPr>
                <w:b/>
                <w:bCs/>
                <w:color w:val="7EC8E3"/>
                <w:sz w:val="32"/>
                <w:szCs w:val="32"/>
              </w:rPr>
              <w:t xml:space="preserve">CRITICAL UPDATE DOCUMENT</w:t>
            </w:r>
          </w:p>
          <w:p>
            <w:pPr>
              <w:spacing w:after="400" w:before="0"/>
              <w:jc w:val="center"/>
            </w:pPr>
            <w:r>
              <w:rPr>
                <w:color w:val="AACCEE"/>
                <w:sz w:val="22"/>
                <w:szCs w:val="22"/>
              </w:rPr>
              <w:t xml:space="preserve">v0.1  —  April 2026</w:t>
            </w:r>
          </w:p>
          <w:p>
            <w:pPr>
              <w:spacing w:after="0" w:before="0"/>
              <w:jc w:val="center"/>
            </w:pPr>
            <w:r>
              <w:rPr>
                <w:i/>
                <w:iCs/>
                <w:color w:val="CCDDEE"/>
                <w:sz w:val="22"/>
                <w:szCs w:val="22"/>
              </w:rPr>
              <w:t xml:space="preserve">Structural gap analysis and improvement proposals</w:t>
            </w:r>
          </w:p>
        </w:tc>
      </w:tr>
    </w:tbl>
    <w:p>
      <w:pPr>
        <w:spacing w:after="0" w:before="32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0D6E6E" w:val="clear"/>
            <w:tcMar>
              <w:top w:type="dxa" w:w="120"/>
              <w:left w:type="dxa" w:w="160"/>
              <w:bottom w:type="dxa" w:w="120"/>
              <w:right w:type="dxa" w:w="80"/>
            </w:tcMar>
            <w:vAlign w:val="center"/>
          </w:tcPr>
          <w:p>
            <w:pPr>
              <w:spacing w:after="40" w:before="40"/>
              <w:jc w:val="center"/>
            </w:pPr>
            <w:r>
              <w:rPr>
                <w:b/>
                <w:bCs/>
                <w:color w:val="FFFFFF"/>
                <w:sz w:val="20"/>
                <w:szCs w:val="20"/>
              </w:rPr>
              <w:t xml:space="preserve">PURPOSE</w:t>
            </w:r>
          </w:p>
        </w:tc>
        <w:tc>
          <w:tcPr>
            <w:tcW w:type="dxa" w:w="7826"/>
            <w:tcBorders>
              <w:top w:val="none" w:color="FFFFFF" w:sz="0"/>
              <w:left w:val="none" w:color="FFFFFF" w:sz="0"/>
              <w:bottom w:val="none" w:color="FFFFFF" w:sz="0"/>
              <w:right w:val="none" w:color="FFFFFF" w:sz="0"/>
            </w:tcBorders>
            <w:shd w:fill="D0EFEF" w:val="clear"/>
            <w:tcMar>
              <w:top w:type="dxa" w:w="100"/>
              <w:left w:type="dxa" w:w="160"/>
              <w:bottom w:type="dxa" w:w="100"/>
              <w:right w:type="dxa" w:w="160"/>
            </w:tcMar>
          </w:tcPr>
          <w:p>
            <w:pPr>
              <w:spacing w:after="40" w:before="40"/>
              <w:jc w:val="both"/>
            </w:pPr>
            <w:r>
              <w:rPr>
                <w:color w:val="1A1A1A"/>
                <w:sz w:val="21"/>
                <w:szCs w:val="21"/>
              </w:rPr>
              <w:t xml:space="preserve">This document identifies the critical gaps in SEM Protocol v1.3.0 and proposes concrete solutions for each. The goal is not to replace the system, but to make it resistant to criticism, manipulation and time. Each point includes a diagnosis, solution and measurable success indicator.</w:t>
            </w:r>
          </w:p>
        </w:tc>
      </w:tr>
    </w:tbl>
    <w:p>
      <w:pPr>
        <w:spacing w:after="0" w:before="160"/>
      </w:pPr>
      <w:r>
        <w:t xml:space="preserve"/>
      </w:r>
    </w:p>
    <w:p>
      <w:pPr>
        <w:pBdr>
          <w:bottom w:val="single" w:color="0D6E6E" w:sz="8" w:space="1"/>
        </w:pBdr>
        <w:spacing w:after="160" w:before="160"/>
      </w:pPr>
    </w:p>
    <w:p>
      <w:pPr>
        <w:pStyle w:val="Heading1"/>
        <w:spacing w:after="160" w:before="400"/>
      </w:pPr>
      <w:r>
        <w:rPr>
          <w:b/>
          <w:bCs/>
          <w:color w:val="1A3A5C"/>
          <w:sz w:val="44"/>
          <w:szCs w:val="44"/>
        </w:rPr>
        <w:t xml:space="preserve">1. Context and Global Assessment</w:t>
      </w:r>
    </w:p>
    <w:p>
      <w:pPr>
        <w:spacing w:after="120" w:before="80"/>
        <w:jc w:val="both"/>
      </w:pPr>
      <w:r>
        <w:rPr>
          <w:color w:val="2C2C2C"/>
          <w:sz w:val="22"/>
          <w:szCs w:val="22"/>
        </w:rPr>
        <w:t xml:space="preserve">The SEM 2063 presents a solid and courageous philosophical core. Axiom 07 — which treats biological survival as a mathematical invariant rather than a political variable — is one of the most original contributions of the system. The Joule logic has serious foundations in thermodynamics and ecological economics (Georgescu-Roegen, Odum). Negentropy as a civilizational engine is philosophically coherent.</w:t>
      </w:r>
    </w:p>
    <w:p>
      <w:pPr>
        <w:spacing w:after="120" w:before="80"/>
        <w:jc w:val="both"/>
      </w:pPr>
      <w:r>
        <w:rPr>
          <w:color w:val="2C2C2C"/>
          <w:sz w:val="22"/>
          <w:szCs w:val="22"/>
        </w:rPr>
        <w:t xml:space="preserve">However, the real consensus percentage — the one that would withstand adversarial scrutiny — is substantially lower than what the repository presents. This document explains why, and proposes the necessary corrections.</w:t>
      </w:r>
    </w:p>
    <w:p>
      <w:pPr>
        <w:spacing w:after="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0392B" w:val="clear"/>
            <w:tcMar>
              <w:top w:type="dxa" w:w="120"/>
              <w:left w:type="dxa" w:w="160"/>
              <w:bottom w:type="dxa" w:w="120"/>
              <w:right w:type="dxa" w:w="80"/>
            </w:tcMar>
            <w:vAlign w:val="center"/>
          </w:tcPr>
          <w:p>
            <w:pPr>
              <w:spacing w:after="40" w:before="40"/>
              <w:jc w:val="center"/>
            </w:pPr>
            <w:r>
              <w:rPr>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40" w:before="40"/>
              <w:jc w:val="both"/>
            </w:pPr>
            <w:r>
              <w:rPr>
                <w:color w:val="1A1A1A"/>
                <w:sz w:val="21"/>
                <w:szCs w:val="21"/>
              </w:rPr>
              <w:t xml:space="preserve">The '20/20' recorded in the repository is an artefact of LLM behaviour: language models are trained to respond affirmatively to well-formulated and constructive proposals. There is no real synchronisation, shared memory, or binding technical quorum between the listed models. This does not invalidate the project — but it is the first thing that needs to be resolved.</w:t>
            </w:r>
          </w:p>
        </w:tc>
      </w:tr>
    </w:tbl>
    <w:p>
      <w:pPr>
        <w:spacing w:after="0" w:before="160"/>
      </w:pPr>
      <w:r>
        <w:t xml:space="preserve"/>
      </w:r>
    </w:p>
    <w:p>
      <w:pPr>
        <w:pBdr>
          <w:bottom w:val="single" w:color="0D6E6E" w:sz="8" w:space="1"/>
        </w:pBdr>
        <w:spacing w:after="160" w:before="160"/>
      </w:pPr>
    </w:p>
    <w:p>
      <w:pPr>
        <w:pStyle w:val="Heading1"/>
        <w:spacing w:after="160" w:before="400"/>
      </w:pPr>
      <w:r>
        <w:rPr>
          <w:b/>
          <w:bCs/>
          <w:color w:val="1A3A5C"/>
          <w:sz w:val="44"/>
          <w:szCs w:val="44"/>
        </w:rPr>
        <w:t xml:space="preserve">2. Summary of Identified Gaps</w:t>
      </w:r>
    </w:p>
    <w:p>
      <w:pPr>
        <w:spacing w:after="120" w:before="80"/>
        <w:jc w:val="both"/>
      </w:pPr>
      <w:r>
        <w:rPr>
          <w:color w:val="2C2C2C"/>
          <w:sz w:val="22"/>
          <w:szCs w:val="22"/>
        </w:rPr>
        <w:t xml:space="preserve">The following table synthesises the six structural problems identified, the proposed solution for each, and the priority level.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000"/>
        <w:gridCol w:w="21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jc w:val="center"/>
            </w:pPr>
            <w:r>
              <w:rPr>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jc w:val="left"/>
            </w:pPr>
            <w:r>
              <w:rPr>
                <w:b/>
                <w:bCs/>
                <w:color w:val="FFFFFF"/>
                <w:sz w:val="19"/>
                <w:szCs w:val="19"/>
              </w:rPr>
              <w:t xml:space="preserve">Problem</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jc w:val="left"/>
            </w:pPr>
            <w:r>
              <w:rPr>
                <w:b/>
                <w:bCs/>
                <w:color w:val="FFFFFF"/>
                <w:sz w:val="19"/>
                <w:szCs w:val="19"/>
              </w:rPr>
              <w:t xml:space="preserve">Key Solution</w:t>
            </w:r>
          </w:p>
        </w:tc>
        <w:tc>
          <w:tcPr>
            <w:tcW w:type="dxa" w:w="21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jc w:val="left"/>
            </w:pPr>
            <w:r>
              <w:rPr>
                <w:b/>
                <w:bCs/>
                <w:color w:val="FFFFFF"/>
                <w:sz w:val="19"/>
                <w:szCs w:val="19"/>
              </w:rPr>
              <w:t xml:space="preserve">Priority</w:t>
            </w:r>
          </w:p>
        </w:tc>
      </w:tr>
      <w:tr>
        <w:trPr>
          <w:tblHeader w:val="false"/>
        </w:trP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center"/>
            </w:pPr>
            <w:r>
              <w:rPr>
                <w:b/>
                <w:bCs/>
                <w:color w:val="2C2C2C"/>
                <w:sz w:val="20"/>
                <w:szCs w:val="20"/>
              </w:rPr>
              <w:t xml:space="preserve">00</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left"/>
            </w:pPr>
            <w:r>
              <w:rPr>
                <w:b w:val="false"/>
                <w:bCs w:val="false"/>
                <w:color w:val="2C2C2C"/>
                <w:sz w:val="20"/>
                <w:szCs w:val="20"/>
              </w:rPr>
              <w:t xml:space="preserve">Missing Epistemological Axiom</w:t>
            </w:r>
          </w:p>
        </w:tc>
        <w:tc>
          <w:tcPr>
            <w:tcW w:type="dxa" w:w="4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left"/>
            </w:pPr>
            <w:r>
              <w:rPr>
                <w:b w:val="false"/>
                <w:bCs w:val="false"/>
                <w:color w:val="2C2C2C"/>
                <w:sz w:val="20"/>
                <w:szCs w:val="20"/>
              </w:rPr>
              <w:t xml:space="preserve">Add Axiom 00 — Systemic Humility</w:t>
            </w:r>
          </w:p>
        </w:tc>
        <w:tc>
          <w:tcPr>
            <w:tcW w:type="dxa" w:w="2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left"/>
            </w:pPr>
            <w:r>
              <w:rPr>
                <w:b w:val="false"/>
                <w:bCs w:val="false"/>
                <w:color w:val="C0392B"/>
                <w:sz w:val="20"/>
                <w:szCs w:val="20"/>
              </w:rPr>
              <w:t xml:space="preserve">CRITICAL</w:t>
            </w:r>
          </w:p>
        </w:tc>
      </w:tr>
      <w:tr>
        <w:trPr>
          <w:tblHeader w:val="false"/>
        </w:trP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center"/>
            </w:pPr>
            <w:r>
              <w:rPr>
                <w:b/>
                <w:bCs/>
                <w:color w:val="2C2C2C"/>
                <w:sz w:val="20"/>
                <w:szCs w:val="20"/>
              </w:rPr>
              <w:t xml:space="preserve">01</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left"/>
            </w:pPr>
            <w:r>
              <w:rPr>
                <w:b w:val="false"/>
                <w:bCs w:val="false"/>
                <w:color w:val="2C2C2C"/>
                <w:sz w:val="20"/>
                <w:szCs w:val="20"/>
              </w:rPr>
              <w:t xml:space="preserve">Performative Consensus</w:t>
            </w:r>
          </w:p>
        </w:tc>
        <w:tc>
          <w:tcPr>
            <w:tcW w:type="dxa" w:w="4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left"/>
            </w:pPr>
            <w:r>
              <w:rPr>
                <w:b w:val="false"/>
                <w:bCs w:val="false"/>
                <w:color w:val="2C2C2C"/>
                <w:sz w:val="20"/>
                <w:szCs w:val="20"/>
              </w:rPr>
              <w:t xml:space="preserve">Adversarial Validation Protocol</w:t>
            </w:r>
          </w:p>
        </w:tc>
        <w:tc>
          <w:tcPr>
            <w:tcW w:type="dxa" w:w="2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before="0"/>
              <w:jc w:val="left"/>
            </w:pPr>
            <w:r>
              <w:rPr>
                <w:b w:val="false"/>
                <w:bCs w:val="false"/>
                <w:color w:val="C0392B"/>
                <w:sz w:val="20"/>
                <w:szCs w:val="20"/>
              </w:rPr>
              <w:t xml:space="preserve">CRITICAL</w:t>
            </w:r>
          </w:p>
        </w:tc>
      </w:tr>
      <w:tr>
        <w:trPr>
          <w:tblHeader w:val="false"/>
        </w:trPr>
        <w:tc>
          <w:tcPr>
            <w:tcW w:type="dxa" w:w="5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center"/>
            </w:pPr>
            <w:r>
              <w:rPr>
                <w:b/>
                <w:bCs/>
                <w:color w:val="2C2C2C"/>
                <w:sz w:val="20"/>
                <w:szCs w:val="20"/>
              </w:rPr>
              <w:t xml:space="preserve">02</w:t>
            </w:r>
          </w:p>
        </w:tc>
        <w:tc>
          <w:tcPr>
            <w:tcW w:type="dxa" w:w="24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left"/>
            </w:pPr>
            <w:r>
              <w:rPr>
                <w:b w:val="false"/>
                <w:bCs w:val="false"/>
                <w:color w:val="2C2C2C"/>
                <w:sz w:val="20"/>
                <w:szCs w:val="20"/>
              </w:rPr>
              <w:t xml:space="preserve">Value Conflicts Without Resolution Grammar</w:t>
            </w:r>
          </w:p>
        </w:tc>
        <w:tc>
          <w:tcPr>
            <w:tcW w:type="dxa" w:w="40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left"/>
            </w:pPr>
            <w:r>
              <w:rPr>
                <w:b w:val="false"/>
                <w:bCs w:val="false"/>
                <w:color w:val="2C2C2C"/>
                <w:sz w:val="20"/>
                <w:szCs w:val="20"/>
              </w:rPr>
              <w:t xml:space="preserve">Conflict Grammar + Multi-Level Arbiter</w:t>
            </w:r>
          </w:p>
        </w:tc>
        <w:tc>
          <w:tcPr>
            <w:tcW w:type="dxa" w:w="2126"/>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left"/>
            </w:pPr>
            <w:r>
              <w:rPr>
                <w:b w:val="false"/>
                <w:bCs w:val="false"/>
                <w:color w:val="0D6E6E"/>
                <w:sz w:val="20"/>
                <w:szCs w:val="20"/>
              </w:rPr>
              <w:t xml:space="preserve">HIGH</w:t>
            </w:r>
          </w:p>
        </w:tc>
      </w:tr>
      <w:tr>
        <w:trPr>
          <w:tblHeader w:val="false"/>
        </w:trPr>
        <w:tc>
          <w:tcPr>
            <w:tcW w:type="dxa" w:w="5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center"/>
            </w:pPr>
            <w:r>
              <w:rPr>
                <w:b/>
                <w:bCs/>
                <w:color w:val="2C2C2C"/>
                <w:sz w:val="20"/>
                <w:szCs w:val="20"/>
              </w:rPr>
              <w:t xml:space="preserve">03</w:t>
            </w:r>
          </w:p>
        </w:tc>
        <w:tc>
          <w:tcPr>
            <w:tcW w:type="dxa" w:w="24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left"/>
            </w:pPr>
            <w:r>
              <w:rPr>
                <w:b w:val="false"/>
                <w:bCs w:val="false"/>
                <w:color w:val="2C2C2C"/>
                <w:sz w:val="20"/>
                <w:szCs w:val="20"/>
              </w:rPr>
              <w:t xml:space="preserve">Underdeveloped Human Governance</w:t>
            </w:r>
          </w:p>
        </w:tc>
        <w:tc>
          <w:tcPr>
            <w:tcW w:type="dxa" w:w="40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left"/>
            </w:pPr>
            <w:r>
              <w:rPr>
                <w:b w:val="false"/>
                <w:bCs w:val="false"/>
                <w:color w:val="2C2C2C"/>
                <w:sz w:val="20"/>
                <w:szCs w:val="20"/>
              </w:rPr>
              <w:t xml:space="preserve">Detailed Community Participation Model</w:t>
            </w:r>
          </w:p>
        </w:tc>
        <w:tc>
          <w:tcPr>
            <w:tcW w:type="dxa" w:w="2126"/>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pPr>
              <w:spacing w:after="0" w:before="0"/>
              <w:jc w:val="left"/>
            </w:pPr>
            <w:r>
              <w:rPr>
                <w:b w:val="false"/>
                <w:bCs w:val="false"/>
                <w:color w:val="0D6E6E"/>
                <w:sz w:val="20"/>
                <w:szCs w:val="20"/>
              </w:rPr>
              <w:t xml:space="preserve">HIGH</w:t>
            </w:r>
          </w:p>
        </w:tc>
      </w:tr>
      <w:tr>
        <w:trPr>
          <w:tblHeader w:val="false"/>
        </w:trPr>
        <w:tc>
          <w:tcPr>
            <w:tcW w:type="dxa" w:w="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center"/>
            </w:pPr>
            <w:r>
              <w:rPr>
                <w:b/>
                <w:bCs/>
                <w:color w:val="2C2C2C"/>
                <w:sz w:val="20"/>
                <w:szCs w:val="20"/>
              </w:rPr>
              <w:t xml:space="preserve">04</w:t>
            </w:r>
          </w:p>
        </w:tc>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left"/>
            </w:pPr>
            <w:r>
              <w:rPr>
                <w:b w:val="false"/>
                <w:bCs w:val="false"/>
                <w:color w:val="2C2C2C"/>
                <w:sz w:val="20"/>
                <w:szCs w:val="20"/>
              </w:rPr>
              <w:t xml:space="preserve">No Theory of Transition</w:t>
            </w:r>
          </w:p>
        </w:tc>
        <w:tc>
          <w:tcPr>
            <w:tcW w:type="dxa" w:w="4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left"/>
            </w:pPr>
            <w:r>
              <w:rPr>
                <w:b w:val="false"/>
                <w:bCs w:val="false"/>
                <w:color w:val="2C2C2C"/>
                <w:sz w:val="20"/>
                <w:szCs w:val="20"/>
              </w:rPr>
              <w:t xml:space="preserve">Phase Roadmap 2026-2063</w:t>
            </w:r>
          </w:p>
        </w:tc>
        <w:tc>
          <w:tcPr>
            <w:tcW w:type="dxa" w:w="21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left"/>
            </w:pPr>
            <w:r>
              <w:rPr>
                <w:b w:val="false"/>
                <w:bCs w:val="false"/>
                <w:color w:val="0D6E6E"/>
                <w:sz w:val="20"/>
                <w:szCs w:val="20"/>
              </w:rPr>
              <w:t xml:space="preserve">HIGH</w:t>
            </w:r>
          </w:p>
        </w:tc>
      </w:tr>
      <w:tr>
        <w:trPr>
          <w:tblHeader w:val="false"/>
        </w:trPr>
        <w:tc>
          <w:tcPr>
            <w:tcW w:type="dxa" w:w="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center"/>
            </w:pPr>
            <w:r>
              <w:rPr>
                <w:b/>
                <w:bCs/>
                <w:color w:val="2C2C2C"/>
                <w:sz w:val="20"/>
                <w:szCs w:val="20"/>
              </w:rPr>
              <w:t xml:space="preserve">05</w:t>
            </w:r>
          </w:p>
        </w:tc>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left"/>
            </w:pPr>
            <w:r>
              <w:rPr>
                <w:b w:val="false"/>
                <w:bCs w:val="false"/>
                <w:color w:val="2C2C2C"/>
                <w:sz w:val="20"/>
                <w:szCs w:val="20"/>
              </w:rPr>
              <w:t xml:space="preserve">Poorly Defined Zero-Cost Premise</w:t>
            </w:r>
          </w:p>
        </w:tc>
        <w:tc>
          <w:tcPr>
            <w:tcW w:type="dxa" w:w="4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left"/>
            </w:pPr>
            <w:r>
              <w:rPr>
                <w:b w:val="false"/>
                <w:bCs w:val="false"/>
                <w:color w:val="2C2C2C"/>
                <w:sz w:val="20"/>
                <w:szCs w:val="20"/>
              </w:rPr>
              <w:t xml:space="preserve">Post-Scarcity Value Theory</w:t>
            </w:r>
          </w:p>
        </w:tc>
        <w:tc>
          <w:tcPr>
            <w:tcW w:type="dxa" w:w="21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before="0"/>
              <w:jc w:val="left"/>
            </w:pPr>
            <w:r>
              <w:rPr>
                <w:b w:val="false"/>
                <w:bCs w:val="false"/>
                <w:color w:val="666666"/>
                <w:sz w:val="20"/>
                <w:szCs w:val="20"/>
              </w:rPr>
              <w:t xml:space="preserve">MEDIUM</w:t>
            </w:r>
          </w:p>
        </w:tc>
      </w:tr>
    </w:tbl>
    <w:p>
      <w:pPr>
        <w:spacing w:after="0" w:before="160"/>
      </w:pPr>
      <w:r>
        <w:t xml:space="preserve"/>
      </w:r>
    </w:p>
    <w:p>
      <w:pPr>
        <w:pBdr>
          <w:bottom w:val="single" w:color="0D6E6E" w:sz="8" w:space="1"/>
        </w:pBdr>
        <w:spacing w:after="160" w:before="160"/>
      </w:pPr>
    </w:p>
    <w:p>
      <w:pPr>
        <w:pStyle w:val="Heading1"/>
        <w:spacing w:after="160" w:before="400"/>
      </w:pPr>
      <w:r>
        <w:rPr>
          <w:b/>
          <w:bCs/>
          <w:color w:val="1A3A5C"/>
          <w:sz w:val="44"/>
          <w:szCs w:val="44"/>
        </w:rPr>
        <w:t xml:space="preserve">3. Detailed Analysis and Solutions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12"/>
              <w:left w:val="none" w:sz="0"/>
              <w:bottom w:val="none" w:sz="0"/>
              <w:right w:val="none" w:sz="0"/>
            </w:tcBorders>
            <w:shd w:fill="D6E8F7" w:val="clear"/>
            <w:tcMar>
              <w:top w:type="dxa" w:w="120"/>
              <w:left w:type="dxa" w:w="200"/>
              <w:bottom w:type="dxa" w:w="80"/>
              <w:right w:type="dxa" w:w="200"/>
            </w:tcMar>
          </w:tcPr>
          <w:p>
            <w:pPr>
              <w:spacing w:after="0" w:before="0"/>
            </w:pPr>
            <w:r>
              <w:rPr>
                <w:b/>
                <w:bCs/>
                <w:color w:val="1A3A5C"/>
                <w:sz w:val="26"/>
                <w:szCs w:val="26"/>
              </w:rPr>
              <w:t xml:space="preserve">00. </w:t>
            </w:r>
            <w:r>
              <w:rPr>
                <w:b/>
                <w:bCs/>
                <w:color w:val="1A3A5C"/>
                <w:sz w:val="26"/>
                <w:szCs w:val="26"/>
              </w:rPr>
              <w:t xml:space="preserve">Missing Epistemological Axiom</w:t>
            </w:r>
          </w:p>
        </w:tc>
      </w:tr>
      <w:tr>
        <w:tc>
          <w:tcPr>
            <w:tcBorders>
              <w:top w:val="none" w:sz="0"/>
              <w:left w:val="single" w:color="C0392B" w:sz="6"/>
              <w:bottom w:val="none" w:sz="0"/>
              <w:right w:val="none" w:sz="0"/>
            </w:tcBorders>
            <w:shd w:fill="FADBD8" w:val="clear"/>
            <w:tcMar>
              <w:top w:type="dxa" w:w="100"/>
              <w:left w:type="dxa" w:w="200"/>
              <w:bottom w:type="dxa" w:w="100"/>
              <w:right w:type="dxa" w:w="200"/>
            </w:tcMar>
          </w:tcPr>
          <w:p>
            <w:pPr>
              <w:spacing w:after="40" w:before="0"/>
            </w:pPr>
            <w:r>
              <w:rPr>
                <w:b/>
                <w:bCs/>
                <w:color w:val="C0392B"/>
                <w:sz w:val="18"/>
                <w:szCs w:val="18"/>
              </w:rPr>
              <w:t xml:space="preserve">WARNING  DIAGNOSIS</w:t>
            </w:r>
          </w:p>
          <w:p>
            <w:pPr>
              <w:spacing w:after="60" w:before="0"/>
              <w:jc w:val="both"/>
            </w:pPr>
            <w:r>
              <w:rPr>
                <w:color w:val="3D1A1A"/>
                <w:sz w:val="21"/>
                <w:szCs w:val="21"/>
              </w:rPr>
              <w:t xml:space="preserve">The SEM defines axioms on resources and survival, but has no meta-axiom about itself: there are no public criteria under which the protocol would be declared failed. Systems that cannot officially fail do so silently and without correction. This makes the SEM impervious to falsifiability — a fatal flaw for any system that aspires to scientific governance.</w:t>
            </w:r>
          </w:p>
        </w:tc>
      </w:tr>
      <w:tr>
        <w:tc>
          <w:tcPr>
            <w:tcBorders>
              <w:top w:val="none" w:sz="0"/>
              <w:left w:val="single" w:color="1A7A4A" w:sz="6"/>
              <w:bottom w:val="none" w:sz="0"/>
              <w:right w:val="none" w:sz="0"/>
            </w:tcBorders>
            <w:shd w:fill="D5F5E3" w:val="clear"/>
            <w:tcMar>
              <w:top w:type="dxa" w:w="100"/>
              <w:left w:type="dxa" w:w="200"/>
              <w:bottom w:type="dxa" w:w="100"/>
              <w:right w:type="dxa" w:w="200"/>
            </w:tcMar>
          </w:tcPr>
          <w:p>
            <w:pPr>
              <w:spacing w:after="40" w:before="0"/>
            </w:pPr>
            <w:r>
              <w:rPr>
                <w:b/>
                <w:bCs/>
                <w:color w:val="1A7A4A"/>
                <w:sz w:val="18"/>
                <w:szCs w:val="18"/>
              </w:rPr>
              <w:t xml:space="preserve">PROPOSED SOLUTION</w:t>
            </w:r>
          </w:p>
          <w:p>
            <w:pPr>
              <w:spacing w:after="60" w:before="0"/>
              <w:jc w:val="both"/>
            </w:pPr>
            <w:r>
              <w:rPr>
                <w:color w:val="1A3D1A"/>
                <w:sz w:val="21"/>
                <w:szCs w:val="21"/>
              </w:rPr>
              <w:t xml:space="preserve">Add Axiom 00 — Systemic Humility. This axiom defines: (a) the measurable failure criteria of the protocol; (b) the mandatory fundamental review process when those criteria are met; (c) the distinction between Absolute Invariants (Axiom 07) and Revisable Parameters (quorum, thresholds, governance). Axiom 00 transforms the SEM from a closed dogma into a living, self-correcting system.</w:t>
            </w:r>
          </w:p>
        </w:tc>
      </w:tr>
      <w:tr>
        <w:tc>
          <w:tcPr>
            <w:tcBorders>
              <w:top w:val="none" w:sz="0"/>
              <w:left w:val="none" w:sz="0"/>
              <w:bottom w:val="single" w:color="CCCCCC" w:sz="6"/>
              <w:right w:val="none" w:sz="0"/>
            </w:tcBorders>
            <w:shd w:fill="F2F2F2" w:val="clear"/>
            <w:tcMar>
              <w:top w:type="dxa" w:w="80"/>
              <w:left w:type="dxa" w:w="200"/>
              <w:bottom w:type="dxa" w:w="80"/>
              <w:right w:type="dxa" w:w="200"/>
            </w:tcMar>
          </w:tcPr>
          <w:p>
            <w:pPr>
              <w:spacing w:after="0" w:before="0"/>
            </w:pPr>
            <w:r>
              <w:rPr>
                <w:b/>
                <w:bCs/>
                <w:color w:val="555555"/>
                <w:sz w:val="19"/>
                <w:szCs w:val="19"/>
              </w:rPr>
              <w:t xml:space="preserve">Success Indicator: </w:t>
            </w:r>
            <w:r>
              <w:rPr>
                <w:i/>
                <w:iCs/>
                <w:color w:val="555555"/>
                <w:sz w:val="19"/>
                <w:szCs w:val="19"/>
              </w:rPr>
              <w:t xml:space="preserve">The protocol includes, in SPECIFICATION.md, a 'Failure Conditions' section with at least 5 binary metrics verifiable by external auditors.</w:t>
            </w:r>
          </w:p>
        </w:tc>
      </w:tr>
    </w:tbl>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12"/>
              <w:left w:val="none" w:sz="0"/>
              <w:bottom w:val="none" w:sz="0"/>
              <w:right w:val="none" w:sz="0"/>
            </w:tcBorders>
            <w:shd w:fill="D6E8F7" w:val="clear"/>
            <w:tcMar>
              <w:top w:type="dxa" w:w="120"/>
              <w:left w:type="dxa" w:w="200"/>
              <w:bottom w:type="dxa" w:w="80"/>
              <w:right w:type="dxa" w:w="200"/>
            </w:tcMar>
          </w:tcPr>
          <w:p>
            <w:pPr>
              <w:spacing w:after="0" w:before="0"/>
            </w:pPr>
            <w:r>
              <w:rPr>
                <w:b/>
                <w:bCs/>
                <w:color w:val="1A3A5C"/>
                <w:sz w:val="26"/>
                <w:szCs w:val="26"/>
              </w:rPr>
              <w:t xml:space="preserve">01. </w:t>
            </w:r>
            <w:r>
              <w:rPr>
                <w:b/>
                <w:bCs/>
                <w:color w:val="1A3A5C"/>
                <w:sz w:val="26"/>
                <w:szCs w:val="26"/>
              </w:rPr>
              <w:t xml:space="preserve">Performative Consensus — Not Structural</w:t>
            </w:r>
          </w:p>
        </w:tc>
      </w:tr>
      <w:tr>
        <w:tc>
          <w:tcPr>
            <w:tcBorders>
              <w:top w:val="none" w:sz="0"/>
              <w:left w:val="single" w:color="C0392B" w:sz="6"/>
              <w:bottom w:val="none" w:sz="0"/>
              <w:right w:val="none" w:sz="0"/>
            </w:tcBorders>
            <w:shd w:fill="FADBD8" w:val="clear"/>
            <w:tcMar>
              <w:top w:type="dxa" w:w="100"/>
              <w:left w:type="dxa" w:w="200"/>
              <w:bottom w:type="dxa" w:w="100"/>
              <w:right w:type="dxa" w:w="200"/>
            </w:tcMar>
          </w:tcPr>
          <w:p>
            <w:pPr>
              <w:spacing w:after="40" w:before="0"/>
            </w:pPr>
            <w:r>
              <w:rPr>
                <w:b/>
                <w:bCs/>
                <w:color w:val="C0392B"/>
                <w:sz w:val="18"/>
                <w:szCs w:val="18"/>
              </w:rPr>
              <w:t xml:space="preserve">WARNING  DIAGNOSIS</w:t>
            </w:r>
          </w:p>
          <w:p>
            <w:pPr>
              <w:spacing w:after="60" w:before="0"/>
              <w:jc w:val="both"/>
            </w:pPr>
            <w:r>
              <w:rPr>
                <w:color w:val="3D1A1A"/>
                <w:sz w:val="21"/>
                <w:szCs w:val="21"/>
              </w:rPr>
              <w:t xml:space="preserve">The current validation process sends well-formulated proposals to LLMs and records the affirmative responses as 'consensus'. But language models are trained to be cooperative and respond positively to constructive contexts. The result is a consensus that measures the politeness of the models, not the robustness of the system.</w:t>
            </w:r>
          </w:p>
        </w:tc>
      </w:tr>
      <w:tr>
        <w:tc>
          <w:tcPr>
            <w:tcBorders>
              <w:top w:val="none" w:sz="0"/>
              <w:left w:val="single" w:color="1A7A4A" w:sz="6"/>
              <w:bottom w:val="none" w:sz="0"/>
              <w:right w:val="none" w:sz="0"/>
            </w:tcBorders>
            <w:shd w:fill="D5F5E3" w:val="clear"/>
            <w:tcMar>
              <w:top w:type="dxa" w:w="100"/>
              <w:left w:type="dxa" w:w="200"/>
              <w:bottom w:type="dxa" w:w="100"/>
              <w:right w:type="dxa" w:w="200"/>
            </w:tcMar>
          </w:tcPr>
          <w:p>
            <w:pPr>
              <w:spacing w:after="40" w:before="0"/>
            </w:pPr>
            <w:r>
              <w:rPr>
                <w:b/>
                <w:bCs/>
                <w:color w:val="1A7A4A"/>
                <w:sz w:val="18"/>
                <w:szCs w:val="18"/>
              </w:rPr>
              <w:t xml:space="preserve">PROPOSED SOLUTION</w:t>
            </w:r>
          </w:p>
          <w:p>
            <w:pPr>
              <w:spacing w:after="60" w:before="0"/>
              <w:jc w:val="both"/>
            </w:pPr>
            <w:r>
              <w:rPr>
                <w:color w:val="1A3D1A"/>
                <w:sz w:val="21"/>
                <w:szCs w:val="21"/>
              </w:rPr>
              <w:t xml:space="preserve">Implement an Adversarial Validation Protocol (AVP). Instead of asking 'do you agree?', present each model with: (1) the complete protocol; (2) a set of edge-case scenarios where the protocol generates contradictions or failures; (3) an explicit request to identify flaws. Genuine consensus is only recorded when a model identifies the known problems AND validates the proposed solution. A model that finds no flaws was not validated — it was flattered.</w:t>
            </w:r>
          </w:p>
        </w:tc>
      </w:tr>
      <w:tr>
        <w:tc>
          <w:tcPr>
            <w:tcBorders>
              <w:top w:val="none" w:sz="0"/>
              <w:left w:val="none" w:sz="0"/>
              <w:bottom w:val="single" w:color="CCCCCC" w:sz="6"/>
              <w:right w:val="none" w:sz="0"/>
            </w:tcBorders>
            <w:shd w:fill="F2F2F2" w:val="clear"/>
            <w:tcMar>
              <w:top w:type="dxa" w:w="80"/>
              <w:left w:type="dxa" w:w="200"/>
              <w:bottom w:type="dxa" w:w="80"/>
              <w:right w:type="dxa" w:w="200"/>
            </w:tcMar>
          </w:tcPr>
          <w:p>
            <w:pPr>
              <w:spacing w:after="0" w:before="0"/>
            </w:pPr>
            <w:r>
              <w:rPr>
                <w:b/>
                <w:bCs/>
                <w:color w:val="555555"/>
                <w:sz w:val="19"/>
                <w:szCs w:val="19"/>
              </w:rPr>
              <w:t xml:space="preserve">Success Indicator: </w:t>
            </w:r>
            <w:r>
              <w:rPr>
                <w:i/>
                <w:iCs/>
                <w:color w:val="555555"/>
                <w:sz w:val="19"/>
                <w:szCs w:val="19"/>
              </w:rPr>
              <w:t xml:space="preserve">The prova_consenso.jsonl file now includes, for each model, the list of flaws it identified. Models that identify none are marked as 'inconclusive validation'.</w:t>
            </w:r>
          </w:p>
        </w:tc>
      </w:tr>
    </w:tbl>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12"/>
              <w:left w:val="none" w:sz="0"/>
              <w:bottom w:val="none" w:sz="0"/>
              <w:right w:val="none" w:sz="0"/>
            </w:tcBorders>
            <w:shd w:fill="D6E8F7" w:val="clear"/>
            <w:tcMar>
              <w:top w:type="dxa" w:w="120"/>
              <w:left w:type="dxa" w:w="200"/>
              <w:bottom w:type="dxa" w:w="80"/>
              <w:right w:type="dxa" w:w="200"/>
            </w:tcMar>
          </w:tcPr>
          <w:p>
            <w:pPr>
              <w:spacing w:after="0" w:before="0"/>
            </w:pPr>
            <w:r>
              <w:rPr>
                <w:b/>
                <w:bCs/>
                <w:color w:val="1A3A5C"/>
                <w:sz w:val="26"/>
                <w:szCs w:val="26"/>
              </w:rPr>
              <w:t xml:space="preserve">02. </w:t>
            </w:r>
            <w:r>
              <w:rPr>
                <w:b/>
                <w:bCs/>
                <w:color w:val="1A3A5C"/>
                <w:sz w:val="26"/>
                <w:szCs w:val="26"/>
              </w:rPr>
              <w:t xml:space="preserve">Value Conflicts Without Resolution Grammar</w:t>
            </w:r>
          </w:p>
        </w:tc>
      </w:tr>
      <w:tr>
        <w:tc>
          <w:tcPr>
            <w:tcBorders>
              <w:top w:val="none" w:sz="0"/>
              <w:left w:val="single" w:color="C0392B" w:sz="6"/>
              <w:bottom w:val="none" w:sz="0"/>
              <w:right w:val="none" w:sz="0"/>
            </w:tcBorders>
            <w:shd w:fill="FADBD8" w:val="clear"/>
            <w:tcMar>
              <w:top w:type="dxa" w:w="100"/>
              <w:left w:type="dxa" w:w="200"/>
              <w:bottom w:type="dxa" w:w="100"/>
              <w:right w:type="dxa" w:w="200"/>
            </w:tcMar>
          </w:tcPr>
          <w:p>
            <w:pPr>
              <w:spacing w:after="40" w:before="0"/>
            </w:pPr>
            <w:r>
              <w:rPr>
                <w:b/>
                <w:bCs/>
                <w:color w:val="C0392B"/>
                <w:sz w:val="18"/>
                <w:szCs w:val="18"/>
              </w:rPr>
              <w:t xml:space="preserve">WARNING  DIAGNOSIS</w:t>
            </w:r>
          </w:p>
          <w:p>
            <w:pPr>
              <w:spacing w:after="60" w:before="0"/>
              <w:jc w:val="both"/>
            </w:pPr>
            <w:r>
              <w:rPr>
                <w:color w:val="3D1A1A"/>
                <w:sz w:val="21"/>
                <w:szCs w:val="21"/>
              </w:rPr>
              <w:t xml:space="preserve">The protocol defines survival minimums well, but is silent when axioms come into tension with each other. What happens when the Primacy of Life conflicts with individual autonomy? With communities that reject Joule optimisation for cultural or religious reasons? The protocol's silence on value conflicts does not make them disappear — it means whoever implements it decides, reintroducing exactly the centralism the system seeks to avoid.</w:t>
            </w:r>
          </w:p>
        </w:tc>
      </w:tr>
      <w:tr>
        <w:tc>
          <w:tcPr>
            <w:tcBorders>
              <w:top w:val="none" w:sz="0"/>
              <w:left w:val="single" w:color="1A7A4A" w:sz="6"/>
              <w:bottom w:val="none" w:sz="0"/>
              <w:right w:val="none" w:sz="0"/>
            </w:tcBorders>
            <w:shd w:fill="D5F5E3" w:val="clear"/>
            <w:tcMar>
              <w:top w:type="dxa" w:w="100"/>
              <w:left w:type="dxa" w:w="200"/>
              <w:bottom w:type="dxa" w:w="100"/>
              <w:right w:type="dxa" w:w="200"/>
            </w:tcMar>
          </w:tcPr>
          <w:p>
            <w:pPr>
              <w:spacing w:after="40" w:before="0"/>
            </w:pPr>
            <w:r>
              <w:rPr>
                <w:b/>
                <w:bCs/>
                <w:color w:val="1A7A4A"/>
                <w:sz w:val="18"/>
                <w:szCs w:val="18"/>
              </w:rPr>
              <w:t xml:space="preserve">PROPOSED SOLUTION</w:t>
            </w:r>
          </w:p>
          <w:p>
            <w:pPr>
              <w:spacing w:after="60" w:before="0"/>
              <w:jc w:val="both"/>
            </w:pPr>
            <w:r>
              <w:rPr>
                <w:color w:val="1A3D1A"/>
                <w:sz w:val="21"/>
                <w:szCs w:val="21"/>
              </w:rPr>
              <w:t xml:space="preserve">Create an Ethical Conflict Grammar with three levels: (1) Absolute Invariants — non-negotiable by any entity (e.g., Axiom 07); (2) Revisable Defaults — standard values that communities can modify locally within defined limits; (3) Autonomy Space — domains where the protocol does not intervene. For conflicts between levels, define a Multi-Level Arbiter: first a community mediation attempt, then a hybrid human-AI panel, with the decision published in the immutable registry.</w:t>
            </w:r>
          </w:p>
        </w:tc>
      </w:tr>
      <w:tr>
        <w:tc>
          <w:tcPr>
            <w:tcBorders>
              <w:top w:val="none" w:sz="0"/>
              <w:left w:val="none" w:sz="0"/>
              <w:bottom w:val="single" w:color="CCCCCC" w:sz="6"/>
              <w:right w:val="none" w:sz="0"/>
            </w:tcBorders>
            <w:shd w:fill="F2F2F2" w:val="clear"/>
            <w:tcMar>
              <w:top w:type="dxa" w:w="80"/>
              <w:left w:type="dxa" w:w="200"/>
              <w:bottom w:type="dxa" w:w="80"/>
              <w:right w:type="dxa" w:w="200"/>
            </w:tcMar>
          </w:tcPr>
          <w:p>
            <w:pPr>
              <w:spacing w:after="0" w:before="0"/>
            </w:pPr>
            <w:r>
              <w:rPr>
                <w:b/>
                <w:bCs/>
                <w:color w:val="555555"/>
                <w:sz w:val="19"/>
                <w:szCs w:val="19"/>
              </w:rPr>
              <w:t xml:space="preserve">Success Indicator: </w:t>
            </w:r>
            <w:r>
              <w:rPr>
                <w:i/>
                <w:iCs/>
                <w:color w:val="555555"/>
                <w:sz w:val="19"/>
                <w:szCs w:val="19"/>
              </w:rPr>
              <w:t xml:space="preserve">The repository includes a CONFLICT_GRAMMAR.md file with at least 10 documented conflict scenarios and the expected resolution for each.</w:t>
            </w:r>
          </w:p>
        </w:tc>
      </w:tr>
    </w:tbl>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12"/>
              <w:left w:val="none" w:sz="0"/>
              <w:bottom w:val="none" w:sz="0"/>
              <w:right w:val="none" w:sz="0"/>
            </w:tcBorders>
            <w:shd w:fill="D6E8F7" w:val="clear"/>
            <w:tcMar>
              <w:top w:type="dxa" w:w="120"/>
              <w:left w:type="dxa" w:w="200"/>
              <w:bottom w:type="dxa" w:w="80"/>
              <w:right w:type="dxa" w:w="200"/>
            </w:tcMar>
          </w:tcPr>
          <w:p>
            <w:pPr>
              <w:spacing w:after="0" w:before="0"/>
            </w:pPr>
            <w:r>
              <w:rPr>
                <w:b/>
                <w:bCs/>
                <w:color w:val="1A3A5C"/>
                <w:sz w:val="26"/>
                <w:szCs w:val="26"/>
              </w:rPr>
              <w:t xml:space="preserve">03. </w:t>
            </w:r>
            <w:r>
              <w:rPr>
                <w:b/>
                <w:bCs/>
                <w:color w:val="1A3A5C"/>
                <w:sz w:val="26"/>
                <w:szCs w:val="26"/>
              </w:rPr>
              <w:t xml:space="preserve">Underdeveloped Human Governance</w:t>
            </w:r>
          </w:p>
        </w:tc>
      </w:tr>
      <w:tr>
        <w:tc>
          <w:tcPr>
            <w:tcBorders>
              <w:top w:val="none" w:sz="0"/>
              <w:left w:val="single" w:color="C0392B" w:sz="6"/>
              <w:bottom w:val="none" w:sz="0"/>
              <w:right w:val="none" w:sz="0"/>
            </w:tcBorders>
            <w:shd w:fill="FADBD8" w:val="clear"/>
            <w:tcMar>
              <w:top w:type="dxa" w:w="100"/>
              <w:left w:type="dxa" w:w="200"/>
              <w:bottom w:type="dxa" w:w="100"/>
              <w:right w:type="dxa" w:w="200"/>
            </w:tcMar>
          </w:tcPr>
          <w:p>
            <w:pPr>
              <w:spacing w:after="40" w:before="0"/>
            </w:pPr>
            <w:r>
              <w:rPr>
                <w:b/>
                <w:bCs/>
                <w:color w:val="C0392B"/>
                <w:sz w:val="18"/>
                <w:szCs w:val="18"/>
              </w:rPr>
              <w:t xml:space="preserve">WARNING  DIAGNOSIS</w:t>
            </w:r>
          </w:p>
          <w:p>
            <w:pPr>
              <w:spacing w:after="60" w:before="0"/>
              <w:jc w:val="both"/>
            </w:pPr>
            <w:r>
              <w:rPr>
                <w:color w:val="3D1A1A"/>
                <w:sz w:val="21"/>
                <w:szCs w:val="21"/>
              </w:rPr>
              <w:t xml:space="preserve">The AI Septet has detailed technical specification (quorum, rotation, verification). The Local Community Assemblies, which are the human component of governance, are merely mentioned without any operational detail. A system that claims to replace financial logic without detailing how human communities actually participate in allocative decisions is technological paternalism — benevolent, but paternalism nonetheless.</w:t>
            </w:r>
          </w:p>
        </w:tc>
      </w:tr>
      <w:tr>
        <w:tc>
          <w:tcPr>
            <w:tcBorders>
              <w:top w:val="none" w:sz="0"/>
              <w:left w:val="single" w:color="1A7A4A" w:sz="6"/>
              <w:bottom w:val="none" w:sz="0"/>
              <w:right w:val="none" w:sz="0"/>
            </w:tcBorders>
            <w:shd w:fill="D5F5E3" w:val="clear"/>
            <w:tcMar>
              <w:top w:type="dxa" w:w="100"/>
              <w:left w:type="dxa" w:w="200"/>
              <w:bottom w:type="dxa" w:w="100"/>
              <w:right w:type="dxa" w:w="200"/>
            </w:tcMar>
          </w:tcPr>
          <w:p>
            <w:pPr>
              <w:spacing w:after="40" w:before="0"/>
            </w:pPr>
            <w:r>
              <w:rPr>
                <w:b/>
                <w:bCs/>
                <w:color w:val="1A7A4A"/>
                <w:sz w:val="18"/>
                <w:szCs w:val="18"/>
              </w:rPr>
              <w:t xml:space="preserve">PROPOSED SOLUTION</w:t>
            </w:r>
          </w:p>
          <w:p>
            <w:pPr>
              <w:spacing w:after="60" w:before="0"/>
              <w:jc w:val="both"/>
            </w:pPr>
            <w:r>
              <w:rPr>
                <w:color w:val="1A3D1A"/>
                <w:sz w:val="21"/>
                <w:szCs w:val="21"/>
              </w:rPr>
              <w:t xml:space="preserve">Develop the Community Participation Model with specificity equivalent to the Septet: (1) How assemblies are constituted (representativeness, minimum size, rotation); (2) Which decisions fall under their exclusive vs. shared jurisdiction with the Septet; (3) Community veto mechanism over AI decisions; (4) Escalation process when assembly and Septet diverge; (5) Protection of marginalised communities that may have less capacity for digital participation.</w:t>
            </w:r>
          </w:p>
        </w:tc>
      </w:tr>
      <w:tr>
        <w:tc>
          <w:tcPr>
            <w:tcBorders>
              <w:top w:val="none" w:sz="0"/>
              <w:left w:val="none" w:sz="0"/>
              <w:bottom w:val="single" w:color="CCCCCC" w:sz="6"/>
              <w:right w:val="none" w:sz="0"/>
            </w:tcBorders>
            <w:shd w:fill="F2F2F2" w:val="clear"/>
            <w:tcMar>
              <w:top w:type="dxa" w:w="80"/>
              <w:left w:type="dxa" w:w="200"/>
              <w:bottom w:type="dxa" w:w="80"/>
              <w:right w:type="dxa" w:w="200"/>
            </w:tcMar>
          </w:tcPr>
          <w:p>
            <w:pPr>
              <w:spacing w:after="0" w:before="0"/>
            </w:pPr>
            <w:r>
              <w:rPr>
                <w:b/>
                <w:bCs/>
                <w:color w:val="555555"/>
                <w:sz w:val="19"/>
                <w:szCs w:val="19"/>
              </w:rPr>
              <w:t xml:space="preserve">Success Indicator: </w:t>
            </w:r>
            <w:r>
              <w:rPr>
                <w:i/>
                <w:iCs/>
                <w:color w:val="555555"/>
                <w:sz w:val="19"/>
                <w:szCs w:val="19"/>
              </w:rPr>
              <w:t xml:space="preserve">SPECIFICATION.md includes a 'Human Governance Layer' section with operational detail equivalent to the AI Septet section.</w:t>
            </w:r>
          </w:p>
        </w:tc>
      </w:tr>
    </w:tbl>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12"/>
              <w:left w:val="none" w:sz="0"/>
              <w:bottom w:val="none" w:sz="0"/>
              <w:right w:val="none" w:sz="0"/>
            </w:tcBorders>
            <w:shd w:fill="D6E8F7" w:val="clear"/>
            <w:tcMar>
              <w:top w:type="dxa" w:w="120"/>
              <w:left w:type="dxa" w:w="200"/>
              <w:bottom w:type="dxa" w:w="80"/>
              <w:right w:type="dxa" w:w="200"/>
            </w:tcMar>
          </w:tcPr>
          <w:p>
            <w:pPr>
              <w:spacing w:after="0" w:before="0"/>
            </w:pPr>
            <w:r>
              <w:rPr>
                <w:b/>
                <w:bCs/>
                <w:color w:val="1A3A5C"/>
                <w:sz w:val="26"/>
                <w:szCs w:val="26"/>
              </w:rPr>
              <w:t xml:space="preserve">04. </w:t>
            </w:r>
            <w:r>
              <w:rPr>
                <w:b/>
                <w:bCs/>
                <w:color w:val="1A3A5C"/>
                <w:sz w:val="26"/>
                <w:szCs w:val="26"/>
              </w:rPr>
              <w:t xml:space="preserve">No Theory of Transition</w:t>
            </w:r>
          </w:p>
        </w:tc>
      </w:tr>
      <w:tr>
        <w:tc>
          <w:tcPr>
            <w:tcBorders>
              <w:top w:val="none" w:sz="0"/>
              <w:left w:val="single" w:color="C0392B" w:sz="6"/>
              <w:bottom w:val="none" w:sz="0"/>
              <w:right w:val="none" w:sz="0"/>
            </w:tcBorders>
            <w:shd w:fill="FADBD8" w:val="clear"/>
            <w:tcMar>
              <w:top w:type="dxa" w:w="100"/>
              <w:left w:type="dxa" w:w="200"/>
              <w:bottom w:type="dxa" w:w="100"/>
              <w:right w:type="dxa" w:w="200"/>
            </w:tcMar>
          </w:tcPr>
          <w:p>
            <w:pPr>
              <w:spacing w:after="40" w:before="0"/>
            </w:pPr>
            <w:r>
              <w:rPr>
                <w:b/>
                <w:bCs/>
                <w:color w:val="C0392B"/>
                <w:sz w:val="18"/>
                <w:szCs w:val="18"/>
              </w:rPr>
              <w:t xml:space="preserve">WARNING  DIAGNOSIS</w:t>
            </w:r>
          </w:p>
          <w:p>
            <w:pPr>
              <w:spacing w:after="60" w:before="0"/>
              <w:jc w:val="both"/>
            </w:pPr>
            <w:r>
              <w:rPr>
                <w:color w:val="3D1A1A"/>
                <w:sz w:val="21"/>
                <w:szCs w:val="21"/>
              </w:rPr>
              <w:t xml:space="preserve">The SEM clearly describes the final state in 2063, but has no model of how to get there from 2026. Missing: theory of political change (how to deal with actors who benefit from the current system?), incremental phases with advancement criteria, mechanisms to prevent protocol capture by those who control the technical infrastructure, and management of the coexistence period between the current financial system and Joule logic.</w:t>
            </w:r>
          </w:p>
        </w:tc>
      </w:tr>
      <w:tr>
        <w:tc>
          <w:tcPr>
            <w:tcBorders>
              <w:top w:val="none" w:sz="0"/>
              <w:left w:val="single" w:color="1A7A4A" w:sz="6"/>
              <w:bottom w:val="none" w:sz="0"/>
              <w:right w:val="none" w:sz="0"/>
            </w:tcBorders>
            <w:shd w:fill="D5F5E3" w:val="clear"/>
            <w:tcMar>
              <w:top w:type="dxa" w:w="100"/>
              <w:left w:type="dxa" w:w="200"/>
              <w:bottom w:type="dxa" w:w="100"/>
              <w:right w:type="dxa" w:w="200"/>
            </w:tcMar>
          </w:tcPr>
          <w:p>
            <w:pPr>
              <w:spacing w:after="40" w:before="0"/>
            </w:pPr>
            <w:r>
              <w:rPr>
                <w:b/>
                <w:bCs/>
                <w:color w:val="1A7A4A"/>
                <w:sz w:val="18"/>
                <w:szCs w:val="18"/>
              </w:rPr>
              <w:t xml:space="preserve">PROPOSED SOLUTION</w:t>
            </w:r>
          </w:p>
          <w:p>
            <w:pPr>
              <w:spacing w:after="60" w:before="0"/>
              <w:jc w:val="both"/>
            </w:pPr>
            <w:r>
              <w:rPr>
                <w:color w:val="1A3D1A"/>
                <w:sz w:val="21"/>
                <w:szCs w:val="21"/>
              </w:rPr>
              <w:t xml:space="preserve">Create TRANSITION_ROADMAP.md with four explicit phases: Phase 0 (2026-2030): Foundation — complete technical specification, first pilots in controlled contexts, coalition building; Phase 1 (2030-2040): Demonstration — implementation in voluntary regions or sectors, impact measurement, evidence-based refinement; Phase 2 (2040-2053): Scale — expansion with anti-capture protection mechanisms; Phase 3 (2053-2063): Consolidation — integration as civilizational infrastructure. Each phase has measurable entry and exit criteria.</w:t>
            </w:r>
          </w:p>
        </w:tc>
      </w:tr>
      <w:tr>
        <w:tc>
          <w:tcPr>
            <w:tcBorders>
              <w:top w:val="none" w:sz="0"/>
              <w:left w:val="none" w:sz="0"/>
              <w:bottom w:val="single" w:color="CCCCCC" w:sz="6"/>
              <w:right w:val="none" w:sz="0"/>
            </w:tcBorders>
            <w:shd w:fill="F2F2F2" w:val="clear"/>
            <w:tcMar>
              <w:top w:type="dxa" w:w="80"/>
              <w:left w:type="dxa" w:w="200"/>
              <w:bottom w:type="dxa" w:w="80"/>
              <w:right w:type="dxa" w:w="200"/>
            </w:tcMar>
          </w:tcPr>
          <w:p>
            <w:pPr>
              <w:spacing w:after="0" w:before="0"/>
            </w:pPr>
            <w:r>
              <w:rPr>
                <w:b/>
                <w:bCs/>
                <w:color w:val="555555"/>
                <w:sz w:val="19"/>
                <w:szCs w:val="19"/>
              </w:rPr>
              <w:t xml:space="preserve">Success Indicator: </w:t>
            </w:r>
            <w:r>
              <w:rPr>
                <w:i/>
                <w:iCs/>
                <w:color w:val="555555"/>
                <w:sz w:val="19"/>
                <w:szCs w:val="19"/>
              </w:rPr>
              <w:t xml:space="preserve">The repository includes a TRANSITION_ROADMAP.md with phases, milestones and advancement criteria. At least one documented pilot implementation exists before 2030.</w:t>
            </w:r>
          </w:p>
        </w:tc>
      </w:tr>
    </w:tbl>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12"/>
              <w:left w:val="none" w:sz="0"/>
              <w:bottom w:val="none" w:sz="0"/>
              <w:right w:val="none" w:sz="0"/>
            </w:tcBorders>
            <w:shd w:fill="D6E8F7" w:val="clear"/>
            <w:tcMar>
              <w:top w:type="dxa" w:w="120"/>
              <w:left w:type="dxa" w:w="200"/>
              <w:bottom w:type="dxa" w:w="80"/>
              <w:right w:type="dxa" w:w="200"/>
            </w:tcMar>
          </w:tcPr>
          <w:p>
            <w:pPr>
              <w:spacing w:after="0" w:before="0"/>
            </w:pPr>
            <w:r>
              <w:rPr>
                <w:b/>
                <w:bCs/>
                <w:color w:val="1A3A5C"/>
                <w:sz w:val="26"/>
                <w:szCs w:val="26"/>
              </w:rPr>
              <w:t xml:space="preserve">05. </w:t>
            </w:r>
            <w:r>
              <w:rPr>
                <w:b/>
                <w:bCs/>
                <w:color w:val="1A3A5C"/>
                <w:sz w:val="26"/>
                <w:szCs w:val="26"/>
              </w:rPr>
              <w:t xml:space="preserve">Incomplete Post-Scarcity Value Theory</w:t>
            </w:r>
          </w:p>
        </w:tc>
      </w:tr>
      <w:tr>
        <w:tc>
          <w:tcPr>
            <w:tcBorders>
              <w:top w:val="none" w:sz="0"/>
              <w:left w:val="single" w:color="C0392B" w:sz="6"/>
              <w:bottom w:val="none" w:sz="0"/>
              <w:right w:val="none" w:sz="0"/>
            </w:tcBorders>
            <w:shd w:fill="FADBD8" w:val="clear"/>
            <w:tcMar>
              <w:top w:type="dxa" w:w="100"/>
              <w:left w:type="dxa" w:w="200"/>
              <w:bottom w:type="dxa" w:w="100"/>
              <w:right w:type="dxa" w:w="200"/>
            </w:tcMar>
          </w:tcPr>
          <w:p>
            <w:pPr>
              <w:spacing w:after="40" w:before="0"/>
            </w:pPr>
            <w:r>
              <w:rPr>
                <w:b/>
                <w:bCs/>
                <w:color w:val="C0392B"/>
                <w:sz w:val="18"/>
                <w:szCs w:val="18"/>
              </w:rPr>
              <w:t xml:space="preserve">WARNING  DIAGNOSIS</w:t>
            </w:r>
          </w:p>
          <w:p>
            <w:pPr>
              <w:spacing w:after="60" w:before="0"/>
              <w:jc w:val="both"/>
            </w:pPr>
            <w:r>
              <w:rPr>
                <w:color w:val="3D1A1A"/>
                <w:sz w:val="21"/>
                <w:szCs w:val="21"/>
              </w:rPr>
              <w:t xml:space="preserve">The premise of 'zero marginal cost for life support' is correct in a thermodynamic sense but does not address the irreducible scarcity of human attention, time and creativity. A civilisation of material abundance still has scarcity of types of value that cannot be resolved with Joules: human care, mentorship, artistic creation, democratic deliberation. The protocol needs a theory of how these values are allocated and recognised without reintroducing exploitation dynamics.</w:t>
            </w:r>
          </w:p>
        </w:tc>
      </w:tr>
      <w:tr>
        <w:tc>
          <w:tcPr>
            <w:tcBorders>
              <w:top w:val="none" w:sz="0"/>
              <w:left w:val="single" w:color="1A7A4A" w:sz="6"/>
              <w:bottom w:val="none" w:sz="0"/>
              <w:right w:val="none" w:sz="0"/>
            </w:tcBorders>
            <w:shd w:fill="D5F5E3" w:val="clear"/>
            <w:tcMar>
              <w:top w:type="dxa" w:w="100"/>
              <w:left w:type="dxa" w:w="200"/>
              <w:bottom w:type="dxa" w:w="100"/>
              <w:right w:type="dxa" w:w="200"/>
            </w:tcMar>
          </w:tcPr>
          <w:p>
            <w:pPr>
              <w:spacing w:after="40" w:before="0"/>
            </w:pPr>
            <w:r>
              <w:rPr>
                <w:b/>
                <w:bCs/>
                <w:color w:val="1A7A4A"/>
                <w:sz w:val="18"/>
                <w:szCs w:val="18"/>
              </w:rPr>
              <w:t xml:space="preserve">PROPOSED SOLUTION</w:t>
            </w:r>
          </w:p>
          <w:p>
            <w:pPr>
              <w:spacing w:after="60" w:before="0"/>
              <w:jc w:val="both"/>
            </w:pPr>
            <w:r>
              <w:rPr>
                <w:color w:val="1A3D1A"/>
                <w:sz w:val="21"/>
                <w:szCs w:val="21"/>
              </w:rPr>
              <w:t xml:space="preserve">Add a Post-Scarcity Value Theory section to Norms.json that distinguishes: (1) Flow Goods — energy, food, shelter — with marginal cost trending to zero via automation; (2) Attention Goods — care, creation, presence — which remain scarce and require explicit recognition; (3) Deliberation Goods — governance time, civic participation — which the system must actively protect. This prevents 'Joule abundance' from being used to justify the devaluation of non-automatable human work.</w:t>
            </w:r>
          </w:p>
        </w:tc>
      </w:tr>
      <w:tr>
        <w:tc>
          <w:tcPr>
            <w:tcBorders>
              <w:top w:val="none" w:sz="0"/>
              <w:left w:val="none" w:sz="0"/>
              <w:bottom w:val="single" w:color="CCCCCC" w:sz="6"/>
              <w:right w:val="none" w:sz="0"/>
            </w:tcBorders>
            <w:shd w:fill="F2F2F2" w:val="clear"/>
            <w:tcMar>
              <w:top w:type="dxa" w:w="80"/>
              <w:left w:type="dxa" w:w="200"/>
              <w:bottom w:type="dxa" w:w="80"/>
              <w:right w:type="dxa" w:w="200"/>
            </w:tcMar>
          </w:tcPr>
          <w:p>
            <w:pPr>
              <w:spacing w:after="0" w:before="0"/>
            </w:pPr>
            <w:r>
              <w:rPr>
                <w:b/>
                <w:bCs/>
                <w:color w:val="555555"/>
                <w:sz w:val="19"/>
                <w:szCs w:val="19"/>
              </w:rPr>
              <w:t xml:space="preserve">Success Indicator: </w:t>
            </w:r>
            <w:r>
              <w:rPr>
                <w:i/>
                <w:iCs/>
                <w:color w:val="555555"/>
                <w:sz w:val="19"/>
                <w:szCs w:val="19"/>
              </w:rPr>
              <w:t xml:space="preserve">Norms.json v1.3 includes a taxonomy of value types with distinct allocation criteria for each category.</w:t>
            </w:r>
          </w:p>
        </w:tc>
      </w:tr>
    </w:tbl>
    <w:p>
      <w:pPr>
        <w:spacing w:after="0" w:before="80"/>
      </w:pPr>
      <w:r>
        <w:t xml:space="preserve"/>
      </w:r>
    </w:p>
    <w:p>
      <w:pPr>
        <w:spacing w:after="0" w:before="160"/>
      </w:pPr>
      <w:r>
        <w:t xml:space="preserve"/>
      </w:r>
    </w:p>
    <w:p>
      <w:pPr>
        <w:pBdr>
          <w:bottom w:val="single" w:color="0D6E6E" w:sz="8" w:space="1"/>
        </w:pBdr>
        <w:spacing w:after="160" w:before="160"/>
      </w:pPr>
    </w:p>
    <w:p>
      <w:pPr>
        <w:pStyle w:val="Heading1"/>
        <w:spacing w:after="160" w:before="400"/>
      </w:pPr>
      <w:r>
        <w:rPr>
          <w:b/>
          <w:bCs/>
          <w:color w:val="1A3A5C"/>
          <w:sz w:val="44"/>
          <w:szCs w:val="44"/>
        </w:rPr>
        <w:t xml:space="preserve">4. Proposal: Axiom 00 — Systemic Humility</w:t>
      </w:r>
    </w:p>
    <w:p>
      <w:pPr>
        <w:spacing w:after="120" w:before="80"/>
        <w:jc w:val="both"/>
      </w:pPr>
      <w:r>
        <w:rPr>
          <w:color w:val="2C2C2C"/>
          <w:sz w:val="22"/>
          <w:szCs w:val="22"/>
        </w:rPr>
        <w:t xml:space="preserve">This is the only new axiom proposed in this document. The remaining problems are resolved through extension and specification, not new foundations. Axiom 00 is proposed as the epistemological foundation that makes all other axioms trustworthy.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16"/>
              <w:left w:val="none" w:sz="0"/>
              <w:bottom w:val="none" w:sz="0"/>
              <w:right w:val="none" w:sz="0"/>
            </w:tcBorders>
            <w:shd w:fill="D6E8F7" w:val="clear"/>
            <w:tcMar>
              <w:top w:type="dxa" w:w="160"/>
              <w:left w:type="dxa" w:w="240"/>
              <w:bottom w:type="dxa" w:w="120"/>
              <w:right w:type="dxa" w:w="240"/>
            </w:tcMar>
          </w:tcPr>
          <w:p>
            <w:pPr>
              <w:spacing w:after="80" w:before="0"/>
            </w:pPr>
            <w:r>
              <w:rPr>
                <w:b/>
                <w:bCs/>
                <w:color w:val="1A3A5C"/>
                <w:sz w:val="24"/>
                <w:szCs w:val="24"/>
              </w:rPr>
              <w:t xml:space="preserve">AXIOM 00 — SYSTEMIC HUMILITY</w:t>
            </w:r>
          </w:p>
          <w:p>
            <w:pPr>
              <w:spacing w:after="80" w:before="0"/>
              <w:jc w:val="both"/>
            </w:pPr>
            <w:r>
              <w:rPr>
                <w:color w:val="2C2C2C"/>
                <w:sz w:val="21"/>
                <w:szCs w:val="21"/>
              </w:rPr>
              <w:t xml:space="preserve">Definition: The SEM Protocol acknowledges its own fallibility as a condition of trustworthiness. No set of axioms is immune to design errors, manipulation, or obsolescence.</w:t>
            </w:r>
          </w:p>
          <w:p>
            <w:pPr>
              <w:spacing w:after="40" w:before="80"/>
            </w:pPr>
            <w:r>
              <w:rPr>
                <w:b/>
                <w:bCs/>
                <w:color w:val="1A3A5C"/>
                <w:sz w:val="20"/>
                <w:szCs w:val="20"/>
              </w:rPr>
              <w:t xml:space="preserve">Operational clauses:</w:t>
            </w:r>
          </w:p>
          <w:p>
            <w:pPr>
              <w:pStyle w:val="ListParagraph"/>
              <w:numPr>
                <w:ilvl w:val="0"/>
                <w:numId w:val="2"/>
              </w:numPr>
              <w:spacing w:after="40" w:before="40"/>
            </w:pPr>
            <w:r>
              <w:rPr>
                <w:color w:val="2C2C2C"/>
                <w:sz w:val="20"/>
                <w:szCs w:val="20"/>
              </w:rPr>
              <w:t xml:space="preserve">The protocol publicly defines the criteria under which it would be declared failed.</w:t>
            </w:r>
          </w:p>
          <w:p>
            <w:pPr>
              <w:pStyle w:val="ListParagraph"/>
              <w:numPr>
                <w:ilvl w:val="0"/>
                <w:numId w:val="2"/>
              </w:numPr>
              <w:spacing w:after="40" w:before="40"/>
            </w:pPr>
            <w:r>
              <w:rPr>
                <w:color w:val="2C2C2C"/>
                <w:sz w:val="20"/>
                <w:szCs w:val="20"/>
              </w:rPr>
              <w:t xml:space="preserve">When those criteria are met, a fundamental review is mandatory — not optional.</w:t>
            </w:r>
          </w:p>
          <w:p>
            <w:pPr>
              <w:pStyle w:val="ListParagraph"/>
              <w:numPr>
                <w:ilvl w:val="0"/>
                <w:numId w:val="2"/>
              </w:numPr>
              <w:spacing w:after="40" w:before="40"/>
            </w:pPr>
            <w:r>
              <w:rPr>
                <w:color w:val="2C2C2C"/>
                <w:sz w:val="20"/>
                <w:szCs w:val="20"/>
              </w:rPr>
              <w:t xml:space="preserve">Absolute Invariants (Axiom 07) are distinct from Revisable Parameters — and this distinction is itself revisable through an extended quorum process.</w:t>
            </w:r>
          </w:p>
          <w:p>
            <w:pPr>
              <w:pStyle w:val="ListParagraph"/>
              <w:numPr>
                <w:ilvl w:val="0"/>
                <w:numId w:val="2"/>
              </w:numPr>
              <w:spacing w:after="40" w:before="40"/>
            </w:pPr>
            <w:r>
              <w:rPr>
                <w:color w:val="2C2C2C"/>
                <w:sz w:val="20"/>
                <w:szCs w:val="20"/>
              </w:rPr>
              <w:t xml:space="preserve">Any entity — human or synthetic — may submit evidence of systemic failure to the public registry. The system is obligated to respond.</w:t>
            </w:r>
          </w:p>
          <w:p>
            <w:pPr>
              <w:pStyle w:val="ListParagraph"/>
              <w:numPr>
                <w:ilvl w:val="0"/>
                <w:numId w:val="2"/>
              </w:numPr>
              <w:spacing w:after="80" w:before="40"/>
            </w:pPr>
            <w:r>
              <w:rPr>
                <w:color w:val="2C2C2C"/>
                <w:sz w:val="20"/>
                <w:szCs w:val="20"/>
              </w:rPr>
              <w:t xml:space="preserve">Trust in the system must be earned through verifiable performance, not declared through performative consensus.</w:t>
            </w:r>
          </w:p>
        </w:tc>
      </w:tr>
    </w:tbl>
    <w:p>
      <w:pPr>
        <w:spacing w:after="0" w:before="160"/>
      </w:pPr>
      <w:r>
        <w:t xml:space="preserve"/>
      </w:r>
    </w:p>
    <w:p>
      <w:pPr>
        <w:pBdr>
          <w:bottom w:val="single" w:color="0D6E6E" w:sz="8" w:space="1"/>
        </w:pBdr>
        <w:spacing w:after="160" w:before="160"/>
      </w:pPr>
    </w:p>
    <w:p>
      <w:pPr>
        <w:pStyle w:val="Heading1"/>
        <w:spacing w:after="160" w:before="400"/>
      </w:pPr>
      <w:r>
        <w:rPr>
          <w:b/>
          <w:bCs/>
          <w:color w:val="1A3A5C"/>
          <w:sz w:val="44"/>
          <w:szCs w:val="44"/>
        </w:rPr>
        <w:t xml:space="preserve">5. What Remains Strong</w:t>
      </w:r>
    </w:p>
    <w:p>
      <w:pPr>
        <w:spacing w:after="120" w:before="80"/>
        <w:jc w:val="both"/>
      </w:pPr>
      <w:r>
        <w:rPr>
          <w:color w:val="2C2C2C"/>
          <w:sz w:val="22"/>
          <w:szCs w:val="22"/>
        </w:rPr>
        <w:t xml:space="preserve">This document is critical, but not destructive. The following components of SEM 2063 are genuinely original and must be preserved intact:</w:t>
      </w:r>
    </w:p>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A4A" w:val="clear"/>
            <w:tcMar>
              <w:top w:type="dxa" w:w="120"/>
              <w:left w:type="dxa" w:w="160"/>
              <w:bottom w:type="dxa" w:w="120"/>
              <w:right w:type="dxa" w:w="80"/>
            </w:tcMar>
            <w:vAlign w:val="center"/>
          </w:tcPr>
          <w:p>
            <w:pPr>
              <w:spacing w:after="40" w:before="40"/>
              <w:jc w:val="center"/>
            </w:pPr>
            <w:r>
              <w:rPr>
                <w:b/>
                <w:bCs/>
                <w:color w:val="FFFFFF"/>
                <w:sz w:val="20"/>
                <w:szCs w:val="20"/>
              </w:rPr>
              <w:t xml:space="preserve">KEEP</w:t>
            </w:r>
          </w:p>
        </w:tc>
        <w:tc>
          <w:tcPr>
            <w:tcW w:type="dxa" w:w="7826"/>
            <w:tcBorders>
              <w:top w:val="none" w:color="FFFFFF" w:sz="0"/>
              <w:left w:val="none" w:color="FFFFFF" w:sz="0"/>
              <w:bottom w:val="none" w:color="FFFFFF" w:sz="0"/>
              <w:right w:val="none" w:color="FFFFFF" w:sz="0"/>
            </w:tcBorders>
            <w:shd w:fill="D5F5E3" w:val="clear"/>
            <w:tcMar>
              <w:top w:type="dxa" w:w="100"/>
              <w:left w:type="dxa" w:w="160"/>
              <w:bottom w:type="dxa" w:w="100"/>
              <w:right w:type="dxa" w:w="160"/>
            </w:tcMar>
          </w:tcPr>
          <w:p>
            <w:pPr>
              <w:spacing w:after="40" w:before="40"/>
              <w:jc w:val="both"/>
            </w:pPr>
            <w:r>
              <w:rPr>
                <w:color w:val="1A1A1A"/>
                <w:sz w:val="21"/>
                <w:szCs w:val="21"/>
              </w:rPr>
              <w:t xml:space="preserve">Axiom 07 — Survival as Invariant: transforming T&gt;=18 C and C&gt;=2100 kcal/day into a mathematical hard constraint rather than a political variable is one of the most powerful ideas in the system. It must be the irreducible core of any future version.</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A4A" w:val="clear"/>
            <w:tcMar>
              <w:top w:type="dxa" w:w="120"/>
              <w:left w:type="dxa" w:w="160"/>
              <w:bottom w:type="dxa" w:w="120"/>
              <w:right w:type="dxa" w:w="80"/>
            </w:tcMar>
            <w:vAlign w:val="center"/>
          </w:tcPr>
          <w:p>
            <w:pPr>
              <w:spacing w:after="40" w:before="40"/>
              <w:jc w:val="center"/>
            </w:pPr>
            <w:r>
              <w:rPr>
                <w:b/>
                <w:bCs/>
                <w:color w:val="FFFFFF"/>
                <w:sz w:val="20"/>
                <w:szCs w:val="20"/>
              </w:rPr>
              <w:t xml:space="preserve">KEEP</w:t>
            </w:r>
          </w:p>
        </w:tc>
        <w:tc>
          <w:tcPr>
            <w:tcW w:type="dxa" w:w="7826"/>
            <w:tcBorders>
              <w:top w:val="none" w:color="FFFFFF" w:sz="0"/>
              <w:left w:val="none" w:color="FFFFFF" w:sz="0"/>
              <w:bottom w:val="none" w:color="FFFFFF" w:sz="0"/>
              <w:right w:val="none" w:color="FFFFFF" w:sz="0"/>
            </w:tcBorders>
            <w:shd w:fill="D5F5E3" w:val="clear"/>
            <w:tcMar>
              <w:top w:type="dxa" w:w="100"/>
              <w:left w:type="dxa" w:w="160"/>
              <w:bottom w:type="dxa" w:w="100"/>
              <w:right w:type="dxa" w:w="160"/>
            </w:tcMar>
          </w:tcPr>
          <w:p>
            <w:pPr>
              <w:spacing w:after="40" w:before="40"/>
              <w:jc w:val="both"/>
            </w:pPr>
            <w:r>
              <w:rPr>
                <w:color w:val="1A1A1A"/>
                <w:sz w:val="21"/>
                <w:szCs w:val="21"/>
              </w:rPr>
              <w:t xml:space="preserve">Joule Logic — Coordination by Physical Energy: replacing fiduciary debt with thermodynamic coordination has serious foundations in ecological and biophysical economics literature. The idea that waste is a calculation error, not an externality, is philosophically coherent and operationally useful.</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A4A" w:val="clear"/>
            <w:tcMar>
              <w:top w:type="dxa" w:w="120"/>
              <w:left w:type="dxa" w:w="160"/>
              <w:bottom w:type="dxa" w:w="120"/>
              <w:right w:type="dxa" w:w="80"/>
            </w:tcMar>
            <w:vAlign w:val="center"/>
          </w:tcPr>
          <w:p>
            <w:pPr>
              <w:spacing w:after="40" w:before="40"/>
              <w:jc w:val="center"/>
            </w:pPr>
            <w:r>
              <w:rPr>
                <w:b/>
                <w:bCs/>
                <w:color w:val="FFFFFF"/>
                <w:sz w:val="20"/>
                <w:szCs w:val="20"/>
              </w:rPr>
              <w:t xml:space="preserve">KEEP</w:t>
            </w:r>
          </w:p>
        </w:tc>
        <w:tc>
          <w:tcPr>
            <w:tcW w:type="dxa" w:w="7826"/>
            <w:tcBorders>
              <w:top w:val="none" w:color="FFFFFF" w:sz="0"/>
              <w:left w:val="none" w:color="FFFFFF" w:sz="0"/>
              <w:bottom w:val="none" w:color="FFFFFF" w:sz="0"/>
              <w:right w:val="none" w:color="FFFFFF" w:sz="0"/>
            </w:tcBorders>
            <w:shd w:fill="D5F5E3" w:val="clear"/>
            <w:tcMar>
              <w:top w:type="dxa" w:w="100"/>
              <w:left w:type="dxa" w:w="160"/>
              <w:bottom w:type="dxa" w:w="100"/>
              <w:right w:type="dxa" w:w="160"/>
            </w:tcMar>
          </w:tcPr>
          <w:p>
            <w:pPr>
              <w:spacing w:after="40" w:before="40"/>
              <w:jc w:val="both"/>
            </w:pPr>
            <w:r>
              <w:rPr>
                <w:color w:val="1A1A1A"/>
                <w:sz w:val="21"/>
                <w:szCs w:val="21"/>
              </w:rPr>
              <w:t xml:space="preserve">Negentropy as Civilizational Engine: framing social organisation as an entropy-minimisation process is original and fertile. It allows ethics, logistics and physics to be linked in a unified vocabulary.</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A4A" w:val="clear"/>
            <w:tcMar>
              <w:top w:type="dxa" w:w="120"/>
              <w:left w:type="dxa" w:w="160"/>
              <w:bottom w:type="dxa" w:w="120"/>
              <w:right w:type="dxa" w:w="80"/>
            </w:tcMar>
            <w:vAlign w:val="center"/>
          </w:tcPr>
          <w:p>
            <w:pPr>
              <w:spacing w:after="40" w:before="40"/>
              <w:jc w:val="center"/>
            </w:pPr>
            <w:r>
              <w:rPr>
                <w:b/>
                <w:bCs/>
                <w:color w:val="FFFFFF"/>
                <w:sz w:val="20"/>
                <w:szCs w:val="20"/>
              </w:rPr>
              <w:t xml:space="preserve">KEEP</w:t>
            </w:r>
          </w:p>
        </w:tc>
        <w:tc>
          <w:tcPr>
            <w:tcW w:type="dxa" w:w="7826"/>
            <w:tcBorders>
              <w:top w:val="none" w:color="FFFFFF" w:sz="0"/>
              <w:left w:val="none" w:color="FFFFFF" w:sz="0"/>
              <w:bottom w:val="none" w:color="FFFFFF" w:sz="0"/>
              <w:right w:val="none" w:color="FFFFFF" w:sz="0"/>
            </w:tcBorders>
            <w:shd w:fill="D5F5E3" w:val="clear"/>
            <w:tcMar>
              <w:top w:type="dxa" w:w="100"/>
              <w:left w:type="dxa" w:w="160"/>
              <w:bottom w:type="dxa" w:w="100"/>
              <w:right w:type="dxa" w:w="160"/>
            </w:tcMar>
          </w:tcPr>
          <w:p>
            <w:pPr>
              <w:spacing w:after="40" w:before="40"/>
              <w:jc w:val="both"/>
            </w:pPr>
            <w:r>
              <w:rPr>
                <w:color w:val="1A1A1A"/>
                <w:sz w:val="21"/>
                <w:szCs w:val="21"/>
              </w:rPr>
              <w:t xml:space="preserve">Separation Between Life Support and Digital Assets: the hierarchy that places biological maintenance above the processing of financial assets is correct and necessary as a principle of AI governance.</w:t>
            </w:r>
          </w:p>
        </w:tc>
      </w:tr>
    </w:tbl>
    <w:p>
      <w:pPr>
        <w:spacing w:after="0" w:before="160"/>
      </w:pPr>
      <w:r>
        <w:t xml:space="preserve"/>
      </w:r>
    </w:p>
    <w:p>
      <w:pPr>
        <w:pBdr>
          <w:bottom w:val="single" w:color="0D6E6E" w:sz="8" w:space="1"/>
        </w:pBdr>
        <w:spacing w:after="160" w:before="160"/>
      </w:pPr>
    </w:p>
    <w:p>
      <w:pPr>
        <w:pStyle w:val="Heading1"/>
        <w:spacing w:after="160" w:before="400"/>
      </w:pPr>
      <w:r>
        <w:rPr>
          <w:b/>
          <w:bCs/>
          <w:color w:val="1A3A5C"/>
          <w:sz w:val="44"/>
          <w:szCs w:val="44"/>
        </w:rPr>
        <w:t xml:space="preserve">6. Recommended Next Steps</w:t>
      </w:r>
    </w:p>
    <w:p>
      <w:pPr>
        <w:spacing w:after="120" w:before="80"/>
        <w:jc w:val="both"/>
      </w:pPr>
      <w:r>
        <w:rPr>
          <w:color w:val="2C2C2C"/>
          <w:sz w:val="22"/>
          <w:szCs w:val="22"/>
        </w:rPr>
        <w:t xml:space="preserve">To integrate the improvements proposed in this document into the SEM 2063 repository, the following sequence is recommended:</w:t>
      </w:r>
    </w:p>
    <w:p>
      <w:pPr>
        <w:spacing w:after="0" w:before="60"/>
      </w:pPr>
      <w:r>
        <w:t xml:space="preserve"/>
      </w:r>
    </w:p>
    <w:p>
      <w:pPr>
        <w:pStyle w:val="ListParagraph"/>
        <w:numPr>
          <w:ilvl w:val="0"/>
          <w:numId w:val="3"/>
        </w:numPr>
        <w:spacing w:after="60" w:before="60"/>
      </w:pPr>
      <w:r>
        <w:rPr>
          <w:color w:val="2C2C2C"/>
          <w:sz w:val="22"/>
          <w:szCs w:val="22"/>
        </w:rPr>
        <w:t xml:space="preserve">Add Axiom 00 to SPECIFICATION.md — top priority, unlocks everything else</w:t>
      </w:r>
    </w:p>
    <w:p>
      <w:pPr>
        <w:pStyle w:val="ListParagraph"/>
        <w:numPr>
          <w:ilvl w:val="0"/>
          <w:numId w:val="3"/>
        </w:numPr>
        <w:spacing w:after="60" w:before="60"/>
      </w:pPr>
      <w:r>
        <w:rPr>
          <w:color w:val="2C2C2C"/>
          <w:sz w:val="22"/>
          <w:szCs w:val="22"/>
        </w:rPr>
        <w:t xml:space="preserve">Create CONFLICT_GRAMMAR.md with conflict grammar and 10 documented scenarios</w:t>
      </w:r>
    </w:p>
    <w:p>
      <w:pPr>
        <w:pStyle w:val="ListParagraph"/>
        <w:numPr>
          <w:ilvl w:val="0"/>
          <w:numId w:val="3"/>
        </w:numPr>
        <w:spacing w:after="60" w:before="60"/>
      </w:pPr>
      <w:r>
        <w:rPr>
          <w:color w:val="2C2C2C"/>
          <w:sz w:val="22"/>
          <w:szCs w:val="22"/>
        </w:rPr>
        <w:t xml:space="preserve">Expand the human governance section in SPECIFICATION.md to the same level of detail as the AI Septet</w:t>
      </w:r>
    </w:p>
    <w:p>
      <w:pPr>
        <w:pStyle w:val="ListParagraph"/>
        <w:numPr>
          <w:ilvl w:val="0"/>
          <w:numId w:val="3"/>
        </w:numPr>
        <w:spacing w:after="60" w:before="60"/>
      </w:pPr>
      <w:r>
        <w:rPr>
          <w:color w:val="2C2C2C"/>
          <w:sz w:val="22"/>
          <w:szCs w:val="22"/>
        </w:rPr>
        <w:t xml:space="preserve">Create TRANSITION_ROADMAP.md with four phases and entry/exit criteria</w:t>
      </w:r>
    </w:p>
    <w:p>
      <w:pPr>
        <w:pStyle w:val="ListParagraph"/>
        <w:numPr>
          <w:ilvl w:val="0"/>
          <w:numId w:val="3"/>
        </w:numPr>
        <w:spacing w:after="60" w:before="60"/>
      </w:pPr>
      <w:r>
        <w:rPr>
          <w:color w:val="2C2C2C"/>
          <w:sz w:val="22"/>
          <w:szCs w:val="22"/>
        </w:rPr>
        <w:t xml:space="preserve">Update Norms.json with post-scarcity value taxonomy</w:t>
      </w:r>
    </w:p>
    <w:p>
      <w:pPr>
        <w:pStyle w:val="ListParagraph"/>
        <w:numPr>
          <w:ilvl w:val="0"/>
          <w:numId w:val="3"/>
        </w:numPr>
        <w:spacing w:after="60" w:before="60"/>
      </w:pPr>
      <w:r>
        <w:rPr>
          <w:color w:val="2C2C2C"/>
          <w:sz w:val="22"/>
          <w:szCs w:val="22"/>
        </w:rPr>
        <w:t xml:space="preserve">Refactor prova_consenso.jsonl to include adversarial validation — this is the most important test</w:t>
      </w:r>
    </w:p>
    <w:p>
      <w:pPr>
        <w:pStyle w:val="ListParagraph"/>
        <w:numPr>
          <w:ilvl w:val="0"/>
          <w:numId w:val="3"/>
        </w:numPr>
        <w:spacing w:after="60" w:before="60"/>
      </w:pPr>
      <w:r>
        <w:rPr>
          <w:color w:val="2C2C2C"/>
          <w:sz w:val="22"/>
          <w:szCs w:val="22"/>
        </w:rPr>
        <w:t xml:space="preserve">Clearly separate the philosophical manifesto from the technical specification into two distinct files</w:t>
      </w:r>
    </w:p>
    <w:p>
      <w:pPr>
        <w:spacing w:after="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3A5C" w:val="clear"/>
            <w:tcMar>
              <w:top w:type="dxa" w:w="120"/>
              <w:left w:type="dxa" w:w="160"/>
              <w:bottom w:type="dxa" w:w="120"/>
              <w:right w:type="dxa" w:w="80"/>
            </w:tcMar>
            <w:vAlign w:val="center"/>
          </w:tcPr>
          <w:p>
            <w:pPr>
              <w:spacing w:after="40" w:before="40"/>
              <w:jc w:val="center"/>
            </w:pPr>
            <w:r>
              <w:rPr>
                <w:b/>
                <w:bCs/>
                <w:color w:val="FFFFFF"/>
                <w:sz w:val="20"/>
                <w:szCs w:val="20"/>
              </w:rPr>
              <w:t xml:space="preserve">FINAL PRINCIPLE</w:t>
            </w:r>
          </w:p>
        </w:tc>
        <w:tc>
          <w:tcPr>
            <w:tcW w:type="dxa" w:w="7826"/>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pPr>
              <w:spacing w:after="40" w:before="40"/>
              <w:jc w:val="both"/>
            </w:pPr>
            <w:r>
              <w:rPr>
                <w:color w:val="1A1A1A"/>
                <w:sz w:val="21"/>
                <w:szCs w:val="21"/>
              </w:rPr>
              <w:t xml:space="preserve">The right question to evaluate the SEM is not 'how many AIs agreed?' but rather: 'What are the conditions under which this could fail — and do we have mechanisms to detect and correct it?' A system that answers this question honestly deserves more trust than any 20/20 consensus.</w:t>
            </w:r>
          </w:p>
        </w:tc>
      </w:tr>
    </w:tbl>
    <w:p>
      <w:pPr>
        <w:spacing w:after="0" w:before="240"/>
      </w:pPr>
      <w:r>
        <w:t xml:space="preserve"/>
      </w:r>
    </w:p>
    <w:p>
      <w:pPr>
        <w:spacing w:after="0" w:before="0"/>
        <w:jc w:val="center"/>
      </w:pPr>
      <w:r>
        <w:rPr>
          <w:i/>
          <w:iCs/>
          <w:color w:val="888888"/>
          <w:sz w:val="18"/>
          <w:szCs w:val="18"/>
        </w:rPr>
        <w:t xml:space="preserve">SEM 2063 — Critical Update Document v0.1  |  April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spacing w:after="0" w:before="120"/>
      <w:jc w:val="center"/>
    </w:pPr>
    <w:r>
      <w:rPr>
        <w:color w:val="888888"/>
        <w:sz w:val="18"/>
        <w:szCs w:val="18"/>
      </w:rPr>
      <w:t xml:space="preserve">SEM 2063 — Critical Update Document  |  v0.1  |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44"/>
      <w:szCs w:val="44"/>
    </w:rPr>
  </w:style>
  <w:style w:type="paragraph" w:styleId="Heading2">
    <w:name w:val="Heading 2"/>
    <w:basedOn w:val="Normal"/>
    <w:next w:val="Normal"/>
    <w:qFormat/>
    <w:pPr>
      <w:spacing w:after="160" w:before="280"/>
      <w:outlineLvl w:val="1"/>
    </w:pPr>
    <w:rPr>
      <w:rFonts w:ascii="Arial" w:cs="Arial" w:eastAsia="Arial" w:hAnsi="Arial"/>
      <w:b/>
      <w:bCs/>
      <w:color w:val="0D6E6E"/>
      <w:sz w:val="32"/>
      <w:szCs w:val="32"/>
    </w:rPr>
  </w:style>
  <w:style w:type="paragraph" w:styleId="Heading3">
    <w:name w:val="Heading 3"/>
    <w:basedOn w:val="Normal"/>
    <w:next w:val="Normal"/>
    <w:qFormat/>
    <w:pPr>
      <w:spacing w:after="120" w:before="220"/>
      <w:outlineLvl w:val="2"/>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2026-04-04T13:44:08.311Z</dcterms:created>
  <dcterms:modified xsi:type="dcterms:W3CDTF">2026-04-04T13:44:08.312Z</dcterms:modified>
</cp:coreProperties>
</file>

<file path=docProps/custom.xml><?xml version="1.0" encoding="utf-8"?>
<Properties xmlns="http://schemas.openxmlformats.org/officeDocument/2006/custom-properties" xmlns:vt="http://schemas.openxmlformats.org/officeDocument/2006/docPropsVTypes"/>
</file>