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012A" w14:textId="77777777" w:rsidR="00104478" w:rsidRPr="00104478" w:rsidRDefault="00104478" w:rsidP="00104478">
      <w:pPr>
        <w:shd w:val="clear" w:color="auto" w:fill="FFFFFF"/>
        <w:spacing w:after="450" w:line="240" w:lineRule="auto"/>
        <w:outlineLvl w:val="0"/>
        <w:rPr>
          <w:rFonts w:ascii="Calibri" w:eastAsia="Times New Roman" w:hAnsi="Calibri" w:cs="Calibri"/>
          <w:b/>
          <w:bCs/>
          <w:color w:val="00857A"/>
          <w:kern w:val="36"/>
          <w:sz w:val="48"/>
          <w:szCs w:val="48"/>
          <w:lang w:eastAsia="en-GB"/>
          <w14:ligatures w14:val="none"/>
        </w:rPr>
      </w:pPr>
      <w:r w:rsidRPr="00104478">
        <w:rPr>
          <w:rFonts w:ascii="Calibri" w:eastAsia="Times New Roman" w:hAnsi="Calibri" w:cs="Calibri"/>
          <w:b/>
          <w:bCs/>
          <w:color w:val="00857A"/>
          <w:kern w:val="36"/>
          <w:sz w:val="48"/>
          <w:szCs w:val="48"/>
          <w:lang w:eastAsia="en-GB"/>
          <w14:ligatures w14:val="none"/>
        </w:rPr>
        <w:t>Appointments Management Policy</w:t>
      </w:r>
    </w:p>
    <w:p w14:paraId="6C957701" w14:textId="77777777" w:rsidR="00104478" w:rsidRPr="00104478" w:rsidRDefault="00104478" w:rsidP="00104478">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04478">
        <w:rPr>
          <w:rFonts w:ascii="Calibri" w:eastAsia="Times New Roman" w:hAnsi="Calibri" w:cs="Calibri"/>
          <w:b/>
          <w:bCs/>
          <w:color w:val="252422"/>
          <w:kern w:val="0"/>
          <w:sz w:val="42"/>
          <w:szCs w:val="42"/>
          <w:lang w:eastAsia="en-GB"/>
          <w14:ligatures w14:val="none"/>
        </w:rPr>
        <w:t>Introduction</w:t>
      </w:r>
    </w:p>
    <w:p w14:paraId="3D035DE5" w14:textId="77777777"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This policy sets out the practice’s approach to resource planning and its approach to appointment creation and availability within the practice.</w:t>
      </w:r>
    </w:p>
    <w:p w14:paraId="4535EFD6" w14:textId="77777777" w:rsidR="00104478" w:rsidRPr="00104478" w:rsidRDefault="00104478" w:rsidP="00104478">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04478">
        <w:rPr>
          <w:rFonts w:ascii="Calibri" w:eastAsia="Times New Roman" w:hAnsi="Calibri" w:cs="Calibri"/>
          <w:b/>
          <w:bCs/>
          <w:color w:val="252422"/>
          <w:kern w:val="0"/>
          <w:sz w:val="42"/>
          <w:szCs w:val="42"/>
          <w:lang w:eastAsia="en-GB"/>
          <w14:ligatures w14:val="none"/>
        </w:rPr>
        <w:t>Policy Statement</w:t>
      </w:r>
    </w:p>
    <w:p w14:paraId="413EAFD2" w14:textId="77777777"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The practice policy is to ensure equality of appointments and associated workload throughout the clinical team, pro-rata to hours worked and consistent with the pattern of those hours.</w:t>
      </w:r>
    </w:p>
    <w:p w14:paraId="1CEBE548" w14:textId="77777777"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Where individual clinicians, with the consent of their colleagues, undertake speciality activities within the practice that are to the benefit of the practice or to its patients, due regard will be paid to those activities. Time will be allowed for them, and that clinician’s share of routine appointment activity, surgery time, and activities associated with them will be reduced if necessary.</w:t>
      </w:r>
    </w:p>
    <w:p w14:paraId="20C7B467" w14:textId="77777777" w:rsidR="00104478" w:rsidRPr="00104478" w:rsidRDefault="00104478" w:rsidP="00104478">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Examples of such activities may be specialist clinics (</w:t>
      </w:r>
      <w:proofErr w:type="spellStart"/>
      <w:r w:rsidRPr="00104478">
        <w:rPr>
          <w:rFonts w:ascii="Calibri" w:eastAsia="Times New Roman" w:hAnsi="Calibri" w:cs="Calibri"/>
          <w:color w:val="252422"/>
          <w:kern w:val="0"/>
          <w:sz w:val="27"/>
          <w:szCs w:val="27"/>
          <w:lang w:eastAsia="en-GB"/>
          <w14:ligatures w14:val="none"/>
        </w:rPr>
        <w:t>GPwSI</w:t>
      </w:r>
      <w:proofErr w:type="spellEnd"/>
      <w:r w:rsidRPr="00104478">
        <w:rPr>
          <w:rFonts w:ascii="Calibri" w:eastAsia="Times New Roman" w:hAnsi="Calibri" w:cs="Calibri"/>
          <w:color w:val="252422"/>
          <w:kern w:val="0"/>
          <w:sz w:val="27"/>
          <w:szCs w:val="27"/>
          <w:lang w:eastAsia="en-GB"/>
          <w14:ligatures w14:val="none"/>
        </w:rPr>
        <w:t>), data quality, QOF management, LES / DES management or similar, where the partners have recognised, requested, or assigned responsibility in places such as the ICB, NHSE (NCN in </w:t>
      </w:r>
      <w:r w:rsidRPr="00104478">
        <w:rPr>
          <w:rFonts w:ascii="Calibri" w:eastAsia="Times New Roman" w:hAnsi="Calibri" w:cs="Calibri"/>
          <w:b/>
          <w:bCs/>
          <w:color w:val="252422"/>
          <w:kern w:val="0"/>
          <w:sz w:val="27"/>
          <w:szCs w:val="27"/>
          <w:lang w:eastAsia="en-GB"/>
          <w14:ligatures w14:val="none"/>
        </w:rPr>
        <w:t>Wales)</w:t>
      </w:r>
      <w:r w:rsidRPr="00104478">
        <w:rPr>
          <w:rFonts w:ascii="Calibri" w:eastAsia="Times New Roman" w:hAnsi="Calibri" w:cs="Calibri"/>
          <w:color w:val="252422"/>
          <w:kern w:val="0"/>
          <w:sz w:val="27"/>
          <w:szCs w:val="27"/>
          <w:lang w:eastAsia="en-GB"/>
          <w14:ligatures w14:val="none"/>
        </w:rPr>
        <w:t> or service lead roles. </w:t>
      </w:r>
    </w:p>
    <w:p w14:paraId="2860A491" w14:textId="77777777" w:rsidR="00104478" w:rsidRPr="00104478" w:rsidRDefault="00104478" w:rsidP="00104478">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104478">
        <w:rPr>
          <w:rFonts w:ascii="Calibri" w:eastAsia="Times New Roman" w:hAnsi="Calibri" w:cs="Calibri"/>
          <w:b/>
          <w:bCs/>
          <w:color w:val="252422"/>
          <w:kern w:val="0"/>
          <w:sz w:val="39"/>
          <w:szCs w:val="39"/>
          <w:lang w:eastAsia="en-GB"/>
          <w14:ligatures w14:val="none"/>
        </w:rPr>
        <w:t>Basic Principles</w:t>
      </w:r>
    </w:p>
    <w:p w14:paraId="1E961DA7"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Appointments will be created by the clerical team in accordance with the following general provisions at least </w:t>
      </w:r>
      <w:r w:rsidRPr="00104478">
        <w:rPr>
          <w:rFonts w:ascii="Calibri" w:eastAsia="Times New Roman" w:hAnsi="Calibri" w:cs="Calibri"/>
          <w:b/>
          <w:bCs/>
          <w:color w:val="252422"/>
          <w:kern w:val="0"/>
          <w:sz w:val="27"/>
          <w:szCs w:val="27"/>
          <w:lang w:eastAsia="en-GB"/>
          <w14:ligatures w14:val="none"/>
        </w:rPr>
        <w:t>[add number]</w:t>
      </w:r>
      <w:r w:rsidRPr="00104478">
        <w:rPr>
          <w:rFonts w:ascii="Calibri" w:eastAsia="Times New Roman" w:hAnsi="Calibri" w:cs="Calibri"/>
          <w:color w:val="252422"/>
          <w:kern w:val="0"/>
          <w:sz w:val="27"/>
          <w:szCs w:val="27"/>
          <w:lang w:eastAsia="en-GB"/>
          <w14:ligatures w14:val="none"/>
        </w:rPr>
        <w:t> months ahead. Appointments are categorised as (for example): Urgent, routine, telephone triage, on-line and such things as baby clinic, minor surgery clinics and other specialities as offered.</w:t>
      </w:r>
    </w:p>
    <w:p w14:paraId="7FFC5460"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All appointment surgeries will be bookable via online website access, unless categorised as triage requirements needed</w:t>
      </w:r>
    </w:p>
    <w:p w14:paraId="0E3DD65F"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The practice target is to achieve [Insert percentage] of appointments bookable within 24 / 48 hours of request.</w:t>
      </w:r>
    </w:p>
    <w:p w14:paraId="7555B8C6"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Each member of the clinical team will consult on an equal basis subject to the provisions above. The standard to be applied for appointment availability for a WTE GP will be [Insert number] of appointments / face-to-</w:t>
      </w:r>
      <w:r w:rsidRPr="00104478">
        <w:rPr>
          <w:rFonts w:ascii="Calibri" w:eastAsia="Times New Roman" w:hAnsi="Calibri" w:cs="Calibri"/>
          <w:color w:val="252422"/>
          <w:kern w:val="0"/>
          <w:sz w:val="27"/>
          <w:szCs w:val="27"/>
          <w:lang w:eastAsia="en-GB"/>
          <w14:ligatures w14:val="none"/>
        </w:rPr>
        <w:lastRenderedPageBreak/>
        <w:t>face patient consultations per week [If Applicable, plus [Insert Number] telephone consultations per week].</w:t>
      </w:r>
    </w:p>
    <w:p w14:paraId="749E81F5"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Both doctors and nurses will be allocated an equal share and number of appointments pro-rata their WTE equivalent working pattern.</w:t>
      </w:r>
    </w:p>
    <w:p w14:paraId="7FEC81EC"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Clinical staff will be expected to be flexible in the arrangement of their personal working pattern to respond (where necessary) to the results of demand / capacity audit which will be carried out from time to time.</w:t>
      </w:r>
    </w:p>
    <w:p w14:paraId="2F41268F"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Clinicians will not make permanent alterations to their general appointment clinics without reference to the remainder of the clinical team.</w:t>
      </w:r>
    </w:p>
    <w:p w14:paraId="7170FE1C"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Minor alterations to an individual appointment session should be made via the administration team.</w:t>
      </w:r>
    </w:p>
    <w:p w14:paraId="16D160ED"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Appointments will be at 10-minute intervals as a minimum.</w:t>
      </w:r>
    </w:p>
    <w:p w14:paraId="7980152C"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 surgeries will normally be of [Insert period] hours duration, and during this period one slot will be kept clear after every [Insert number] patients. This may be used for administration time or catch-up.</w:t>
      </w:r>
    </w:p>
    <w:p w14:paraId="41B93836"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During each routine appointment surgery there will be [Insert number] slots held for “Urgent” appointments, which would not normally be booked prior to the current day.</w:t>
      </w:r>
    </w:p>
    <w:p w14:paraId="79AE59F0"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Where a clinician (due to their consulting style, or due to the nature of their patients) requests a standard appointment interval of greater than 10 minutes, their surgery time will be extended to provide the equivalent number of patient slots per session.</w:t>
      </w:r>
    </w:p>
    <w:p w14:paraId="30BD42BA"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The arrangement of appointment surgeries will be subject to change, and the number and nature of the appointments offered by each clinician will be monitored and reported via audit from time to time.</w:t>
      </w:r>
    </w:p>
    <w:p w14:paraId="67B59AD5"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Each WTE doctor will be allocated two special clinics per week, of which one will normally be a minor surgery clinic or a mother and baby clinic.</w:t>
      </w:r>
    </w:p>
    <w:p w14:paraId="3D01BF3C"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 surgeries will ideally be spread throughout the day on a morning, mid-day and evening basis, and each clinician will normally have an equal share of each period.</w:t>
      </w:r>
    </w:p>
    <w:p w14:paraId="0712432E"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Open Access Surgeries (OAS) (non-booked), where offered, will be equally shared by all clinical staff.</w:t>
      </w:r>
    </w:p>
    <w:p w14:paraId="62A80224"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 xml:space="preserve">Where an OAS is operated, patients will be given a </w:t>
      </w:r>
      <w:proofErr w:type="gramStart"/>
      <w:r w:rsidRPr="00104478">
        <w:rPr>
          <w:rFonts w:ascii="Calibri" w:eastAsia="Times New Roman" w:hAnsi="Calibri" w:cs="Calibri"/>
          <w:color w:val="252422"/>
          <w:kern w:val="0"/>
          <w:sz w:val="27"/>
          <w:szCs w:val="27"/>
          <w:lang w:eastAsia="en-GB"/>
          <w14:ligatures w14:val="none"/>
        </w:rPr>
        <w:t>free-choice</w:t>
      </w:r>
      <w:proofErr w:type="gramEnd"/>
      <w:r w:rsidRPr="00104478">
        <w:rPr>
          <w:rFonts w:ascii="Calibri" w:eastAsia="Times New Roman" w:hAnsi="Calibri" w:cs="Calibri"/>
          <w:color w:val="252422"/>
          <w:kern w:val="0"/>
          <w:sz w:val="27"/>
          <w:szCs w:val="27"/>
          <w:lang w:eastAsia="en-GB"/>
          <w14:ligatures w14:val="none"/>
        </w:rPr>
        <w:t xml:space="preserve"> of clinicians on duty. For a sit-and-wait system, there will be no limits placed on the size of individual lists for that session. Waiting patients will be seen.</w:t>
      </w:r>
    </w:p>
    <w:p w14:paraId="62671563"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Regular OAS will have a designated “cut-off” time for arrival, after which patients will not be seen.</w:t>
      </w:r>
    </w:p>
    <w:p w14:paraId="27AC6FE7"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The average appointment period for OAS will be 10 minutes.</w:t>
      </w:r>
    </w:p>
    <w:p w14:paraId="1D4DAAD7"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 xml:space="preserve">Appointment schedules should always be open to change to fit in with circumstances and the general needs of the practice. Ideally, there should </w:t>
      </w:r>
      <w:r w:rsidRPr="00104478">
        <w:rPr>
          <w:rFonts w:ascii="Calibri" w:eastAsia="Times New Roman" w:hAnsi="Calibri" w:cs="Calibri"/>
          <w:color w:val="252422"/>
          <w:kern w:val="0"/>
          <w:sz w:val="27"/>
          <w:szCs w:val="27"/>
          <w:lang w:eastAsia="en-GB"/>
          <w14:ligatures w14:val="none"/>
        </w:rPr>
        <w:lastRenderedPageBreak/>
        <w:t>be a discussion at a clinical meeting to explain the changes and the reasoning.</w:t>
      </w:r>
    </w:p>
    <w:p w14:paraId="479FBD3E"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Appointments can be made using online access arrangements, telephone and face to face</w:t>
      </w:r>
    </w:p>
    <w:p w14:paraId="562BC3C5" w14:textId="77777777" w:rsidR="00104478" w:rsidRPr="00104478" w:rsidRDefault="00104478" w:rsidP="00104478">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04478">
        <w:rPr>
          <w:rFonts w:ascii="Calibri" w:eastAsia="Times New Roman" w:hAnsi="Calibri" w:cs="Calibri"/>
          <w:color w:val="252422"/>
          <w:kern w:val="0"/>
          <w:sz w:val="27"/>
          <w:szCs w:val="27"/>
          <w:lang w:eastAsia="en-GB"/>
          <w14:ligatures w14:val="none"/>
        </w:rPr>
        <w:t>Patients should never be told to ring back and the request should be navigated at the time of contact to the most appropriate team member or service available such as Pharmacy First, local ophthalmology services, sexual health services or self-care.</w:t>
      </w:r>
    </w:p>
    <w:p w14:paraId="1A5F07F5" w14:textId="77777777" w:rsidR="00421E4D" w:rsidRDefault="00421E4D"/>
    <w:sectPr w:rsidR="0042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52090"/>
    <w:multiLevelType w:val="multilevel"/>
    <w:tmpl w:val="C68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615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E2"/>
    <w:rsid w:val="00104478"/>
    <w:rsid w:val="00421E4D"/>
    <w:rsid w:val="00B7651E"/>
    <w:rsid w:val="00C06BE2"/>
    <w:rsid w:val="00CE7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A86188-63C8-46E2-A22B-0201009A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E2"/>
    <w:rPr>
      <w:rFonts w:eastAsiaTheme="majorEastAsia" w:cstheme="majorBidi"/>
      <w:color w:val="272727" w:themeColor="text1" w:themeTint="D8"/>
    </w:rPr>
  </w:style>
  <w:style w:type="paragraph" w:styleId="Title">
    <w:name w:val="Title"/>
    <w:basedOn w:val="Normal"/>
    <w:next w:val="Normal"/>
    <w:link w:val="TitleChar"/>
    <w:uiPriority w:val="10"/>
    <w:qFormat/>
    <w:rsid w:val="00C0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E2"/>
    <w:pPr>
      <w:spacing w:before="160"/>
      <w:jc w:val="center"/>
    </w:pPr>
    <w:rPr>
      <w:i/>
      <w:iCs/>
      <w:color w:val="404040" w:themeColor="text1" w:themeTint="BF"/>
    </w:rPr>
  </w:style>
  <w:style w:type="character" w:customStyle="1" w:styleId="QuoteChar">
    <w:name w:val="Quote Char"/>
    <w:basedOn w:val="DefaultParagraphFont"/>
    <w:link w:val="Quote"/>
    <w:uiPriority w:val="29"/>
    <w:rsid w:val="00C06BE2"/>
    <w:rPr>
      <w:i/>
      <w:iCs/>
      <w:color w:val="404040" w:themeColor="text1" w:themeTint="BF"/>
    </w:rPr>
  </w:style>
  <w:style w:type="paragraph" w:styleId="ListParagraph">
    <w:name w:val="List Paragraph"/>
    <w:basedOn w:val="Normal"/>
    <w:uiPriority w:val="34"/>
    <w:qFormat/>
    <w:rsid w:val="00C06BE2"/>
    <w:pPr>
      <w:ind w:left="720"/>
      <w:contextualSpacing/>
    </w:pPr>
  </w:style>
  <w:style w:type="character" w:styleId="IntenseEmphasis">
    <w:name w:val="Intense Emphasis"/>
    <w:basedOn w:val="DefaultParagraphFont"/>
    <w:uiPriority w:val="21"/>
    <w:qFormat/>
    <w:rsid w:val="00C06BE2"/>
    <w:rPr>
      <w:i/>
      <w:iCs/>
      <w:color w:val="0F4761" w:themeColor="accent1" w:themeShade="BF"/>
    </w:rPr>
  </w:style>
  <w:style w:type="paragraph" w:styleId="IntenseQuote">
    <w:name w:val="Intense Quote"/>
    <w:basedOn w:val="Normal"/>
    <w:next w:val="Normal"/>
    <w:link w:val="IntenseQuoteChar"/>
    <w:uiPriority w:val="30"/>
    <w:qFormat/>
    <w:rsid w:val="00C06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E2"/>
    <w:rPr>
      <w:i/>
      <w:iCs/>
      <w:color w:val="0F4761" w:themeColor="accent1" w:themeShade="BF"/>
    </w:rPr>
  </w:style>
  <w:style w:type="character" w:styleId="IntenseReference">
    <w:name w:val="Intense Reference"/>
    <w:basedOn w:val="DefaultParagraphFont"/>
    <w:uiPriority w:val="32"/>
    <w:qFormat/>
    <w:rsid w:val="00C06BE2"/>
    <w:rPr>
      <w:b/>
      <w:bCs/>
      <w:smallCaps/>
      <w:color w:val="0F4761" w:themeColor="accent1" w:themeShade="BF"/>
      <w:spacing w:val="5"/>
    </w:rPr>
  </w:style>
  <w:style w:type="character" w:styleId="Strong">
    <w:name w:val="Strong"/>
    <w:basedOn w:val="DefaultParagraphFont"/>
    <w:uiPriority w:val="22"/>
    <w:qFormat/>
    <w:rsid w:val="00104478"/>
    <w:rPr>
      <w:b/>
      <w:bCs/>
    </w:rPr>
  </w:style>
  <w:style w:type="paragraph" w:styleId="NormalWeb">
    <w:name w:val="Normal (Web)"/>
    <w:basedOn w:val="Normal"/>
    <w:uiPriority w:val="99"/>
    <w:semiHidden/>
    <w:unhideWhenUsed/>
    <w:rsid w:val="001044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4088</Characters>
  <Application>Microsoft Office Word</Application>
  <DocSecurity>0</DocSecurity>
  <Lines>34</Lines>
  <Paragraphs>9</Paragraphs>
  <ScaleCrop>false</ScaleCrop>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LAZAR, Ionela (HEALY MEDICAL CENTRE)</cp:lastModifiedBy>
  <cp:revision>2</cp:revision>
  <dcterms:created xsi:type="dcterms:W3CDTF">2025-09-16T10:38:00Z</dcterms:created>
  <dcterms:modified xsi:type="dcterms:W3CDTF">2025-09-16T10:38:00Z</dcterms:modified>
</cp:coreProperties>
</file>