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81AFAC" w14:textId="77777777" w:rsidR="00CA6793" w:rsidRPr="00EB0A2D" w:rsidRDefault="00CA6793" w:rsidP="00CA6793">
      <w:pPr>
        <w:rPr>
          <w:b/>
          <w:sz w:val="28"/>
          <w:szCs w:val="28"/>
        </w:rPr>
      </w:pPr>
      <w:r w:rsidRPr="00EB0A2D">
        <w:rPr>
          <w:b/>
          <w:sz w:val="28"/>
          <w:szCs w:val="28"/>
        </w:rPr>
        <w:t>Staff Guidance on Data Breaches</w:t>
      </w:r>
    </w:p>
    <w:p w14:paraId="47AFE646" w14:textId="77777777" w:rsidR="00E54F46" w:rsidRDefault="00CA6793" w:rsidP="00CA6793">
      <w:pPr>
        <w:rPr>
          <w:sz w:val="24"/>
          <w:szCs w:val="24"/>
        </w:rPr>
      </w:pPr>
      <w:r w:rsidRPr="00CA6793">
        <w:rPr>
          <w:sz w:val="24"/>
          <w:szCs w:val="24"/>
        </w:rPr>
        <w:tab/>
      </w:r>
    </w:p>
    <w:p w14:paraId="36110311" w14:textId="4221DE60" w:rsidR="00CA6793" w:rsidRPr="00CA6793" w:rsidRDefault="00CA6793" w:rsidP="00E54F46">
      <w:pPr>
        <w:ind w:firstLine="720"/>
        <w:rPr>
          <w:b/>
          <w:sz w:val="24"/>
          <w:szCs w:val="24"/>
        </w:rPr>
      </w:pPr>
      <w:r w:rsidRPr="00CA6793">
        <w:rPr>
          <w:b/>
          <w:sz w:val="24"/>
          <w:szCs w:val="24"/>
        </w:rPr>
        <w:t>What is a data breach</w:t>
      </w:r>
      <w:r w:rsidR="00A10515">
        <w:rPr>
          <w:b/>
          <w:sz w:val="24"/>
          <w:szCs w:val="24"/>
        </w:rPr>
        <w:t xml:space="preserve"> and a data incident</w:t>
      </w:r>
      <w:r w:rsidRPr="00CA6793">
        <w:rPr>
          <w:b/>
          <w:sz w:val="24"/>
          <w:szCs w:val="24"/>
        </w:rPr>
        <w:t>?</w:t>
      </w:r>
    </w:p>
    <w:p w14:paraId="45AF64AA" w14:textId="3E7AA178" w:rsidR="00CA6793" w:rsidRDefault="00CA6793" w:rsidP="00CA6793">
      <w:pPr>
        <w:rPr>
          <w:sz w:val="24"/>
          <w:szCs w:val="24"/>
        </w:rPr>
      </w:pPr>
      <w:r w:rsidRPr="00CA6793">
        <w:rPr>
          <w:sz w:val="24"/>
          <w:szCs w:val="24"/>
        </w:rPr>
        <w:t xml:space="preserve"> A data breach</w:t>
      </w:r>
      <w:r w:rsidR="00A10515">
        <w:rPr>
          <w:sz w:val="24"/>
          <w:szCs w:val="24"/>
        </w:rPr>
        <w:t xml:space="preserve"> or data incident</w:t>
      </w:r>
      <w:r w:rsidRPr="00CA6793">
        <w:rPr>
          <w:sz w:val="24"/>
          <w:szCs w:val="24"/>
        </w:rPr>
        <w:t xml:space="preserve"> is when the information we hold, create, or share (e.g. care records) is compromised. </w:t>
      </w:r>
      <w:r w:rsidR="00A10515">
        <w:rPr>
          <w:sz w:val="24"/>
          <w:szCs w:val="24"/>
        </w:rPr>
        <w:t xml:space="preserve">A data incident is a minor breach or a near miss. </w:t>
      </w:r>
      <w:r w:rsidRPr="00CA6793">
        <w:rPr>
          <w:sz w:val="24"/>
          <w:szCs w:val="24"/>
        </w:rPr>
        <w:t>This might be in one of 3 ways:</w:t>
      </w:r>
    </w:p>
    <w:p w14:paraId="4B23AA3A" w14:textId="77777777" w:rsidR="00EB0A2D" w:rsidRPr="00CA6793" w:rsidRDefault="00EB0A2D" w:rsidP="00CA6793">
      <w:pPr>
        <w:rPr>
          <w:sz w:val="24"/>
          <w:szCs w:val="24"/>
        </w:rPr>
      </w:pPr>
    </w:p>
    <w:p w14:paraId="74B59E27" w14:textId="77777777" w:rsidR="00CA6793" w:rsidRPr="00CA6793" w:rsidRDefault="00CA6793" w:rsidP="00CA6793">
      <w:pPr>
        <w:rPr>
          <w:b/>
          <w:sz w:val="24"/>
          <w:szCs w:val="24"/>
        </w:rPr>
      </w:pPr>
      <w:r w:rsidRPr="00CA6793">
        <w:rPr>
          <w:sz w:val="24"/>
          <w:szCs w:val="24"/>
        </w:rPr>
        <w:tab/>
      </w:r>
      <w:r w:rsidRPr="00CA6793">
        <w:rPr>
          <w:b/>
          <w:sz w:val="24"/>
          <w:szCs w:val="24"/>
        </w:rPr>
        <w:t xml:space="preserve">Confidentiality </w:t>
      </w:r>
    </w:p>
    <w:p w14:paraId="76813A8C" w14:textId="5747BA28" w:rsidR="00CA6793" w:rsidRDefault="00CA6793" w:rsidP="00CA6793">
      <w:pPr>
        <w:rPr>
          <w:sz w:val="24"/>
          <w:szCs w:val="24"/>
        </w:rPr>
      </w:pPr>
      <w:r w:rsidRPr="00CA6793">
        <w:rPr>
          <w:sz w:val="24"/>
          <w:szCs w:val="24"/>
        </w:rPr>
        <w:t>When a person gains access to information they shouldn’t have. This might be malicious i.e. a hacker, or it might be a simple mistake i.e. sending a fax to the wrong number;</w:t>
      </w:r>
    </w:p>
    <w:p w14:paraId="3246457E" w14:textId="77777777" w:rsidR="00EB0A2D" w:rsidRPr="00CA6793" w:rsidRDefault="00EB0A2D" w:rsidP="00CA6793">
      <w:pPr>
        <w:rPr>
          <w:sz w:val="24"/>
          <w:szCs w:val="24"/>
        </w:rPr>
      </w:pPr>
    </w:p>
    <w:p w14:paraId="56AFFAC7" w14:textId="77777777" w:rsidR="00CA6793" w:rsidRPr="00CA6793" w:rsidRDefault="00CA6793" w:rsidP="00CA6793">
      <w:pPr>
        <w:rPr>
          <w:b/>
          <w:sz w:val="24"/>
          <w:szCs w:val="24"/>
        </w:rPr>
      </w:pPr>
      <w:r w:rsidRPr="00CA6793">
        <w:rPr>
          <w:sz w:val="24"/>
          <w:szCs w:val="24"/>
        </w:rPr>
        <w:tab/>
      </w:r>
      <w:r w:rsidRPr="00CA6793">
        <w:rPr>
          <w:b/>
          <w:sz w:val="24"/>
          <w:szCs w:val="24"/>
        </w:rPr>
        <w:t xml:space="preserve">Integrity </w:t>
      </w:r>
    </w:p>
    <w:p w14:paraId="3834901E" w14:textId="77777777" w:rsidR="00CA6793" w:rsidRDefault="00CA6793" w:rsidP="00CA6793">
      <w:pPr>
        <w:rPr>
          <w:sz w:val="24"/>
          <w:szCs w:val="24"/>
        </w:rPr>
      </w:pPr>
      <w:r w:rsidRPr="00CA6793">
        <w:rPr>
          <w:sz w:val="24"/>
          <w:szCs w:val="24"/>
        </w:rPr>
        <w:t>We need to know that information is accurate and that it was created by the right person. For example, a MAR sheet needs to have been filled out correctly. If there is an error on the sheet – whether on purpose or not – this is a data breach; or</w:t>
      </w:r>
    </w:p>
    <w:p w14:paraId="4CE4C51F" w14:textId="77777777" w:rsidR="00EB0A2D" w:rsidRPr="00CA6793" w:rsidRDefault="00EB0A2D" w:rsidP="00CA6793">
      <w:pPr>
        <w:rPr>
          <w:sz w:val="24"/>
          <w:szCs w:val="24"/>
        </w:rPr>
      </w:pPr>
    </w:p>
    <w:p w14:paraId="538990FC" w14:textId="77777777" w:rsidR="00CA6793" w:rsidRPr="00CA6793" w:rsidRDefault="00CA6793" w:rsidP="00CA6793">
      <w:pPr>
        <w:rPr>
          <w:b/>
          <w:sz w:val="24"/>
          <w:szCs w:val="24"/>
        </w:rPr>
      </w:pPr>
      <w:r w:rsidRPr="00CA6793">
        <w:rPr>
          <w:sz w:val="24"/>
          <w:szCs w:val="24"/>
        </w:rPr>
        <w:tab/>
      </w:r>
      <w:r w:rsidRPr="00CA6793">
        <w:rPr>
          <w:b/>
          <w:sz w:val="24"/>
          <w:szCs w:val="24"/>
        </w:rPr>
        <w:t xml:space="preserve">Availability </w:t>
      </w:r>
    </w:p>
    <w:p w14:paraId="5F8BF554" w14:textId="75BD7130" w:rsidR="00CA6793" w:rsidRDefault="00CA6793" w:rsidP="00CA6793">
      <w:pPr>
        <w:rPr>
          <w:sz w:val="24"/>
          <w:szCs w:val="24"/>
        </w:rPr>
      </w:pPr>
      <w:r w:rsidRPr="00CA6793">
        <w:rPr>
          <w:sz w:val="24"/>
          <w:szCs w:val="24"/>
        </w:rPr>
        <w:t xml:space="preserve">For data to be useful we need to be able to access it. If it isn’t available this is also a breach, e.g. there is a care record which is needed to provide care for someone, this is kept locked in an office, if the keys go missing and no one can access that record then this is a data breach. </w:t>
      </w:r>
    </w:p>
    <w:p w14:paraId="7FAC2469" w14:textId="77777777" w:rsidR="00EB0A2D" w:rsidRDefault="00EB0A2D" w:rsidP="00CA6793">
      <w:pPr>
        <w:rPr>
          <w:sz w:val="24"/>
          <w:szCs w:val="24"/>
        </w:rPr>
      </w:pPr>
    </w:p>
    <w:p w14:paraId="09FDD898" w14:textId="77777777" w:rsidR="00EB0A2D" w:rsidRDefault="00EB0A2D" w:rsidP="00CA6793">
      <w:pPr>
        <w:rPr>
          <w:sz w:val="24"/>
          <w:szCs w:val="24"/>
        </w:rPr>
      </w:pPr>
    </w:p>
    <w:p w14:paraId="6A6AE9DA" w14:textId="77777777" w:rsidR="00EB0A2D" w:rsidRDefault="00EB0A2D" w:rsidP="00CA6793">
      <w:pPr>
        <w:rPr>
          <w:sz w:val="24"/>
          <w:szCs w:val="24"/>
        </w:rPr>
      </w:pPr>
    </w:p>
    <w:p w14:paraId="229A3799" w14:textId="77777777" w:rsidR="00EB0A2D" w:rsidRDefault="00EB0A2D" w:rsidP="00CA6793">
      <w:pPr>
        <w:rPr>
          <w:sz w:val="24"/>
          <w:szCs w:val="24"/>
        </w:rPr>
      </w:pPr>
    </w:p>
    <w:p w14:paraId="347284D6" w14:textId="77777777" w:rsidR="00EB0A2D" w:rsidRDefault="00EB0A2D" w:rsidP="00CA6793">
      <w:pPr>
        <w:rPr>
          <w:sz w:val="24"/>
          <w:szCs w:val="24"/>
        </w:rPr>
      </w:pPr>
    </w:p>
    <w:p w14:paraId="285EC967" w14:textId="77777777" w:rsidR="00EB0A2D" w:rsidRDefault="00EB0A2D" w:rsidP="00CA6793">
      <w:pPr>
        <w:rPr>
          <w:sz w:val="24"/>
          <w:szCs w:val="24"/>
        </w:rPr>
      </w:pPr>
    </w:p>
    <w:p w14:paraId="57614F15" w14:textId="77777777" w:rsidR="00EB0A2D" w:rsidRPr="00CA6793" w:rsidRDefault="00EB0A2D" w:rsidP="00CA6793">
      <w:pPr>
        <w:rPr>
          <w:sz w:val="24"/>
          <w:szCs w:val="24"/>
        </w:rPr>
      </w:pPr>
    </w:p>
    <w:p w14:paraId="174F72EE" w14:textId="77777777" w:rsidR="00CA6793" w:rsidRPr="00CA6793" w:rsidRDefault="00CA6793" w:rsidP="00CA6793">
      <w:pPr>
        <w:rPr>
          <w:b/>
          <w:sz w:val="24"/>
          <w:szCs w:val="24"/>
        </w:rPr>
      </w:pPr>
      <w:r w:rsidRPr="00CA6793">
        <w:rPr>
          <w:b/>
          <w:sz w:val="24"/>
          <w:szCs w:val="24"/>
        </w:rPr>
        <w:tab/>
        <w:t>What should I do if there is a data breach or I think there is a data breach?</w:t>
      </w:r>
    </w:p>
    <w:p w14:paraId="5DF8DF03" w14:textId="77777777" w:rsidR="00CA6793" w:rsidRPr="00CA6793" w:rsidRDefault="00CA6793" w:rsidP="00CA6793">
      <w:pPr>
        <w:rPr>
          <w:sz w:val="24"/>
          <w:szCs w:val="24"/>
        </w:rPr>
      </w:pPr>
      <w:r w:rsidRPr="00CA6793">
        <w:rPr>
          <w:sz w:val="24"/>
          <w:szCs w:val="24"/>
        </w:rPr>
        <w:t xml:space="preserve">It is better to report a breach even if you are not sure that it is one. As with incident reporting, near misses are as important to report as actual incidents. This is how we learn and can hopefully prevent these things happening in the future. </w:t>
      </w:r>
    </w:p>
    <w:p w14:paraId="2F906C07" w14:textId="77777777" w:rsidR="00CA6793" w:rsidRPr="00CA6793" w:rsidRDefault="00CA6793" w:rsidP="00CA6793">
      <w:pPr>
        <w:rPr>
          <w:sz w:val="24"/>
          <w:szCs w:val="24"/>
        </w:rPr>
      </w:pPr>
      <w:r w:rsidRPr="00CA6793">
        <w:rPr>
          <w:sz w:val="24"/>
          <w:szCs w:val="24"/>
        </w:rPr>
        <w:t xml:space="preserve">What to do: </w:t>
      </w:r>
    </w:p>
    <w:p w14:paraId="528D1EA3" w14:textId="77777777" w:rsidR="00CA6793" w:rsidRDefault="00CA6793" w:rsidP="00CA6793">
      <w:pPr>
        <w:pStyle w:val="ListParagraph"/>
        <w:numPr>
          <w:ilvl w:val="0"/>
          <w:numId w:val="1"/>
        </w:numPr>
        <w:rPr>
          <w:sz w:val="24"/>
          <w:szCs w:val="24"/>
        </w:rPr>
      </w:pPr>
      <w:r w:rsidRPr="00CA6793">
        <w:rPr>
          <w:sz w:val="24"/>
          <w:szCs w:val="24"/>
        </w:rPr>
        <w:t>If you believe a crime has been committed, someone has been injured, or an intruder is on site contact the emergency services via 999.</w:t>
      </w:r>
    </w:p>
    <w:p w14:paraId="65E0AF0F" w14:textId="77777777" w:rsidR="00EB0A2D" w:rsidRPr="00CA6793" w:rsidRDefault="00EB0A2D" w:rsidP="00EB0A2D">
      <w:pPr>
        <w:pStyle w:val="ListParagraph"/>
        <w:ind w:left="1080"/>
        <w:rPr>
          <w:sz w:val="24"/>
          <w:szCs w:val="24"/>
        </w:rPr>
      </w:pPr>
    </w:p>
    <w:p w14:paraId="60643749" w14:textId="25179E43" w:rsidR="00CA6793" w:rsidRDefault="00A10515" w:rsidP="00CA6793">
      <w:pPr>
        <w:pStyle w:val="ListParagraph"/>
        <w:numPr>
          <w:ilvl w:val="0"/>
          <w:numId w:val="1"/>
        </w:numPr>
        <w:rPr>
          <w:sz w:val="24"/>
          <w:szCs w:val="24"/>
        </w:rPr>
      </w:pPr>
      <w:r>
        <w:rPr>
          <w:sz w:val="24"/>
          <w:szCs w:val="24"/>
        </w:rPr>
        <w:t>If you have noticed an issue or been involved in a potential or actual data breach or incident you must f</w:t>
      </w:r>
      <w:r w:rsidR="00CA6793" w:rsidRPr="00A10515">
        <w:rPr>
          <w:sz w:val="24"/>
          <w:szCs w:val="24"/>
        </w:rPr>
        <w:t>ill out a Data Security Incident Report</w:t>
      </w:r>
      <w:r>
        <w:rPr>
          <w:sz w:val="24"/>
          <w:szCs w:val="24"/>
        </w:rPr>
        <w:t xml:space="preserve">/Significant </w:t>
      </w:r>
      <w:proofErr w:type="gramStart"/>
      <w:r>
        <w:rPr>
          <w:sz w:val="24"/>
          <w:szCs w:val="24"/>
        </w:rPr>
        <w:t xml:space="preserve">Event </w:t>
      </w:r>
      <w:r w:rsidR="00CA6793" w:rsidRPr="00A10515">
        <w:rPr>
          <w:sz w:val="24"/>
          <w:szCs w:val="24"/>
        </w:rPr>
        <w:t xml:space="preserve"> Form</w:t>
      </w:r>
      <w:proofErr w:type="gramEnd"/>
      <w:r w:rsidR="00CA6793" w:rsidRPr="00A10515">
        <w:rPr>
          <w:sz w:val="24"/>
          <w:szCs w:val="24"/>
        </w:rPr>
        <w:t xml:space="preserve"> immediately</w:t>
      </w:r>
      <w:r>
        <w:rPr>
          <w:sz w:val="24"/>
          <w:szCs w:val="24"/>
        </w:rPr>
        <w:t xml:space="preserve"> and talk to the data security lead as below</w:t>
      </w:r>
      <w:r w:rsidR="00CA6793" w:rsidRPr="00A10515">
        <w:rPr>
          <w:sz w:val="24"/>
          <w:szCs w:val="24"/>
        </w:rPr>
        <w:t xml:space="preserve">. These can be found </w:t>
      </w:r>
      <w:r w:rsidR="00845DCF">
        <w:rPr>
          <w:sz w:val="24"/>
          <w:szCs w:val="24"/>
        </w:rPr>
        <w:t>in reception</w:t>
      </w:r>
      <w:r w:rsidR="00CA6793" w:rsidRPr="00A10515">
        <w:rPr>
          <w:sz w:val="24"/>
          <w:szCs w:val="24"/>
        </w:rPr>
        <w:t xml:space="preserve">. This form should then be handed to the </w:t>
      </w:r>
      <w:r>
        <w:rPr>
          <w:sz w:val="24"/>
          <w:szCs w:val="24"/>
        </w:rPr>
        <w:t xml:space="preserve">Data Protection lead, Senior Information Risk Officer </w:t>
      </w:r>
      <w:r w:rsidRPr="00845DCF">
        <w:rPr>
          <w:b/>
          <w:bCs/>
          <w:sz w:val="24"/>
          <w:szCs w:val="24"/>
        </w:rPr>
        <w:t>(Practice Manager</w:t>
      </w:r>
      <w:r>
        <w:rPr>
          <w:sz w:val="24"/>
          <w:szCs w:val="24"/>
        </w:rPr>
        <w:t>)</w:t>
      </w:r>
      <w:r w:rsidR="00CA6793" w:rsidRPr="00A10515">
        <w:rPr>
          <w:sz w:val="24"/>
          <w:szCs w:val="24"/>
        </w:rPr>
        <w:t xml:space="preserve"> or equivalent job role. </w:t>
      </w:r>
    </w:p>
    <w:p w14:paraId="1FC92352" w14:textId="77777777" w:rsidR="00EB0A2D" w:rsidRPr="00EB0A2D" w:rsidRDefault="00EB0A2D" w:rsidP="00EB0A2D">
      <w:pPr>
        <w:pStyle w:val="ListParagraph"/>
        <w:rPr>
          <w:sz w:val="24"/>
          <w:szCs w:val="24"/>
        </w:rPr>
      </w:pPr>
    </w:p>
    <w:p w14:paraId="77A8BF8B" w14:textId="77777777" w:rsidR="00EB0A2D" w:rsidRPr="00A10515" w:rsidRDefault="00EB0A2D" w:rsidP="00EB0A2D">
      <w:pPr>
        <w:pStyle w:val="ListParagraph"/>
        <w:ind w:left="1080"/>
        <w:rPr>
          <w:sz w:val="24"/>
          <w:szCs w:val="24"/>
        </w:rPr>
      </w:pPr>
    </w:p>
    <w:p w14:paraId="3038BE42" w14:textId="7390728E" w:rsidR="00D93013" w:rsidRDefault="00CA6793" w:rsidP="00CA6793">
      <w:pPr>
        <w:pStyle w:val="ListParagraph"/>
        <w:numPr>
          <w:ilvl w:val="0"/>
          <w:numId w:val="1"/>
        </w:numPr>
      </w:pPr>
      <w:r w:rsidRPr="00A10515">
        <w:rPr>
          <w:sz w:val="24"/>
          <w:szCs w:val="24"/>
        </w:rPr>
        <w:t>If you have identified a potential security breach, inform your line manager or at the earliest op</w:t>
      </w:r>
      <w:r>
        <w:t>portunity.</w:t>
      </w:r>
    </w:p>
    <w:p w14:paraId="7F6B01A3" w14:textId="77777777" w:rsidR="00EB0A2D" w:rsidRDefault="00EB0A2D" w:rsidP="00EB0A2D"/>
    <w:p w14:paraId="4B795DB4" w14:textId="7C84E685" w:rsidR="00A10515" w:rsidRDefault="00A10515" w:rsidP="00A10515">
      <w:r>
        <w:t>Your Data Protection leads will discuss the breach or incident with the practice’s Data Protection Officer to determine its severity. The incident, if serious, will be reported via the Data Security and  Protection toolkit and recorded as Significant Event and be included as part of the practice’s Significant Event process</w:t>
      </w:r>
    </w:p>
    <w:sectPr w:rsidR="00A1051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80409F" w14:textId="77777777" w:rsidR="006F52F6" w:rsidRDefault="006F52F6" w:rsidP="00EB0A2D">
      <w:pPr>
        <w:spacing w:after="0" w:line="240" w:lineRule="auto"/>
      </w:pPr>
      <w:r>
        <w:separator/>
      </w:r>
    </w:p>
  </w:endnote>
  <w:endnote w:type="continuationSeparator" w:id="0">
    <w:p w14:paraId="6918ADFE" w14:textId="77777777" w:rsidR="006F52F6" w:rsidRDefault="006F52F6" w:rsidP="00EB0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6E272E" w14:textId="77777777" w:rsidR="006F52F6" w:rsidRDefault="006F52F6" w:rsidP="00EB0A2D">
      <w:pPr>
        <w:spacing w:after="0" w:line="240" w:lineRule="auto"/>
      </w:pPr>
      <w:r>
        <w:separator/>
      </w:r>
    </w:p>
  </w:footnote>
  <w:footnote w:type="continuationSeparator" w:id="0">
    <w:p w14:paraId="4A6A6524" w14:textId="77777777" w:rsidR="006F52F6" w:rsidRDefault="006F52F6" w:rsidP="00EB0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F8847" w14:textId="13AFE674" w:rsidR="00EB0A2D" w:rsidRDefault="00EB0A2D" w:rsidP="00EB0A2D">
    <w:pPr>
      <w:tabs>
        <w:tab w:val="left" w:pos="1815"/>
        <w:tab w:val="center" w:pos="4989"/>
      </w:tabs>
      <w:rPr>
        <w:b/>
        <w:sz w:val="40"/>
        <w:szCs w:val="40"/>
      </w:rPr>
    </w:pPr>
    <w:r>
      <w:rPr>
        <w:b/>
        <w:sz w:val="40"/>
        <w:szCs w:val="40"/>
      </w:rPr>
      <w:t xml:space="preserve">                             THE RIVERSIDE PRACTICE</w:t>
    </w:r>
  </w:p>
  <w:p w14:paraId="1B3C16DD" w14:textId="77777777" w:rsidR="00EB0A2D" w:rsidRDefault="00EB0A2D" w:rsidP="00EB0A2D">
    <w:pPr>
      <w:jc w:val="center"/>
      <w:rPr>
        <w:sz w:val="24"/>
        <w:szCs w:val="24"/>
      </w:rPr>
    </w:pPr>
  </w:p>
  <w:tbl>
    <w:tblPr>
      <w:tblW w:w="9163" w:type="dxa"/>
      <w:tblInd w:w="1809" w:type="dxa"/>
      <w:tblBorders>
        <w:insideH w:val="single" w:sz="12" w:space="0" w:color="00965E"/>
      </w:tblBorders>
      <w:tblLook w:val="04A0" w:firstRow="1" w:lastRow="0" w:firstColumn="1" w:lastColumn="0" w:noHBand="0" w:noVBand="1"/>
    </w:tblPr>
    <w:tblGrid>
      <w:gridCol w:w="1025"/>
      <w:gridCol w:w="1691"/>
      <w:gridCol w:w="10"/>
      <w:gridCol w:w="3221"/>
      <w:gridCol w:w="3216"/>
    </w:tblGrid>
    <w:tr w:rsidR="00EB0A2D" w14:paraId="718FED3D" w14:textId="77777777" w:rsidTr="00EB0A2D">
      <w:trPr>
        <w:trHeight w:val="412"/>
      </w:trPr>
      <w:tc>
        <w:tcPr>
          <w:tcW w:w="1025" w:type="dxa"/>
          <w:tcBorders>
            <w:top w:val="nil"/>
            <w:left w:val="nil"/>
            <w:bottom w:val="single" w:sz="12" w:space="0" w:color="00965E"/>
            <w:right w:val="nil"/>
          </w:tcBorders>
          <w:vAlign w:val="bottom"/>
          <w:hideMark/>
        </w:tcPr>
        <w:p w14:paraId="6B45D48E" w14:textId="77777777" w:rsidR="00EB0A2D" w:rsidRDefault="00EB0A2D">
          <w:pPr>
            <w:tabs>
              <w:tab w:val="center" w:pos="4513"/>
              <w:tab w:val="right" w:pos="9026"/>
            </w:tabs>
            <w:spacing w:line="256" w:lineRule="auto"/>
            <w:jc w:val="center"/>
            <w:rPr>
              <w:rFonts w:ascii="Calibri" w:eastAsia="Calibri" w:hAnsi="Calibri"/>
              <w:b/>
            </w:rPr>
          </w:pPr>
          <w:r>
            <w:rPr>
              <w:rFonts w:ascii="Calibri" w:eastAsia="Calibri" w:hAnsi="Calibri"/>
              <w:b/>
            </w:rPr>
            <w:t>Version</w:t>
          </w:r>
        </w:p>
      </w:tc>
      <w:tc>
        <w:tcPr>
          <w:tcW w:w="1701" w:type="dxa"/>
          <w:gridSpan w:val="2"/>
          <w:tcBorders>
            <w:top w:val="nil"/>
            <w:left w:val="nil"/>
            <w:bottom w:val="single" w:sz="12" w:space="0" w:color="00965E"/>
            <w:right w:val="nil"/>
          </w:tcBorders>
          <w:vAlign w:val="bottom"/>
          <w:hideMark/>
        </w:tcPr>
        <w:p w14:paraId="70F8353B" w14:textId="77777777" w:rsidR="00EB0A2D" w:rsidRDefault="00EB0A2D">
          <w:pPr>
            <w:tabs>
              <w:tab w:val="center" w:pos="4513"/>
              <w:tab w:val="right" w:pos="9026"/>
            </w:tabs>
            <w:spacing w:line="256" w:lineRule="auto"/>
            <w:jc w:val="center"/>
            <w:rPr>
              <w:rFonts w:ascii="Calibri" w:eastAsia="Calibri" w:hAnsi="Calibri"/>
              <w:b/>
            </w:rPr>
          </w:pPr>
          <w:r>
            <w:rPr>
              <w:rFonts w:ascii="Calibri" w:eastAsia="Calibri" w:hAnsi="Calibri"/>
              <w:b/>
            </w:rPr>
            <w:t>Date Published</w:t>
          </w:r>
        </w:p>
      </w:tc>
      <w:tc>
        <w:tcPr>
          <w:tcW w:w="3221" w:type="dxa"/>
          <w:tcBorders>
            <w:top w:val="nil"/>
            <w:left w:val="nil"/>
            <w:bottom w:val="single" w:sz="12" w:space="0" w:color="00965E"/>
            <w:right w:val="nil"/>
          </w:tcBorders>
          <w:vAlign w:val="bottom"/>
          <w:hideMark/>
        </w:tcPr>
        <w:p w14:paraId="7D1F1D21" w14:textId="77777777" w:rsidR="00EB0A2D" w:rsidRDefault="00EB0A2D">
          <w:pPr>
            <w:tabs>
              <w:tab w:val="center" w:pos="4513"/>
              <w:tab w:val="right" w:pos="9026"/>
            </w:tabs>
            <w:spacing w:line="256" w:lineRule="auto"/>
            <w:jc w:val="center"/>
            <w:rPr>
              <w:rFonts w:ascii="Calibri" w:eastAsia="Calibri" w:hAnsi="Calibri"/>
              <w:b/>
            </w:rPr>
          </w:pPr>
          <w:r>
            <w:rPr>
              <w:rFonts w:ascii="Calibri" w:eastAsia="Calibri" w:hAnsi="Calibri"/>
              <w:b/>
            </w:rPr>
            <w:t>Review Status         Review Date</w:t>
          </w:r>
        </w:p>
      </w:tc>
      <w:tc>
        <w:tcPr>
          <w:tcW w:w="3216" w:type="dxa"/>
          <w:vMerge w:val="restart"/>
        </w:tcPr>
        <w:p w14:paraId="2DAD6F34" w14:textId="77777777" w:rsidR="00EB0A2D" w:rsidRDefault="00EB0A2D">
          <w:pPr>
            <w:tabs>
              <w:tab w:val="center" w:pos="4513"/>
              <w:tab w:val="right" w:pos="9026"/>
            </w:tabs>
            <w:spacing w:line="256" w:lineRule="auto"/>
            <w:jc w:val="center"/>
            <w:rPr>
              <w:rFonts w:ascii="Calibri" w:eastAsia="Calibri" w:hAnsi="Calibri"/>
            </w:rPr>
          </w:pPr>
        </w:p>
      </w:tc>
    </w:tr>
    <w:tr w:rsidR="00EB0A2D" w14:paraId="045D6A60" w14:textId="77777777" w:rsidTr="00EB0A2D">
      <w:trPr>
        <w:trHeight w:val="351"/>
      </w:trPr>
      <w:tc>
        <w:tcPr>
          <w:tcW w:w="1025" w:type="dxa"/>
          <w:tcBorders>
            <w:top w:val="single" w:sz="12" w:space="0" w:color="00965E"/>
            <w:left w:val="nil"/>
            <w:bottom w:val="single" w:sz="12" w:space="0" w:color="00965E"/>
            <w:right w:val="nil"/>
          </w:tcBorders>
          <w:vAlign w:val="center"/>
          <w:hideMark/>
        </w:tcPr>
        <w:p w14:paraId="398D24B6" w14:textId="77777777" w:rsidR="00EB0A2D" w:rsidRDefault="00EB0A2D">
          <w:pPr>
            <w:tabs>
              <w:tab w:val="center" w:pos="4513"/>
              <w:tab w:val="right" w:pos="9026"/>
            </w:tabs>
            <w:spacing w:line="256" w:lineRule="auto"/>
            <w:jc w:val="center"/>
            <w:rPr>
              <w:rFonts w:ascii="Calibri" w:eastAsia="Calibri" w:hAnsi="Calibri"/>
            </w:rPr>
          </w:pPr>
          <w:r>
            <w:rPr>
              <w:rFonts w:ascii="Calibri" w:eastAsia="Calibri" w:hAnsi="Calibri"/>
            </w:rPr>
            <w:t>1.3</w:t>
          </w:r>
        </w:p>
      </w:tc>
      <w:tc>
        <w:tcPr>
          <w:tcW w:w="1691" w:type="dxa"/>
          <w:tcBorders>
            <w:top w:val="single" w:sz="12" w:space="0" w:color="00965E"/>
            <w:left w:val="nil"/>
            <w:bottom w:val="single" w:sz="12" w:space="0" w:color="00965E"/>
            <w:right w:val="nil"/>
          </w:tcBorders>
          <w:vAlign w:val="center"/>
          <w:hideMark/>
        </w:tcPr>
        <w:p w14:paraId="76C63527" w14:textId="77777777" w:rsidR="00EB0A2D" w:rsidRDefault="00EB0A2D">
          <w:pPr>
            <w:tabs>
              <w:tab w:val="center" w:pos="4513"/>
              <w:tab w:val="right" w:pos="9026"/>
            </w:tabs>
            <w:spacing w:line="256" w:lineRule="auto"/>
            <w:jc w:val="center"/>
            <w:rPr>
              <w:rFonts w:ascii="Calibri" w:eastAsia="Calibri" w:hAnsi="Calibri"/>
            </w:rPr>
          </w:pPr>
          <w:r>
            <w:rPr>
              <w:rFonts w:ascii="Calibri" w:eastAsia="Calibri" w:hAnsi="Calibri"/>
            </w:rPr>
            <w:t>February 2019</w:t>
          </w:r>
        </w:p>
      </w:tc>
      <w:tc>
        <w:tcPr>
          <w:tcW w:w="3231" w:type="dxa"/>
          <w:gridSpan w:val="2"/>
          <w:tcBorders>
            <w:top w:val="single" w:sz="12" w:space="0" w:color="00965E"/>
            <w:left w:val="nil"/>
            <w:bottom w:val="single" w:sz="12" w:space="0" w:color="00965E"/>
            <w:right w:val="nil"/>
          </w:tcBorders>
          <w:vAlign w:val="center"/>
          <w:hideMark/>
        </w:tcPr>
        <w:p w14:paraId="241CA323" w14:textId="5C30B922" w:rsidR="00E54F46" w:rsidRDefault="00C431BA" w:rsidP="00E54F46">
          <w:pPr>
            <w:tabs>
              <w:tab w:val="center" w:pos="4513"/>
              <w:tab w:val="right" w:pos="9026"/>
            </w:tabs>
            <w:spacing w:line="256" w:lineRule="auto"/>
            <w:rPr>
              <w:rFonts w:ascii="Calibri" w:eastAsia="Calibri" w:hAnsi="Calibri"/>
            </w:rPr>
          </w:pPr>
          <w:r>
            <w:rPr>
              <w:rFonts w:ascii="Calibri" w:eastAsia="Calibri" w:hAnsi="Calibri"/>
            </w:rPr>
            <w:t>Reviewed unchanged   June 2024</w:t>
          </w:r>
        </w:p>
        <w:p w14:paraId="2CF20D9C" w14:textId="322CE66A" w:rsidR="00EB0A2D" w:rsidRDefault="00C431BA" w:rsidP="00E54F46">
          <w:pPr>
            <w:tabs>
              <w:tab w:val="center" w:pos="4513"/>
              <w:tab w:val="right" w:pos="9026"/>
            </w:tabs>
            <w:spacing w:line="256" w:lineRule="auto"/>
            <w:rPr>
              <w:rFonts w:ascii="Calibri" w:eastAsia="Calibri" w:hAnsi="Calibri"/>
            </w:rPr>
          </w:pPr>
          <w:r>
            <w:rPr>
              <w:rFonts w:ascii="Calibri" w:eastAsia="Calibri" w:hAnsi="Calibri"/>
            </w:rPr>
            <w:t>June 2023</w:t>
          </w:r>
          <w:r w:rsidR="00B67EE0">
            <w:rPr>
              <w:rFonts w:ascii="Calibri" w:eastAsia="Calibri" w:hAnsi="Calibri"/>
            </w:rPr>
            <w:t xml:space="preserve"> </w:t>
          </w:r>
        </w:p>
      </w:tc>
      <w:tc>
        <w:tcPr>
          <w:tcW w:w="0" w:type="auto"/>
          <w:vMerge/>
          <w:vAlign w:val="center"/>
          <w:hideMark/>
        </w:tcPr>
        <w:p w14:paraId="5D00D7A3" w14:textId="77777777" w:rsidR="00EB0A2D" w:rsidRDefault="00EB0A2D">
          <w:pPr>
            <w:spacing w:after="0" w:line="240" w:lineRule="auto"/>
            <w:rPr>
              <w:rFonts w:ascii="Calibri" w:eastAsia="Calibri" w:hAnsi="Calibri"/>
            </w:rPr>
          </w:pPr>
        </w:p>
      </w:tc>
    </w:tr>
  </w:tbl>
  <w:p w14:paraId="0FC66FE2" w14:textId="77777777" w:rsidR="00EB0A2D" w:rsidRDefault="00EB0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97630"/>
    <w:multiLevelType w:val="hybridMultilevel"/>
    <w:tmpl w:val="FFF4C1B6"/>
    <w:lvl w:ilvl="0" w:tplc="E4C4E19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7091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6793"/>
    <w:rsid w:val="001C3273"/>
    <w:rsid w:val="0038188B"/>
    <w:rsid w:val="006F52F6"/>
    <w:rsid w:val="007225D0"/>
    <w:rsid w:val="007C1921"/>
    <w:rsid w:val="00845DCF"/>
    <w:rsid w:val="0088223E"/>
    <w:rsid w:val="008D23C6"/>
    <w:rsid w:val="00A10515"/>
    <w:rsid w:val="00AE6845"/>
    <w:rsid w:val="00B67EE0"/>
    <w:rsid w:val="00B72DBA"/>
    <w:rsid w:val="00C431BA"/>
    <w:rsid w:val="00CA6793"/>
    <w:rsid w:val="00CD05E3"/>
    <w:rsid w:val="00D93013"/>
    <w:rsid w:val="00E54F46"/>
    <w:rsid w:val="00EB0A2D"/>
    <w:rsid w:val="00F43C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5BF7"/>
  <w15:docId w15:val="{CF6B012B-2A81-4081-B241-7913071DC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793"/>
    <w:pPr>
      <w:ind w:left="720"/>
      <w:contextualSpacing/>
    </w:pPr>
  </w:style>
  <w:style w:type="paragraph" w:styleId="BalloonText">
    <w:name w:val="Balloon Text"/>
    <w:basedOn w:val="Normal"/>
    <w:link w:val="BalloonTextChar"/>
    <w:uiPriority w:val="99"/>
    <w:semiHidden/>
    <w:unhideWhenUsed/>
    <w:rsid w:val="00CA67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793"/>
    <w:rPr>
      <w:rFonts w:ascii="Segoe UI" w:hAnsi="Segoe UI" w:cs="Segoe UI"/>
      <w:sz w:val="18"/>
      <w:szCs w:val="18"/>
    </w:rPr>
  </w:style>
  <w:style w:type="paragraph" w:styleId="Header">
    <w:name w:val="header"/>
    <w:basedOn w:val="Normal"/>
    <w:link w:val="HeaderChar"/>
    <w:uiPriority w:val="99"/>
    <w:unhideWhenUsed/>
    <w:rsid w:val="00EB0A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A2D"/>
  </w:style>
  <w:style w:type="paragraph" w:styleId="Footer">
    <w:name w:val="footer"/>
    <w:basedOn w:val="Normal"/>
    <w:link w:val="FooterChar"/>
    <w:uiPriority w:val="99"/>
    <w:unhideWhenUsed/>
    <w:rsid w:val="00EB0A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4709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SNeville</dc:creator>
  <cp:lastModifiedBy>GOEL, Rajiv (THE RIVERSIDE PRACTICE)</cp:lastModifiedBy>
  <cp:revision>8</cp:revision>
  <cp:lastPrinted>2019-02-18T10:40:00Z</cp:lastPrinted>
  <dcterms:created xsi:type="dcterms:W3CDTF">2019-03-05T17:19:00Z</dcterms:created>
  <dcterms:modified xsi:type="dcterms:W3CDTF">2024-07-29T18:06:00Z</dcterms:modified>
</cp:coreProperties>
</file>