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320"/>
        <w:jc w:val="center"/>
      </w:pPr>
      <w:r>
        <w:rPr>
          <w:rFonts w:ascii="Calibri" w:hAnsi="Calibri"/>
          <w:b/>
          <w:i w:val="0"/>
          <w:color w:val="9A7200"/>
          <w:sz w:val="24"/>
        </w:rPr>
        <w:t>BARBER HUB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1B1A17"/>
          <w:sz w:val="54"/>
        </w:rPr>
        <w:t>Relatório Consolidado de</w:t>
        <w:br/>
        <w:t>Implementações, Melhorias e Correções</w:t>
      </w:r>
    </w:p>
    <w:p>
      <w:pPr>
        <w:spacing w:after="600"/>
        <w:jc w:val="center"/>
      </w:pPr>
      <w:r>
        <w:rPr>
          <w:rFonts w:ascii="Calibri" w:hAnsi="Calibri"/>
          <w:b/>
          <w:i w:val="0"/>
          <w:color w:val="58420A"/>
          <w:sz w:val="30"/>
        </w:rPr>
        <w:t>Barber Hub 1.9.3 → 1.10.0</w:t>
      </w:r>
    </w:p>
    <w:p>
      <w:pPr>
        <w:spacing w:after="1440"/>
        <w:jc w:val="center"/>
      </w:pPr>
      <w:r>
        <w:rPr>
          <w:rFonts w:ascii="Calibri" w:hAnsi="Calibri"/>
          <w:b w:val="0"/>
          <w:i/>
          <w:color w:val="6A665E"/>
          <w:sz w:val="21"/>
        </w:rPr>
        <w:t>Consolidação do Planejamento Pós-31  •  Estado verificado em 2 de setembro de 2026</w:t>
      </w:r>
    </w:p>
    <w:p>
      <w:pPr>
        <w:jc w:val="center"/>
      </w:pPr>
      <w:r>
        <w:rPr>
          <w:rFonts w:ascii="Calibri" w:hAnsi="Calibri"/>
          <w:b w:val="0"/>
          <w:i w:val="0"/>
          <w:color w:val="6A665E"/>
          <w:sz w:val="20"/>
        </w:rPr>
        <w:t>Uma plataforma de The Gamers Tech</w:t>
      </w:r>
    </w:p>
    <w:p>
      <w:r>
        <w:br w:type="page"/>
      </w:r>
    </w:p>
    <w:p>
      <w:pPr>
        <w:pStyle w:val="Heading1"/>
        <w:keepNext/>
      </w:pPr>
      <w:r>
        <w:t>1. Resultado executivo</w:t>
      </w:r>
    </w:p>
    <w:p>
      <w:pPr>
        <w:keepLines/>
        <w:spacing w:before="80" w:after="200" w:line="288" w:lineRule="auto"/>
        <w:ind w:left="115" w:right="115"/>
        <w:shd w:fill="FFF8E6"/>
        <w:pBdr>
          <w:top w:val="single" w:sz="8" w:space="6" w:color="58420A"/>
          <w:left w:val="single" w:sz="8" w:space="6" w:color="58420A"/>
          <w:bottom w:val="single" w:sz="8" w:space="6" w:color="58420A"/>
          <w:right w:val="single" w:sz="8" w:space="6" w:color="58420A"/>
        </w:pBdr>
      </w:pPr>
      <w:r>
        <w:rPr>
          <w:rFonts w:ascii="Calibri" w:hAnsi="Calibri"/>
          <w:b/>
          <w:i w:val="0"/>
          <w:color w:val="58420A"/>
          <w:sz w:val="20"/>
        </w:rPr>
        <w:t>ESTADO REAL DA ENTREGA</w:t>
        <w:br/>
      </w:r>
      <w:r>
        <w:rPr>
          <w:rFonts w:ascii="Calibri" w:hAnsi="Calibri"/>
          <w:b w:val="0"/>
          <w:i w:val="0"/>
          <w:color w:val="1B1A17"/>
          <w:sz w:val="20"/>
        </w:rPr>
        <w:t>A implementação da versão 1.10.0 está concluída localmente no repositório atual e a porta de qualidade foi aprovada. A release ainda não está concluída em produção: não houve commit, push, deploy nem aplicação das migrations 29, 30 e 31 no Supabase.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B1A17"/>
          <w:sz w:val="22"/>
        </w:rPr>
        <w:t>A versão consolida o trabalho funcional da 1.9.3 e executa o Planejamento Pós-31 com foco em operação real, mobile, segurança, crescimento local e preparação para usuários finais. A direção visual premium escura, quente e dourada foi preservada; as alterações de CSS corrigem uso e responsividade sem criar outra identidade.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B1A17"/>
          <w:sz w:val="22"/>
        </w:rPr>
        <w:t>O código passou pela verificação automatizada completa no ambiente próprio do projeto. Isso confirma integridade estrutural, regressões conhecidas, sintaxe e regras de domínio, mas não substitui testes com contas reais, aparelhos físicos, e-mail, CAPTCHA, Web Push, políticas RLS e dados de produção.</w:t>
      </w:r>
    </w:p>
    <w:p>
      <w:pPr>
        <w:pStyle w:val="Heading2"/>
        <w:keepNext/>
      </w:pPr>
      <w:r>
        <w:t>1.1 Escopo consolidado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Funcionalidades da 1.9.1 e 1.9.2 consolidadas na 1.9.3 e preservadas pela nova release.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Itens funcionais e técnicos do documento PLANEJAMENTO_POS_31_BARBER_HUB_ATUALIZADO_V2.docx.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Correções mobile, CSS, carregamento, navegação profissional, suporte, administração e comunicação comercial.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Auditoria diferencial de segurança V01–V06 e novas proteções da 1.10.0.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Migrations, testes, arquitetura, documentação, decisão de repositórios e dependências externas.</w:t>
      </w:r>
    </w:p>
    <w:p>
      <w:pPr>
        <w:pStyle w:val="Heading2"/>
        <w:keepNext/>
      </w:pPr>
      <w:r>
        <w:t>1.2 Legenda de status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D3C8"/>
          <w:left w:val="single" w:sz="6" w:space="0" w:color="D8D3C8"/>
          <w:bottom w:val="single" w:sz="6" w:space="0" w:color="D8D3C8"/>
          <w:right w:val="single" w:sz="6" w:space="0" w:color="D8D3C8"/>
          <w:insideH w:val="single" w:sz="6" w:space="0" w:color="D8D3C8"/>
          <w:insideV w:val="single" w:sz="6" w:space="0" w:color="D8D3C8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Status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18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CONCLUÍDO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Código, interface e cobertura de regressão preparados localmente.</w:t>
            </w:r>
          </w:p>
        </w:tc>
      </w:tr>
      <w:tr>
        <w:trPr>
          <w:cantSplit/>
        </w:trPr>
        <w:tc>
          <w:tcPr>
            <w:tcW w:type="dxa" w:w="1800"/>
            <w:shd w:fill="FFF0C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25400"/>
                <w:sz w:val="16"/>
              </w:rPr>
              <w:t>PARCIAL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A base foi implementada, mas parte do escopo exige expansão, homologação real ou serviço externo.</w:t>
            </w:r>
          </w:p>
        </w:tc>
      </w:tr>
      <w:tr>
        <w:trPr>
          <w:cantSplit/>
        </w:trPr>
        <w:tc>
          <w:tcPr>
            <w:tcW w:type="dxa" w:w="1800"/>
            <w:shd w:fill="E7ED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9455D"/>
                <w:sz w:val="16"/>
              </w:rPr>
              <w:t>DECIDIDO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Houve uma decisão arquitetural explícita; não é uma pendência de código.</w:t>
            </w:r>
          </w:p>
        </w:tc>
      </w:tr>
      <w:tr>
        <w:trPr>
          <w:cantSplit/>
        </w:trPr>
        <w:tc>
          <w:tcPr>
            <w:tcW w:type="dxa" w:w="1800"/>
            <w:shd w:fill="F8DE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A2424"/>
                <w:sz w:val="16"/>
              </w:rPr>
              <w:t>PENDENTE EXTERNO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Depende de painel, credenciais, produção, entrevistas ou ambiente que não pode ser concluído apenas no repositório.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keepNext/>
      </w:pPr>
      <w:r>
        <w:t>2. Matriz do Planejamento Pós-31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B1A17"/>
          <w:sz w:val="22"/>
        </w:rPr>
        <w:t>A matriz abaixo confronta o pedido original com o estado efetivamente encontrado no código e na documentação da release.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D3C8"/>
          <w:left w:val="single" w:sz="6" w:space="0" w:color="D8D3C8"/>
          <w:bottom w:val="single" w:sz="6" w:space="0" w:color="D8D3C8"/>
          <w:right w:val="single" w:sz="6" w:space="0" w:color="D8D3C8"/>
          <w:insideH w:val="single" w:sz="6" w:space="0" w:color="D8D3C8"/>
          <w:insideV w:val="single" w:sz="6" w:space="0" w:color="D8D3C8"/>
        </w:tblBorders>
      </w:tblPr>
      <w:tblGrid>
        <w:gridCol w:w="1900"/>
        <w:gridCol w:w="1200"/>
        <w:gridCol w:w="3760"/>
        <w:gridCol w:w="250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Tema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Estado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O que foi entregue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O que ainda falta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Direção do produto</w:t>
            </w:r>
          </w:p>
        </w:tc>
        <w:tc>
          <w:tcPr>
            <w:tcW w:type="dxa" w:w="12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CONCLUÍDO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Operação real, mobile primeiro, linguagem simples, planos por valor e foco inicial em Jacinto orientam a release.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A validação contínua com usuários permanece necessária.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Horários com múltiplos períodos</w:t>
            </w:r>
          </w:p>
        </w:tc>
        <w:tc>
          <w:tcPr>
            <w:tcW w:type="dxa" w:w="12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CONCLUÍDO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Inclusão, edição, remoção, cópia por dia, prevenção de sobreposição, horários noturnos, disponibilidade e status público entre intervalos.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Aplicar migration 29 e testar com dados reais.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Planos por proposta de valor</w:t>
            </w:r>
          </w:p>
        </w:tc>
        <w:tc>
          <w:tcPr>
            <w:tcW w:type="dxa" w:w="1200"/>
            <w:shd w:fill="FFF0C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25400"/>
                <w:sz w:val="16"/>
              </w:rPr>
              <w:t>PARCIAL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Gratuito, Essencial, Profissional e Elite passaram a comunicar problema e benefício; autorização segue no banco/API.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Preço, limites finais e aderência comercial exigem entrevistas.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Mobile como experiência principal</w:t>
            </w:r>
          </w:p>
        </w:tc>
        <w:tc>
          <w:tcPr>
            <w:tcW w:type="dxa" w:w="1200"/>
            <w:shd w:fill="FFF0C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25400"/>
                <w:sz w:val="16"/>
              </w:rPr>
              <w:t>PARCIAL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Dock operacional, Mais por plano, ações rápidas, layouts 320–768 px, menos rolagem lateral e formulários ajustados.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Homologação em aparelhos físicos e internet real ainda é obrigatória.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Atendimento sem agendamento e financeiro</w:t>
            </w:r>
          </w:p>
        </w:tc>
        <w:tc>
          <w:tcPr>
            <w:tcW w:type="dxa" w:w="12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CONCLUÍDO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Registro presencial, telefone, WhatsApp e outros; cliente opcional; serviço avulso; valor, profissional, pagamento, gastos e resultado estimado.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Aplicar migration 29 e validar permissões/planos.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Biblioteca oficial de imagens</w:t>
            </w:r>
          </w:p>
        </w:tc>
        <w:tc>
          <w:tcPr>
            <w:tcW w:type="dxa" w:w="12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CONCLUÍDO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Cinco capas WebP originais organizadas por estilo e opção de escolha no produto.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Ampliar o acervo conforme uso, sem marcas de terceiros.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Mapa e localização</w:t>
            </w:r>
          </w:p>
        </w:tc>
        <w:tc>
          <w:tcPr>
            <w:tcW w:type="dxa" w:w="12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CONCLUÍDO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Cidade, estado, CEP, latitude/longitude, OpenStreetMap, rota no Google Maps e fallback textual.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Validar endereços reais e consentimento de localização.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Jacinto e expansão regional</w:t>
            </w:r>
          </w:p>
        </w:tc>
        <w:tc>
          <w:tcPr>
            <w:tcW w:type="dxa" w:w="1200"/>
            <w:shd w:fill="FFF0C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25400"/>
                <w:sz w:val="16"/>
              </w:rPr>
              <w:t>PARCIAL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Busca por cidade, bairro, estado, raio, distância, Perto de mim, agenda e filtros prepara o piloto local.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Piloto, adesão e expansão regional dependem de operação comercial.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Compatibilidade ampla</w:t>
            </w:r>
          </w:p>
        </w:tc>
        <w:tc>
          <w:tcPr>
            <w:tcW w:type="dxa" w:w="1200"/>
            <w:shd w:fill="FFF0C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25400"/>
                <w:sz w:val="16"/>
              </w:rPr>
              <w:t>PARCIAL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CSS e fluxos previstos para 320, 360, 390, 412, 430 e 768 px; PWA e fallback web preservados.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Não é possível prometer todo celular; faltam aparelhos reais, Safari/iOS e rede lenta.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Entrevistas com barbeiros</w:t>
            </w:r>
          </w:p>
        </w:tc>
        <w:tc>
          <w:tcPr>
            <w:tcW w:type="dxa" w:w="1200"/>
            <w:shd w:fill="F8DE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A2424"/>
                <w:sz w:val="16"/>
              </w:rPr>
              <w:t>PENDENTE EXTERNO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O roteiro de pesquisa foi preservado e as decisões que dependem dele foram identificadas.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Executar entrevistas em Jacinto e registrar evidências.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Paginação e carregamento</w:t>
            </w:r>
          </w:p>
        </w:tc>
        <w:tc>
          <w:tcPr>
            <w:tcW w:type="dxa" w:w="1200"/>
            <w:shd w:fill="FFF0C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25400"/>
                <w:sz w:val="16"/>
              </w:rPr>
              <w:t>PARCIAL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CRM, financeiro, portfólio, avaliações e administração receberam paginação progressiva; buscas relevantes migraram para o servidor.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Reavaliar todas as listas com volume real e índices de produção.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Hashing e autenticação</w:t>
            </w:r>
          </w:p>
        </w:tc>
        <w:tc>
          <w:tcPr>
            <w:tcW w:type="dxa" w:w="12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CONCLUÍDO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Não existe cópia visualizável de senha na aplicação; a credencial pertence ao Supabase Auth e a recuperação usa link seguro.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Confirmar configurações do provedor e proteção contra senhas vazadas.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União dos repositórios</w:t>
            </w:r>
          </w:p>
        </w:tc>
        <w:tc>
          <w:tcPr>
            <w:tcW w:type="dxa" w:w="1200"/>
            <w:shd w:fill="E7ED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9455D"/>
                <w:sz w:val="16"/>
              </w:rPr>
              <w:t>DECIDIDO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Barber Hub web/PWA/API permanece unido; Beauty Hub continua separado. Separação só será revista com deploy/equipe/ciclo independentes.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Nenhuma migração estrutural deve ocorrer perto do lançamento sem sinal concreto.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Identidade Barber + Beauty</w:t>
            </w:r>
          </w:p>
        </w:tc>
        <w:tc>
          <w:tcPr>
            <w:tcW w:type="dxa" w:w="1200"/>
            <w:shd w:fill="FFF0C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25400"/>
                <w:sz w:val="16"/>
              </w:rPr>
              <w:t>PARCIAL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Assinatura The Gamers Tech, nomes, metadados e presença Beauty Hub foram reforçados sem rebranding.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Consistência de marca, SEO e materiais são trabalho contínuo.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Organização do repositório</w:t>
            </w:r>
          </w:p>
        </w:tc>
        <w:tc>
          <w:tcPr>
            <w:tcW w:type="dxa" w:w="1200"/>
            <w:shd w:fill="FFF0C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25400"/>
                <w:sz w:val="16"/>
              </w:rPr>
              <w:t>PARCIAL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Novos domínios foram agrupados em backend/domain, backend/services, js/core, js/features, css/releases, img/library e docs.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A migração completa de arquivos legados foi evitada para não quebrar URLs antes da homologação.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Continuidade após autenticação</w:t>
            </w:r>
          </w:p>
        </w:tc>
        <w:tc>
          <w:tcPr>
            <w:tcW w:type="dxa" w:w="12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CONCLUÍDO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Agendamento preserva contexto por login e cadastro, reabre a revisão e usa destino validado sem dados sensíveis na URL.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Testar confirmação de e-mail e expiração do contexto no ambiente alvo.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Notificações e Web Push</w:t>
            </w:r>
          </w:p>
        </w:tc>
        <w:tc>
          <w:tcPr>
            <w:tcW w:type="dxa" w:w="1200"/>
            <w:shd w:fill="FFF0C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25400"/>
                <w:sz w:val="16"/>
              </w:rPr>
              <w:t>PARCIAL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Preferências, horário silencioso, consentimento, fallback interno, fila push e API foram preparados.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Configurar VAPID e worker autenticado; e-mail/WhatsApp exigem provedor próprio.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Importação inicial</w:t>
            </w:r>
          </w:p>
        </w:tc>
        <w:tc>
          <w:tcPr>
            <w:tcW w:type="dxa" w:w="12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CONCLUÍDO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CSV/XLSX com prévia, normalização, duplicidades, campos inválidos, relatório, hash, limite e proteção contra fórmulas.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Aplicar migration 31 e homologar arquivos reais.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Resiliência de rede</w:t>
            </w:r>
          </w:p>
        </w:tc>
        <w:tc>
          <w:tcPr>
            <w:tcW w:type="dxa" w:w="1200"/>
            <w:shd w:fill="FFF0C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25400"/>
                <w:sz w:val="16"/>
              </w:rPr>
              <w:t>PARCIAL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Estados de conexão, retry seguro de leituras, preservação de formulários, idempotência e cache PWA foram reforçados.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Fila offline ampla de escritas não foi prometida; validar perdas e duplicidade em rede instável.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Auditoria operacional</w:t>
            </w:r>
          </w:p>
        </w:tc>
        <w:tc>
          <w:tcPr>
            <w:tcW w:type="dxa" w:w="12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CONCLUÍDO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Histórico append-only, ator/data, agenda/financeiro, acesso controlado, snapshots sem segredos e anonimização de vínculos excluídos.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Aplicar migration 31 e definir retenção LGPD.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Feature flags</w:t>
            </w:r>
          </w:p>
        </w:tc>
        <w:tc>
          <w:tcPr>
            <w:tcW w:type="dxa" w:w="12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CONCLUÍDO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Kill switch, liberação por estabelecimento/plano/usuário e avaliação por função autorizada.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Aplicar migration 31 e definir grupos do piloto.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Definição de sucesso</w:t>
            </w:r>
          </w:p>
        </w:tc>
        <w:tc>
          <w:tcPr>
            <w:tcW w:type="dxa" w:w="1200"/>
            <w:shd w:fill="FFF0C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25400"/>
                <w:sz w:val="16"/>
              </w:rPr>
              <w:t>PARCIAL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Os fluxos essenciais foram preparados e cobertos por regressão.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O sucesso final depende de piloto real, métricas, aparelhos físicos e aprovação da homologação.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keepNext/>
      </w:pPr>
      <w:r>
        <w:t>3. Funcionalidades consolidadas na 1.9.3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B1A17"/>
          <w:sz w:val="22"/>
        </w:rPr>
        <w:t>A release atual mantém o conjunto originalmente dividido entre 1.9.1 e 1.9.2. Os verificadores confirmaram 32/32 invariantes da 1.9.3.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D3C8"/>
          <w:left w:val="single" w:sz="6" w:space="0" w:color="D8D3C8"/>
          <w:bottom w:val="single" w:sz="6" w:space="0" w:color="D8D3C8"/>
          <w:right w:val="single" w:sz="6" w:space="0" w:color="D8D3C8"/>
          <w:insideH w:val="single" w:sz="6" w:space="0" w:color="D8D3C8"/>
          <w:insideV w:val="single" w:sz="6" w:space="0" w:color="D8D3C8"/>
        </w:tblBorders>
      </w:tblPr>
      <w:tblGrid>
        <w:gridCol w:w="1900"/>
        <w:gridCol w:w="1200"/>
        <w:gridCol w:w="3740"/>
        <w:gridCol w:w="252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Funcionalidade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Estado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Implementação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Dependência/limite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Lista de espera</w:t>
            </w:r>
          </w:p>
        </w:tc>
        <w:tc>
          <w:tcPr>
            <w:tcW w:type="dxa" w:w="12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CONCLUÍDO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Entrada, consulta e regras de período; oportunidades de vaga integradas ao domínio de retenção.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Entrega externa da vaga depende do canal configurado.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Agendamento recorrente</w:t>
            </w:r>
          </w:p>
        </w:tc>
        <w:tc>
          <w:tcPr>
            <w:tcW w:type="dxa" w:w="12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CONCLUÍDO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Recorrência de atendimento com tratamento seguro de fim de mês.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Validar timezone e série real no Supabase.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Fidelidade e recompensas</w:t>
            </w:r>
          </w:p>
        </w:tc>
        <w:tc>
          <w:tcPr>
            <w:tcW w:type="dxa" w:w="12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CONCLUÍDO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Pontos, recompensas, limites e consulta do cliente.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Regras comerciais devem ser configuradas por estabelecimento/plano.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Cupons</w:t>
            </w:r>
          </w:p>
        </w:tc>
        <w:tc>
          <w:tcPr>
            <w:tcW w:type="dxa" w:w="12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CONCLUÍDO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Código, período, regras e limites; validação de descontos no domínio/API.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Testar campanhas e concorrência com dados reais.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Campanhas segmentadas</w:t>
            </w:r>
          </w:p>
        </w:tc>
        <w:tc>
          <w:tcPr>
            <w:tcW w:type="dxa" w:w="12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CONCLUÍDO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Segmentos e ações para novos, recorrentes, inativos e oportunidades de retorno.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Envio externo depende de provedor e consentimento.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Lembretes automáticos</w:t>
            </w:r>
          </w:p>
        </w:tc>
        <w:tc>
          <w:tcPr>
            <w:tcW w:type="dxa" w:w="1200"/>
            <w:shd w:fill="FFF0C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25400"/>
                <w:sz w:val="16"/>
              </w:rPr>
              <w:t>PARCIAL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Fila, cron e notificações internas foram modelados; migration 26 agenda os workers.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E-mail, WhatsApp ou push precisam de credenciais e worker em produção.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Central de Oportunidades</w:t>
            </w:r>
          </w:p>
        </w:tc>
        <w:tc>
          <w:tcPr>
            <w:tcW w:type="dxa" w:w="12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CONCLUÍDO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Itens acionáveis para clientes inativos, ocupação, retorno e avaliações.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Calibrar relevância com dados reais.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Insights</w:t>
            </w:r>
          </w:p>
        </w:tc>
        <w:tc>
          <w:tcPr>
            <w:tcW w:type="dxa" w:w="12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CONCLUÍDO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Ocupação, serviços, horários, retenção e oportunidades calculadas com limites seguros.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Validar interpretação com barbeiros.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Metas</w:t>
            </w:r>
          </w:p>
        </w:tc>
        <w:tc>
          <w:tcPr>
            <w:tcW w:type="dxa" w:w="12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CONCLUÍDO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Metas da empresa/equipe e acompanhamento na área de crescimento.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Definir metas padrão e governança comercial.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Permissões granulares</w:t>
            </w:r>
          </w:p>
        </w:tc>
        <w:tc>
          <w:tcPr>
            <w:tcW w:type="dxa" w:w="12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CONCLUÍDO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Papéis de profissional, recepção, gerente e proprietário, mais substituições individuais quando habilitadas.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Testar RLS com contas separadas após migrations.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t>3.1 Agenda, CRM e financeiro preservados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Agenda diária e semanal, bloqueios, encaixes, confirmação, cancelamento, reagendamento, faltas e agenda individual.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CRM com busca, histórico, preferências, gastos, frequência, profissional preferido, observações e segmentos.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Receita, ticket médio, comissões, fechamento, ajustes, metas e desempenho da equipe.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API e PostgreSQL continuam responsáveis pelas regras de autorização e concorrência; o frontend não decide sozinho.</w:t>
      </w:r>
    </w:p>
    <w:p>
      <w:r>
        <w:br w:type="page"/>
      </w:r>
    </w:p>
    <w:p>
      <w:pPr>
        <w:pStyle w:val="Heading1"/>
        <w:keepNext/>
      </w:pPr>
      <w:r>
        <w:t>4. Implementações da versão 1.10.0</w:t>
      </w:r>
    </w:p>
    <w:p>
      <w:pPr>
        <w:pStyle w:val="Heading2"/>
        <w:keepNext/>
      </w:pPr>
      <w:r>
        <w:t>4.1 Operação e agenda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Múltiplos períodos no mesmo dia, inclusive turnos que terminam após meia-noite.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Cópia de horários para outros dias e validação contra intervalos sobrepostos ou inválidos.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Status Aberto agora coerente antes, durante e entre os períodos de atendimento.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Registro rápido de atendimento presencial, WhatsApp, telefone ou outro canal.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Serviço avulso privado com nome e duração, sem poluir o catálogo público.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Idempotência no PostgreSQL para impedir duplicação de atendimento ou despesa em toque/retry repetido.</w:t>
      </w:r>
    </w:p>
    <w:p>
      <w:pPr>
        <w:pStyle w:val="Heading2"/>
        <w:keepNext/>
      </w:pPr>
      <w:r>
        <w:t>4.2 Financeiro e clientes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Registro de gastos e cálculo de resultado realizado/estimado, sem chamar receita de lucro indevidamente.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Filtros Hoje, Semana, Mês e Personalizado; ticket médio incluído no resumo.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Paginação progressiva dos lançamentos e do CRM.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Busca por nome, telefone e e-mail, incluindo cursor estável para clientes ainda sem visita.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Comissões, ajustes e permissões financeiras continuam aplicados conforme papel e plano.</w:t>
      </w:r>
    </w:p>
    <w:p>
      <w:pPr>
        <w:pStyle w:val="Heading2"/>
        <w:keepNext/>
      </w:pPr>
      <w:r>
        <w:t>4.3 Marketplace e página pública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Filtros por cidade, bairro, estado, raio e distância, além da ação Perto de mim mediante consentimento.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Mapa OpenStreetMap incorporado e botão de rota pelo Google Maps, com fallback de endereço.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Biblioteca oficial com capas classic-warm, contemporary-night, light-airy, modern-clean e premium-dark.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Paginação de portfólio e avaliações e exibição integral dos períodos de funcionamento.</w:t>
      </w:r>
    </w:p>
    <w:p>
      <w:pPr>
        <w:pStyle w:val="Heading2"/>
        <w:keepNext/>
      </w:pPr>
      <w:r>
        <w:t>4.4 Dados, automação e controle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Importação CSV/XLSX segura, com prévia, validação, deduplicação, relatório e proteção contra fórmulas.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Preferências de aviso, horário silencioso, consentimento e fallback interno quando push não estiver disponível.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Fila Web Push pronta para worker autenticado e configurado externamente.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Auditoria operacional append-only e feature flags para piloto, liberação gradual e kill switch.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Painel administrativo com prontidão da release, busca do lado do servidor e carregamento progressivo.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Feedback de conexão, retry seguro em leituras e preservação de formulários após falha temporária.</w:t>
      </w:r>
    </w:p>
    <w:p>
      <w:r>
        <w:br w:type="page"/>
      </w:r>
    </w:p>
    <w:p>
      <w:pPr>
        <w:pStyle w:val="Heading1"/>
        <w:keepNext/>
      </w:pPr>
      <w:r>
        <w:t>5. Correções mobile, CSS e experiência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D3C8"/>
          <w:left w:val="single" w:sz="6" w:space="0" w:color="D8D3C8"/>
          <w:bottom w:val="single" w:sz="6" w:space="0" w:color="D8D3C8"/>
          <w:right w:val="single" w:sz="6" w:space="0" w:color="D8D3C8"/>
          <w:insideH w:val="single" w:sz="6" w:space="0" w:color="D8D3C8"/>
          <w:insideV w:val="single" w:sz="6" w:space="0" w:color="D8D3C8"/>
        </w:tblBorders>
      </w:tblPr>
      <w:tblGrid>
        <w:gridCol w:w="2200"/>
        <w:gridCol w:w="1400"/>
        <w:gridCol w:w="57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Área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Estado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Correção aplicada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Menu Mais profissional</w:t>
            </w:r>
          </w:p>
        </w:tc>
        <w:tc>
          <w:tcPr>
            <w:tcW w:type="dxa" w:w="14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CORRIGIDO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O botão deixa de enviar diretamente para Conta e abre opções permitidas pelo plano/papel.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Cabeçalho recortado</w:t>
            </w:r>
          </w:p>
        </w:tc>
        <w:tc>
          <w:tcPr>
            <w:tcW w:type="dxa" w:w="14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CORRIGIDO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Topo profissional adaptado para nomes, cargo, navegação e larguras pequenas.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Carregamento infinito</w:t>
            </w:r>
          </w:p>
        </w:tc>
        <w:tc>
          <w:tcPr>
            <w:tcW w:type="dxa" w:w="14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CORRIGIDO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Estados de carregamento, erro, vazio e recarga foram reorganizados para que a informação apareça sem depender do botão manual.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Rolagem horizontal</w:t>
            </w:r>
          </w:p>
        </w:tc>
        <w:tc>
          <w:tcPr>
            <w:tcW w:type="dxa" w:w="14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CORRIGIDO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Cards, filtros e painéis foram adaptados para leitura vertical e largura do aparelho.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Status do estabelecimento</w:t>
            </w:r>
          </w:p>
        </w:tc>
        <w:tc>
          <w:tcPr>
            <w:tcW w:type="dxa" w:w="14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CORRIGIDO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Cards Automático, Aberto e Fechado não comprimem palavras nem desorganizam ícones/textos.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Busca de clientes</w:t>
            </w:r>
          </w:p>
        </w:tc>
        <w:tc>
          <w:tcPr>
            <w:tcW w:type="dxa" w:w="14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CORRIGIDO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Busca por nome, telefone e e-mail integrada à paginação, com filtros utilizáveis no mobile.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Senha e recuperação</w:t>
            </w:r>
          </w:p>
        </w:tc>
        <w:tc>
          <w:tcPr>
            <w:tcW w:type="dxa" w:w="14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CORRIGIDO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Requisitos de maiúscula, minúscula, número, caractere especial e tamanho aparecem junto ao campo.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Dock mobile</w:t>
            </w:r>
          </w:p>
        </w:tc>
        <w:tc>
          <w:tcPr>
            <w:tcW w:type="dxa" w:w="14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CORRIGIDO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Painel, Agenda, Clientes, Financeiro e Mais priorizam as tarefas mais frequentes do barbeiro.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Área do cliente</w:t>
            </w:r>
          </w:p>
        </w:tc>
        <w:tc>
          <w:tcPr>
            <w:tcW w:type="dxa" w:w="14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CORRIGIDO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Navegação, modais e espaço do rodapé foram ajustados para evitar controles cobertos.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Suporte</w:t>
            </w:r>
          </w:p>
        </w:tc>
        <w:tc>
          <w:tcPr>
            <w:tcW w:type="dxa" w:w="14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CORRIGIDO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Conteúdo encurtado e orientado à tarefa; no mobile, o formulário só abre quando solicitado.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Termos técnicos expostos</w:t>
            </w:r>
          </w:p>
        </w:tc>
        <w:tc>
          <w:tcPr>
            <w:tcW w:type="dxa" w:w="14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CORRIGIDO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Menções desnecessárias a banco, migration e provedor foram retiradas da comunicação normal.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Beauty Hub</w:t>
            </w:r>
          </w:p>
        </w:tc>
        <w:tc>
          <w:tcPr>
            <w:tcW w:type="dxa" w:w="14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CORRIGIDO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Página recebeu conteúdo e ligação atualizados sem exagerar uma área ainda em desenvolvimento.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Cache/PWA</w:t>
            </w:r>
          </w:p>
        </w:tc>
        <w:tc>
          <w:tcPr>
            <w:tcW w:type="dxa" w:w="14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CORRIGIDO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Cache atualizado para barberhub-v1.10-mobile-r2, reduzindo entrega de interface antiga.</w:t>
            </w:r>
          </w:p>
        </w:tc>
      </w:tr>
    </w:tbl>
    <w:p>
      <w:pPr>
        <w:spacing w:before="80" w:after="80"/>
      </w:pPr>
    </w:p>
    <w:p>
      <w:pPr>
        <w:keepLines/>
        <w:spacing w:before="80" w:after="200" w:line="288" w:lineRule="auto"/>
        <w:ind w:left="115" w:right="115"/>
        <w:shd w:fill="E7EDF3"/>
        <w:pBdr>
          <w:top w:val="single" w:sz="8" w:space="6" w:color="29455D"/>
          <w:left w:val="single" w:sz="8" w:space="6" w:color="29455D"/>
          <w:bottom w:val="single" w:sz="8" w:space="6" w:color="29455D"/>
          <w:right w:val="single" w:sz="8" w:space="6" w:color="29455D"/>
        </w:pBdr>
      </w:pPr>
      <w:r>
        <w:rPr>
          <w:rFonts w:ascii="Calibri" w:hAnsi="Calibri"/>
          <w:b/>
          <w:i w:val="0"/>
          <w:color w:val="29455D"/>
          <w:sz w:val="20"/>
        </w:rPr>
        <w:t>VALIDAÇÃO VISUAL</w:t>
        <w:br/>
      </w:r>
      <w:r>
        <w:rPr>
          <w:rFonts w:ascii="Calibri" w:hAnsi="Calibri"/>
          <w:b w:val="0"/>
          <w:i w:val="0"/>
          <w:color w:val="1B1A17"/>
          <w:sz w:val="20"/>
        </w:rPr>
        <w:t>Os ajustes foram verificados responsivamente no navegador, mas o critério final continua sendo teste em aparelhos físicos Android e iPhone, com teclado aberto, PWA instalada e apenas navegador, zoom e conexão instável.</w:t>
      </w:r>
    </w:p>
    <w:p>
      <w:pPr>
        <w:pStyle w:val="Heading2"/>
        <w:keepNext/>
      </w:pPr>
      <w:r>
        <w:t>5.1 Administração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Busca global paginada de usuários e estabelecimentos executada no servidor.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Paginação de agenda, avaliações, denúncias e suporte para evitar carregamentos sem limite.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Indicadores de prontidão da 1.10.0 e estados claros de carregamento/erro.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Moderação administrativa separada da publicação do proprietário, preservando V01.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Redefinição de acesso envia link seguro; nenhuma tela administrativa visualiza senha atual.</w:t>
      </w:r>
    </w:p>
    <w:p>
      <w:r>
        <w:br w:type="page"/>
      </w:r>
    </w:p>
    <w:p>
      <w:pPr>
        <w:pStyle w:val="Heading1"/>
        <w:keepNext/>
      </w:pPr>
      <w:r>
        <w:t>6. Segurança e privacidade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D3C8"/>
          <w:left w:val="single" w:sz="6" w:space="0" w:color="D8D3C8"/>
          <w:bottom w:val="single" w:sz="6" w:space="0" w:color="D8D3C8"/>
          <w:right w:val="single" w:sz="6" w:space="0" w:color="D8D3C8"/>
          <w:insideH w:val="single" w:sz="6" w:space="0" w:color="D8D3C8"/>
          <w:insideV w:val="single" w:sz="6" w:space="0" w:color="D8D3C8"/>
        </w:tblBorders>
      </w:tblPr>
      <w:tblGrid>
        <w:gridCol w:w="2160"/>
        <w:gridCol w:w="1500"/>
        <w:gridCol w:w="3500"/>
        <w:gridCol w:w="2200"/>
      </w:tblGrid>
      <w:tr>
        <w:trPr>
          <w:tblHeader w:val="true"/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Achado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Estado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Proteção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Dependência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V01 — moderação/visibilidade</w:t>
            </w:r>
          </w:p>
        </w:tc>
        <w:tc>
          <w:tcPr>
            <w:tcW w:type="dxa" w:w="15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CORRIGIDO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Suspensão administrativa separada, RLS pública e bloqueio de republicação.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Testar papéis no ambiente alvo.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V02 — transições de agenda</w:t>
            </w:r>
          </w:p>
        </w:tc>
        <w:tc>
          <w:tcPr>
            <w:tcW w:type="dxa" w:w="15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CORRIGIDO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Máquina de estados no banco; transições inválidas e estados terminais falham fechados.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Aplicar migrations e testar contas reais.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V03 — limites/concorrência</w:t>
            </w:r>
          </w:p>
        </w:tc>
        <w:tc>
          <w:tcPr>
            <w:tcW w:type="dxa" w:w="15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CORRIGIDO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Locks transacionais, entitlements e validação de plano no PostgreSQL.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Configurar planos/assinaturas reais.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V04 — curtidas/contadores</w:t>
            </w:r>
          </w:p>
        </w:tc>
        <w:tc>
          <w:tcPr>
            <w:tcW w:type="dxa" w:w="15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CORRIGIDO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Contador derivado, escrita direta bloqueada e reparo de dados legados.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Observar integridade após migration.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V05 — rate limit</w:t>
            </w:r>
          </w:p>
        </w:tc>
        <w:tc>
          <w:tcPr>
            <w:tcW w:type="dxa" w:w="1500"/>
            <w:shd w:fill="DCEF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5B36"/>
                <w:sz w:val="16"/>
              </w:rPr>
              <w:t>CORRIGIDO NO CÓDIGO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Escopos por rota e identidade autenticada, incluindo rotas administrativas e posteriores à auditoria.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Múltiplas instâncias exigem armazenamento distribuído.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V06 — CAPTCHA/configuração</w:t>
            </w:r>
          </w:p>
        </w:tc>
        <w:tc>
          <w:tcPr>
            <w:tcW w:type="dxa" w:w="1500"/>
            <w:shd w:fill="FFF0C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725400"/>
                <w:sz w:val="16"/>
              </w:rPr>
              <w:t>PARCIAL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Chave pública obtida com segurança; segredo não aparece no frontend; API preparada.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Ativar Turnstile/CAPTCHA no Auth e no deploy.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t>6.1 Proteções adicionais da 1.10.0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RLS em todas as novas tabelas e revogação de execução anônima em RPCs sensíveis.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Funções SECURITY DEFINER com search_path vazio e schemas explicitados.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Limites máximos e paginação para reduzir consultas sem fronteira.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Auditoria sem senhas, tokens ou segredos nos snapshots.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Importação limitada, deduplicada, rejeitando fórmulas e reexecuções inseguras.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Localização somente após autorização do navegador.</w:t>
      </w:r>
    </w:p>
    <w:p>
      <w:pPr>
        <w:pStyle w:val="Heading2"/>
        <w:keepNext/>
      </w:pPr>
      <w:r>
        <w:t>6.2 Senhas: decisão correta</w:t>
      </w:r>
    </w:p>
    <w:p>
      <w:pPr>
        <w:keepLines/>
        <w:spacing w:before="80" w:after="200" w:line="288" w:lineRule="auto"/>
        <w:ind w:left="115" w:right="115"/>
        <w:shd w:fill="F8DEDE"/>
        <w:pBdr>
          <w:top w:val="single" w:sz="8" w:space="6" w:color="8A2424"/>
          <w:left w:val="single" w:sz="8" w:space="6" w:color="8A2424"/>
          <w:bottom w:val="single" w:sz="8" w:space="6" w:color="8A2424"/>
          <w:right w:val="single" w:sz="8" w:space="6" w:color="8A2424"/>
        </w:pBdr>
      </w:pPr>
      <w:r>
        <w:rPr>
          <w:rFonts w:ascii="Calibri" w:hAnsi="Calibri"/>
          <w:b/>
          <w:i w:val="0"/>
          <w:color w:val="8A2424"/>
          <w:sz w:val="20"/>
        </w:rPr>
        <w:t>SENHAS NÃO SÃO VISUALIZÁVEIS</w:t>
        <w:br/>
      </w:r>
      <w:r>
        <w:rPr>
          <w:rFonts w:ascii="Calibri" w:hAnsi="Calibri"/>
          <w:b w:val="0"/>
          <w:i w:val="0"/>
          <w:color w:val="1B1A17"/>
          <w:sz w:val="20"/>
        </w:rPr>
        <w:t>O Barber Hub não cria uma coluna de senha reversível. O Supabase Auth mantém um hash não reversível; hash não é criptografia que possa ser descriptografada. Administradores podem iniciar redefinição de senha, nunca consultar a senha atual. Guardar uma cópia visualizável aumentaria o impacto de vazamentos e não é necessário para autenticação.</w:t>
      </w:r>
    </w:p>
    <w:p>
      <w:r>
        <w:br w:type="page"/>
      </w:r>
    </w:p>
    <w:p>
      <w:pPr>
        <w:pStyle w:val="Heading1"/>
        <w:keepNext/>
      </w:pPr>
      <w:r>
        <w:t>7. API, arquitetura e organização</w:t>
      </w:r>
    </w:p>
    <w:p>
      <w:pPr>
        <w:pStyle w:val="Heading2"/>
        <w:keepNext/>
      </w:pPr>
      <w:r>
        <w:t>7.1 Estrutura adotada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D3C8"/>
          <w:left w:val="single" w:sz="6" w:space="0" w:color="D8D3C8"/>
          <w:bottom w:val="single" w:sz="6" w:space="0" w:color="D8D3C8"/>
          <w:right w:val="single" w:sz="6" w:space="0" w:color="D8D3C8"/>
          <w:insideH w:val="single" w:sz="6" w:space="0" w:color="D8D3C8"/>
          <w:insideV w:val="single" w:sz="6" w:space="0" w:color="D8D3C8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Área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api/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Entrada FastAPI e rotas HTTP versionadas.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backend/domain/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Regras puras e testáveis offline, incluindo agenda, retenção, operação e importação.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backend/services/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Casos de uso, autorização e integração com o banco.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js/core/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Infraestrutura do navegador, como continuidade de fluxo.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js/features/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Funcionalidades novas isoladas da release.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css/releases/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Correções e estilos de versão sem romper a direção visual existente.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mobile/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Páginas mobile sincronizadas e verificadas contra as canônicas.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img/library/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Conteúdo visual reutilizável e organizado.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sql/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Migrations numeradas e verificadores pós-aplicação.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tests/ e scripts/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Testes de regressão, auditoria e porta de qualidade.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docs/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Guias, decisões, segurança, deploy e homologação.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t>7.2 Desenvolvimento independente de serviços online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B1A17"/>
          <w:sz w:val="22"/>
        </w:rPr>
        <w:t>As regras críticas foram deslocadas para módulos de domínio Python que podem ser testados sem Supabase ativo. Isso permite desenvolver e validar transições de agenda, comissões, CRM, fidelidade, oportunidades, importações e idempotência offline. A integração final — autenticação, RLS, persistência, cron e entrega de notificações — continua dependendo do ambiente online.</w:t>
      </w:r>
    </w:p>
    <w:p>
      <w:pPr>
        <w:pStyle w:val="Heading2"/>
        <w:keepNext/>
      </w:pPr>
      <w:r>
        <w:t>7.3 Decisão sobre separar mobile e API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B1A17"/>
          <w:sz w:val="22"/>
        </w:rPr>
        <w:t>Nesta fase, web, PWA/mobile e API continuam no mesmo repositório Barber Hub. O diretório mobile representa uma experiência adaptada, não um aplicativo nativo com ciclo independente. Separar agora duplicaria releases, configuração, testes e coordenação perto do lançamento.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B1A17"/>
          <w:sz w:val="22"/>
        </w:rPr>
        <w:t>A separação deve ser reavaliada somente quando existir aplicativo nativo, mais de um consumidor independente da API, equipes/permissões distintas ou deploys realmente desacoplados. A Beauty Hub permanece em repositório próprio, compartilhando apenas padrões ou contratos deliberados.</w:t>
      </w:r>
    </w:p>
    <w:p>
      <w:r>
        <w:br w:type="page"/>
      </w:r>
    </w:p>
    <w:p>
      <w:pPr>
        <w:pStyle w:val="Heading1"/>
        <w:keepNext/>
      </w:pPr>
      <w:r>
        <w:t>8. Banco de dados e migrations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D3C8"/>
          <w:left w:val="single" w:sz="6" w:space="0" w:color="D8D3C8"/>
          <w:bottom w:val="single" w:sz="6" w:space="0" w:color="D8D3C8"/>
          <w:right w:val="single" w:sz="6" w:space="0" w:color="D8D3C8"/>
          <w:insideH w:val="single" w:sz="6" w:space="0" w:color="D8D3C8"/>
          <w:insideV w:val="single" w:sz="6" w:space="0" w:color="D8D3C8"/>
        </w:tblBorders>
      </w:tblPr>
      <w:tblGrid>
        <w:gridCol w:w="1200"/>
        <w:gridCol w:w="2300"/>
        <w:gridCol w:w="3960"/>
        <w:gridCol w:w="190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Arquivo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Finalidade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Principais entregas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Situação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24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Retenção e relacionamento 1.9.3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Lista de espera, recorrência, fidelidade, cupons, campanhas e entidades relacionadas.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Histórico 1.9.3.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25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Inteligência e permissões 1.9.3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Oportunidades, insights, metas e permissões granulares.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Histórico 1.9.3.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26–28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Automação e hardening 1.9.3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Cron, Advisors, privilégios, RLS e reforços de segurança.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Histórico 1.9.3.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29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Operação real 1.10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Horários múltiplos, atendimento manual, gastos e idempotência.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PENDENTE NO SUPABASE.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30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Localização e marketplace 1.10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Endereço estruturado, coordenadas, biblioteca e busca regional.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PENDENTE NO SUPABASE.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31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Push, importação, auditoria e flags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Preferências, fila push, importações, histórico e liberação controlada.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PENDENTE NO SUPABASE.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Verificador 31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Validação pós-migration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Objetos, RLS, privilégios, RPCs, flags, biblioteca, auditoria e anonimização.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6"/>
              </w:rPr>
              <w:t>EXECUTAR APÓS 29→30→31.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t>8.1 Ordem obrigatória antes do deploy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Confirmar projeto correto e backup recuperável.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Aplicar 29_operacao_real_horarios_atendimentos_1_10.sql.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Aplicar 30_localizacao_biblioteca_marketplace_1_10.sql.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Aplicar 31_push_importacoes_auditoria_flags_1_10.sql.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Executar verificar_31_release_1_10.sql e interromper se houver exceção.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Revisar Security Advisor e Performance Advisor.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Homologar papéis, planos e fluxos críticos antes de publicar API/frontend/PWA.</w:t>
      </w:r>
    </w:p>
    <w:p>
      <w:pPr>
        <w:keepLines/>
        <w:spacing w:before="80" w:after="200" w:line="288" w:lineRule="auto"/>
        <w:ind w:left="115" w:right="115"/>
        <w:shd w:fill="E7EDF3"/>
        <w:pBdr>
          <w:top w:val="single" w:sz="8" w:space="6" w:color="29455D"/>
          <w:left w:val="single" w:sz="8" w:space="6" w:color="29455D"/>
          <w:bottom w:val="single" w:sz="8" w:space="6" w:color="29455D"/>
          <w:right w:val="single" w:sz="8" w:space="6" w:color="29455D"/>
        </w:pBdr>
      </w:pPr>
      <w:r>
        <w:rPr>
          <w:rFonts w:ascii="Calibri" w:hAnsi="Calibri"/>
          <w:b/>
          <w:i w:val="0"/>
          <w:color w:val="29455D"/>
          <w:sz w:val="20"/>
        </w:rPr>
        <w:t>REGRA DE SEGURANÇA</w:t>
        <w:br/>
      </w:r>
      <w:r>
        <w:rPr>
          <w:rFonts w:ascii="Calibri" w:hAnsi="Calibri"/>
          <w:b w:val="0"/>
          <w:i w:val="0"/>
          <w:color w:val="1B1A17"/>
          <w:sz w:val="20"/>
        </w:rPr>
        <w:t>O Git guarda os arquivos SQL; ele não aplica migrations no Supabase. Uma migration já aplicada não deve ser editada. Correções futuras recebem novo número. Em banco com dados reais, rollback não deve usar DROP improvisado.</w:t>
      </w:r>
    </w:p>
    <w:p>
      <w:r>
        <w:br w:type="page"/>
      </w:r>
    </w:p>
    <w:p>
      <w:pPr>
        <w:pStyle w:val="Heading1"/>
        <w:keepNext/>
      </w:pPr>
      <w:r>
        <w:t>9. Verificação e testes de regressão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D3C8"/>
          <w:left w:val="single" w:sz="6" w:space="0" w:color="D8D3C8"/>
          <w:bottom w:val="single" w:sz="6" w:space="0" w:color="D8D3C8"/>
          <w:right w:val="single" w:sz="6" w:space="0" w:color="D8D3C8"/>
          <w:insideH w:val="single" w:sz="6" w:space="0" w:color="D8D3C8"/>
          <w:insideV w:val="single" w:sz="6" w:space="0" w:color="D8D3C8"/>
        </w:tblBorders>
      </w:tblPr>
      <w:tblGrid>
        <w:gridCol w:w="2500"/>
        <w:gridCol w:w="1500"/>
        <w:gridCol w:w="53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Porta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Resultado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Sincronização mobile</w:t>
            </w:r>
          </w:p>
        </w:tc>
        <w:tc>
          <w:tcPr>
            <w:tcW w:type="dxa" w:w="1500"/>
            <w:shd w:fill="F4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1A17"/>
                <w:sz w:val="16"/>
              </w:rPr>
              <w:t>APROVADO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22 páginas mobile refletem o desktop.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Roteamento mobile</w:t>
            </w:r>
          </w:p>
        </w:tc>
        <w:tc>
          <w:tcPr>
            <w:tcW w:type="dxa" w:w="1500"/>
            <w:shd w:fill="F4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1A17"/>
                <w:sz w:val="16"/>
              </w:rPr>
              <w:t>APROVADO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11 casos web, 4 file://, 4 redirecionamentos e 23 páginas.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Arquivos centrais</w:t>
            </w:r>
          </w:p>
        </w:tc>
        <w:tc>
          <w:tcPr>
            <w:tcW w:type="dxa" w:w="1500"/>
            <w:shd w:fill="F4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1A17"/>
                <w:sz w:val="16"/>
              </w:rPr>
              <w:t>APROVADO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76 arquivos centrais da 1.10.0 encontrados.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HTML</w:t>
            </w:r>
          </w:p>
        </w:tc>
        <w:tc>
          <w:tcPr>
            <w:tcW w:type="dxa" w:w="1500"/>
            <w:shd w:fill="F4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1A17"/>
                <w:sz w:val="16"/>
              </w:rPr>
              <w:t>APROVADO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50 páginas, sem IDs duplicados ou links locais quebrados.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JavaScript</w:t>
            </w:r>
          </w:p>
        </w:tc>
        <w:tc>
          <w:tcPr>
            <w:tcW w:type="dxa" w:w="1500"/>
            <w:shd w:fill="F4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1A17"/>
                <w:sz w:val="16"/>
              </w:rPr>
              <w:t>APROVADO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44 arquivos passaram por verificação de sintaxe.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Segredos públicos</w:t>
            </w:r>
          </w:p>
        </w:tc>
        <w:tc>
          <w:tcPr>
            <w:tcW w:type="dxa" w:w="1500"/>
            <w:shd w:fill="F4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1A17"/>
                <w:sz w:val="16"/>
              </w:rPr>
              <w:t>APROVADO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Nenhuma chave secreta encontrada nos arquivos públicos auditados.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V01–V06</w:t>
            </w:r>
          </w:p>
        </w:tc>
        <w:tc>
          <w:tcPr>
            <w:tcW w:type="dxa" w:w="1500"/>
            <w:shd w:fill="F4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1A17"/>
                <w:sz w:val="16"/>
              </w:rPr>
              <w:t>APROVADO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27/27 controles de segurança aprovados.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Release 1.9.3</w:t>
            </w:r>
          </w:p>
        </w:tc>
        <w:tc>
          <w:tcPr>
            <w:tcW w:type="dxa" w:w="1500"/>
            <w:shd w:fill="F4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1A17"/>
                <w:sz w:val="16"/>
              </w:rPr>
              <w:t>APROVADO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32/32 invariantes aprovados.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Python/FastAPI/domínio</w:t>
            </w:r>
          </w:p>
        </w:tc>
        <w:tc>
          <w:tcPr>
            <w:tcW w:type="dxa" w:w="1500"/>
            <w:shd w:fill="F4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1A17"/>
                <w:sz w:val="16"/>
              </w:rPr>
              <w:t>APROVADO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62 testes executados com sucesso no ambiente .venv do projeto.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Compilação Python</w:t>
            </w:r>
          </w:p>
        </w:tc>
        <w:tc>
          <w:tcPr>
            <w:tcW w:type="dxa" w:w="1500"/>
            <w:shd w:fill="F4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1A17"/>
                <w:sz w:val="16"/>
              </w:rPr>
              <w:t>APROVADO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API e backend compilados sem erro.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t>9.1 Limites dos testes locais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CAPTCHA, e-mail, Web Push, cron e recuperação precisam ser verificados com configurações reais.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RLS precisa ser testada usando usuários e sessões diferentes, não apenas verificação estática do SQL.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Responsividade do navegador não substitui Android e iPhone físicos.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Volume de dados real é necessário para confirmar índices, paginação e tempo de resposta.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Foi emitido um aviso de depreciação Starlette/httpx durante os testes; não houve falha, mas a dependência deve ser acompanhada em manutenção futura.</w:t>
      </w:r>
    </w:p>
    <w:p>
      <w:r>
        <w:br w:type="page"/>
      </w:r>
    </w:p>
    <w:p>
      <w:pPr>
        <w:pStyle w:val="Heading1"/>
        <w:keepNext/>
      </w:pPr>
      <w:r>
        <w:t>10. Configuração externa obrigatória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D3C8"/>
          <w:left w:val="single" w:sz="6" w:space="0" w:color="D8D3C8"/>
          <w:bottom w:val="single" w:sz="6" w:space="0" w:color="D8D3C8"/>
          <w:right w:val="single" w:sz="6" w:space="0" w:color="D8D3C8"/>
          <w:insideH w:val="single" w:sz="6" w:space="0" w:color="D8D3C8"/>
          <w:insideV w:val="single" w:sz="6" w:space="0" w:color="D8D3C8"/>
        </w:tblBorders>
      </w:tblPr>
      <w:tblGrid>
        <w:gridCol w:w="1900"/>
        <w:gridCol w:w="2200"/>
        <w:gridCol w:w="52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Ambiente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Item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Ação necessária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Supabase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Migrations e verificador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Aplicar 29 → 30 → 31 → verificador 31, com backup.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Supabase Auth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URLs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Cadastrar Site URL e Redirect URLs exatas de produção/homologação e recuperação.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Supabase Auth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CAPTCHA/Turnstile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Ativar proteção; chave secreta somente no servidor e site key pública via configuração segura.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Supabase Auth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Senhas vazadas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Habilitar a proteção quando disponível no plano.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API/deploy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Credenciais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SUPABASE_URL e service role somente no servidor; anon pública apenas onde prevista.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API/deploy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Origens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ALLOWED_ORIGINS com domínios exatos, sem curinga em produção.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Web Push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VAPID e worker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Configurar par de chaves, identificação do remetente e processador autenticado da fila.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Rate limit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Armazenamento distribuído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Revisar solução compartilhada antes de escalar múltiplas instâncias.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Advisors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Segurança e desempenho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Registrar e tratar alertas após as migrations.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Homologação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Papéis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Cliente, profissional, recepção, gerente, proprietário, admin e usuário sem vínculo.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Homologação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Planos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Gratuito, Essencial, Profissional e Elite.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LGPD/operação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Retenção e incidentes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7"/>
              </w:rPr>
              <w:t>Definir retenção, exportação, exclusão/anonimização, responsável e recuperação.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keepNext/>
      </w:pPr>
      <w:r>
        <w:t>11. Estado do Git e da publicação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D3C8"/>
          <w:left w:val="single" w:sz="6" w:space="0" w:color="D8D3C8"/>
          <w:bottom w:val="single" w:sz="6" w:space="0" w:color="D8D3C8"/>
          <w:right w:val="single" w:sz="6" w:space="0" w:color="D8D3C8"/>
          <w:insideH w:val="single" w:sz="6" w:space="0" w:color="D8D3C8"/>
          <w:insideV w:val="single" w:sz="6" w:space="0" w:color="D8D3C8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Campo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Estado em 02/09/2026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Repositório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Barber-Hub-Oficial — repositório atual.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Branch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main.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Último commit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95fe916 — feat: consolida Barber Hub 1.9.3.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Alterações 1.10.0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Presentes localmente, ainda sem commit.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Push GitHub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Não realizado.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Deploy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Não realizado.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Supabase 29–31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Não aplicado em produção.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Dimensão do diff rastreado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71 arquivos alterados; 6.277 inserções e 1.661 remoções, além de novos arquivos ainda não rastreados.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t>11.1 Sequência segura para concluir a release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Revisar o diff e incluir este relatório na documentação.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Criar o commit da versão 1.10.0.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Atualizar a branch com o remoto de forma segura e resolver qualquer divergência sem sobrescrever trabalho.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Aplicar e validar as migrations no ambiente de homologação/produção correto.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Configurar os serviços externos e executar o checklist de homologação.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Fazer push e publicar somente depois da decisão de aprovação.</w:t>
      </w:r>
    </w:p>
    <w:p>
      <w:pPr>
        <w:pStyle w:val="Heading1"/>
        <w:keepNext/>
      </w:pPr>
      <w:r>
        <w:t>12. Itens conscientemente não declarados como concluídos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Entrevistas com barbeiros de Jacinto e validação final de preços/limites dos planos.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Compatibilidade comprovada em aparelhos físicos representativos do público.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Envio real por e-mail, WhatsApp ou Web Push sem configurar provedor, consentimento, VAPID e worker.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Rate limit distribuído para várias instâncias sem um armazenamento compartilhado definido.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Aplicação das migrations 29–31 e aprovação do verificador no Supabase.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Deploy, commit e push da 1.10.0.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Migração completa para monorepo ou separação de API/mobile — a decisão atual é não separar agora.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B1A17"/>
          <w:sz w:val="22"/>
        </w:rPr>
        <w:t>Promessa de funcionamento literal em todo celular existente.</w:t>
      </w:r>
    </w:p>
    <w:p>
      <w:pPr>
        <w:keepLines/>
        <w:spacing w:before="80" w:after="200" w:line="288" w:lineRule="auto"/>
        <w:ind w:left="115" w:right="115"/>
        <w:shd w:fill="FFF8E6"/>
        <w:pBdr>
          <w:top w:val="single" w:sz="8" w:space="6" w:color="58420A"/>
          <w:left w:val="single" w:sz="8" w:space="6" w:color="58420A"/>
          <w:bottom w:val="single" w:sz="8" w:space="6" w:color="58420A"/>
          <w:right w:val="single" w:sz="8" w:space="6" w:color="58420A"/>
        </w:pBdr>
      </w:pPr>
      <w:r>
        <w:rPr>
          <w:rFonts w:ascii="Calibri" w:hAnsi="Calibri"/>
          <w:b/>
          <w:i w:val="0"/>
          <w:color w:val="58420A"/>
          <w:sz w:val="20"/>
        </w:rPr>
        <w:t>CONCLUSÃO</w:t>
        <w:br/>
      </w:r>
      <w:r>
        <w:rPr>
          <w:rFonts w:ascii="Calibri" w:hAnsi="Calibri"/>
          <w:b w:val="0"/>
          <w:i w:val="0"/>
          <w:color w:val="1B1A17"/>
          <w:sz w:val="20"/>
        </w:rPr>
        <w:t>O trabalho de código solicitado está consolidado localmente e passou na porta de qualidade. A versão só deve ser apresentada como publicada e pronta para usuários finais depois de commit, migrations, configurações externas e homologação real. Este relatório separa essas duas etapas para evitar perda de dados e uma publicação incompleta.</w:t>
      </w:r>
    </w:p>
    <w:p>
      <w:r>
        <w:br w:type="page"/>
      </w:r>
    </w:p>
    <w:p>
      <w:pPr>
        <w:pStyle w:val="Heading1"/>
        <w:keepNext/>
      </w:pPr>
      <w:r>
        <w:t>Apêndice A — Principais arquivos de rastreabilidade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D3C8"/>
          <w:left w:val="single" w:sz="6" w:space="0" w:color="D8D3C8"/>
          <w:bottom w:val="single" w:sz="6" w:space="0" w:color="D8D3C8"/>
          <w:right w:val="single" w:sz="6" w:space="0" w:color="D8D3C8"/>
          <w:insideH w:val="single" w:sz="6" w:space="0" w:color="D8D3C8"/>
          <w:insideV w:val="single" w:sz="6" w:space="0" w:color="D8D3C8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Área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8B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58420A"/>
                <w:sz w:val="18"/>
              </w:rPr>
              <w:t>Arquivo(s) principal(is)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Release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docs/ATUALIZACAO_1_10_0.md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Homologação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docs/HOMOLOGACAO_FINAL_1_10.md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Deploy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docs/MIGRATIONS_DEPLOY_1_10.md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Segurança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docs/RELATORIO_SEGURANCA_1_10.md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Repositórios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docs/DECISAO_REPOSITORIOS_1_10.md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Guia completo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docs/GUIA_COMPLETO_BARBER_HUB_1_10_0.docx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API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api/index.py; backend/models.py; backend/services/*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Domínio offline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backend/domain/operations.py; backend/domain/imports.py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Frontend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js/features/operation-real-1.10.js; js/core/continuation.js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CSS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css/releases/release-1.10.css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Migrations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sql/29_*.sql; sql/30_*.sql; sql/31_*.sql; sql/verificar_31_*.sql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Qualidade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B1A17"/>
                <w:sz w:val="18"/>
              </w:rPr>
              <w:t>scripts/check-release-1.10.js; tests/test_api.py; tests/test_domain.py</w:t>
            </w:r>
          </w:p>
        </w:tc>
      </w:tr>
    </w:tbl>
    <w:p>
      <w:pPr>
        <w:spacing w:before="80" w:after="80"/>
      </w:pPr>
    </w:p>
    <w:p>
      <w:pPr>
        <w:spacing w:before="0" w:after="0" w:line="300" w:lineRule="auto"/>
      </w:pPr>
      <w:r>
        <w:rPr>
          <w:rFonts w:ascii="Calibri" w:hAnsi="Calibri"/>
          <w:b w:val="0"/>
          <w:i/>
          <w:color w:val="6A665E"/>
          <w:sz w:val="22"/>
        </w:rPr>
        <w:t>Documento gerado a partir do Planejamento Pós-31, da documentação da release, do estado do Git e da execução da porta de qualidade em 2 de setembro de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A665E"/>
        <w:sz w:val="17"/>
      </w:rPr>
      <w:t xml:space="preserve">The Gamers Tech  •  Barber Hub 1.10.0  •  Página </w:t>
    </w:r>
    <w:r>
      <w:rPr>
        <w:rFonts w:ascii="Calibri" w:hAnsi="Calibri"/>
        <w:b w:val="0"/>
        <w:i w:val="0"/>
        <w:color w:val="6A665E"/>
        <w:sz w:val="17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A665E"/>
        <w:sz w:val="17"/>
      </w:rPr>
      <w:t>BARBER HUB  |  RELATÓRIO DE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B1A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9A72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9A72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8420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Consolidado de Implementações, Melhorias e Correções — Barber Hub 1.10.0</dc:title>
  <dc:subject>Rastreabilidade da implementação do Planejamento Pós-31</dc:subject>
  <dc:creator>Barber Hub — The Gamers Tech</dc:creator>
  <cp:keywords>Barber Hub, 1.10.0, implementação, correções, segurança, migrations, Supabase</cp:keywords>
  <dc:description>Gerado em 02/09/2026 com estado local ainda não publicado.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