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17l7fdp2f4fq" w:id="0"/>
    <w:bookmarkEnd w:id="0"/>
    <w:p w:rsidR="00000000" w:rsidDel="00000000" w:rsidP="00000000" w:rsidRDefault="00000000" w:rsidRPr="00000000" w14:paraId="00000001">
      <w:pPr>
        <w:pStyle w:val="Title"/>
        <w:spacing w:after="360" w:before="1200" w:lineRule="auto"/>
        <w:rPr/>
      </w:pPr>
      <w:r w:rsidDel="00000000" w:rsidR="00000000" w:rsidRPr="00000000">
        <w:rPr>
          <w:rFonts w:ascii="Calibri" w:cs="Calibri" w:eastAsia="Calibri" w:hAnsi="Calibri"/>
          <w:b w:val="1"/>
          <w:bCs w:val="1"/>
          <w:color w:val="2e74b5"/>
          <w:sz w:val="22"/>
          <w:szCs w:val="22"/>
          <w:rtl w:val="0"/>
        </w:rPr>
        <w:t xml:space="preserve">MILESTONE 5</w:t>
        <w:br w:type="textWrapping"/>
      </w:r>
      <w:r w:rsidDel="00000000" w:rsidR="00000000" w:rsidRPr="00000000">
        <w:rPr>
          <w:rFonts w:ascii="Calibri" w:cs="Calibri" w:eastAsia="Calibri" w:hAnsi="Calibri"/>
          <w:b w:val="1"/>
          <w:bCs w:val="1"/>
          <w:color w:val="1f4d78"/>
          <w:sz w:val="50"/>
          <w:szCs w:val="50"/>
          <w:rtl w:val="0"/>
        </w:rPr>
        <w:t xml:space="preserve">Design Package Introduction</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color="2e74b5" w:space="12" w:sz="20" w:val="single"/>
          <w:bottom w:space="0" w:sz="0" w:val="nil"/>
          <w:right w:space="0" w:sz="0" w:val="nil"/>
          <w:between w:space="0" w:sz="0" w:val="nil"/>
        </w:pBdr>
        <w:shd w:fill="auto" w:val="clear"/>
        <w:spacing w:after="0" w:before="120" w:line="312" w:lineRule="auto"/>
        <w:ind w:left="173"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1"/>
          <w:szCs w:val="21"/>
          <w:u w:val="none"/>
          <w:shd w:fill="auto" w:val="clear"/>
          <w:vertAlign w:val="baseline"/>
          <w:rtl w:val="0"/>
        </w:rPr>
        <w:t xml:space="preserve">Scope:</w:t>
      </w: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1f4d78"/>
          <w:sz w:val="21"/>
          <w:szCs w:val="21"/>
          <w:u w:val="none"/>
          <w:shd w:fill="auto" w:val="clear"/>
          <w:vertAlign w:val="baseline"/>
          <w:rtl w:val="0"/>
        </w:rPr>
        <w:t xml:space="preserve">Milestone 5: Type-Indexed Temporal Reputation System</w:t>
      </w: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br w:type="textWrapping"/>
      </w:r>
      <w:r w:rsidDel="00000000" w:rsidR="00000000" w:rsidRPr="00000000">
        <w:rPr>
          <w:rFonts w:ascii="Calibri" w:cs="Calibri" w:eastAsia="Calibri" w:hAnsi="Calibri"/>
          <w:b w:val="1"/>
          <w:bCs w:val="1"/>
          <w:i w:val="0"/>
          <w:iCs w:val="0"/>
          <w:smallCaps w:val="0"/>
          <w:strike w:val="0"/>
          <w:color w:val="1f4d78"/>
          <w:sz w:val="21"/>
          <w:szCs w:val="21"/>
          <w:u w:val="none"/>
          <w:shd w:fill="auto" w:val="clear"/>
          <w:vertAlign w:val="baseline"/>
          <w:rtl w:val="0"/>
        </w:rPr>
        <w:t xml:space="preserve">Date:</w:t>
      </w: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 26 July 2026</w:t>
        <w:br w:type="textWrapping"/>
      </w:r>
      <w:r w:rsidDel="00000000" w:rsidR="00000000" w:rsidRPr="00000000">
        <w:rPr>
          <w:rFonts w:ascii="Calibri" w:cs="Calibri" w:eastAsia="Calibri" w:hAnsi="Calibri"/>
          <w:b w:val="1"/>
          <w:bCs w:val="1"/>
          <w:i w:val="0"/>
          <w:iCs w:val="0"/>
          <w:smallCaps w:val="0"/>
          <w:strike w:val="0"/>
          <w:color w:val="1f4d78"/>
          <w:sz w:val="21"/>
          <w:szCs w:val="21"/>
          <w:u w:val="none"/>
          <w:shd w:fill="auto" w:val="clear"/>
          <w:vertAlign w:val="baseline"/>
          <w:rtl w:val="0"/>
        </w:rPr>
        <w:t xml:space="preserve">Status:</w:t>
      </w: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 Draft design package for review — this milestone is research and design; implementation follows in the next milestone.</w:t>
        <w:br w:type="textWrapping"/>
      </w:r>
      <w:r w:rsidDel="00000000" w:rsidR="00000000" w:rsidRPr="00000000">
        <w:rPr>
          <w:rFonts w:ascii="Calibri" w:cs="Calibri" w:eastAsia="Calibri" w:hAnsi="Calibri"/>
          <w:b w:val="1"/>
          <w:bCs w:val="1"/>
          <w:i w:val="0"/>
          <w:iCs w:val="0"/>
          <w:smallCaps w:val="0"/>
          <w:strike w:val="0"/>
          <w:color w:val="1f4d78"/>
          <w:sz w:val="21"/>
          <w:szCs w:val="21"/>
          <w:u w:val="none"/>
          <w:shd w:fill="auto" w:val="clear"/>
          <w:vertAlign w:val="baseline"/>
          <w:rtl w:val="0"/>
        </w:rPr>
        <w:t xml:space="preserve">Updated:</w:t>
      </w: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 5 August 2026</w:t>
      </w:r>
    </w:p>
    <w:p w:rsidR="00000000" w:rsidDel="00000000" w:rsidP="00000000" w:rsidRDefault="00000000" w:rsidRPr="00000000" w14:paraId="00000003">
      <w:pPr>
        <w:spacing w:before="360" w:lineRule="auto"/>
        <w:rPr/>
      </w:pPr>
      <w:r w:rsidDel="00000000" w:rsidR="00000000" w:rsidRPr="00000000">
        <w:rPr>
          <w:rFonts w:ascii="Calibri" w:cs="Calibri" w:eastAsia="Calibri" w:hAnsi="Calibri"/>
          <w:color w:val="667085"/>
          <w:sz w:val="19"/>
          <w:szCs w:val="19"/>
          <w:rtl w:val="0"/>
        </w:rPr>
        <w:t xml:space="preserve">The whole design in plain language, a map of the deliverables, and what review and sign-off require.</w:t>
      </w:r>
      <w:r w:rsidDel="00000000" w:rsidR="00000000" w:rsidRPr="00000000">
        <w:br w:type="page"/>
      </w:r>
      <w:r w:rsidDel="00000000" w:rsidR="00000000" w:rsidRPr="00000000">
        <w:rPr>
          <w:rtl w:val="0"/>
        </w:rPr>
      </w:r>
    </w:p>
    <w:bookmarkStart w:colFirst="0" w:colLast="0" w:name="bookmark=id.ut6eyott7ddn" w:id="1"/>
    <w:bookmarkEnd w:id="1"/>
    <w:p w:rsidR="00000000" w:rsidDel="00000000" w:rsidP="00000000" w:rsidRDefault="00000000" w:rsidRPr="00000000" w14:paraId="00000004">
      <w:pPr>
        <w:pStyle w:val="Heading1"/>
        <w:rPr/>
      </w:pPr>
      <w:r w:rsidDel="00000000" w:rsidR="00000000" w:rsidRPr="00000000">
        <w:rPr>
          <w:rtl w:val="0"/>
        </w:rPr>
        <w:t xml:space="preserve">1. What this milestone is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Milestone 5 is a research and design milestone, not an implementation milestone. Its job was to take several partly conflicting inputs — four reputation research papers, a tokenomics proposal, internal architecture drafts, and stakeholder meeting direction — and turn them into one agreed design direction for a reputation system, documented well enough that the follow-on implementation milestones can be scoped and estimated.</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The first version of the system is deliberately narrow: it tracks the health and behavior of </w:t>
      </w:r>
      <w:r w:rsidDel="00000000" w:rsidR="00000000" w:rsidRPr="00000000">
        <w:rPr>
          <w:rFonts w:ascii="Calibri" w:cs="Calibri" w:eastAsia="Calibri" w:hAnsi="Calibri"/>
          <w:b w:val="1"/>
          <w:bCs w:val="1"/>
          <w:i w:val="0"/>
          <w:iCs w:val="0"/>
          <w:smallCaps w:val="0"/>
          <w:strike w:val="0"/>
          <w:color w:val="263238"/>
          <w:sz w:val="21"/>
          <w:szCs w:val="21"/>
          <w:u w:val="none"/>
          <w:shd w:fill="auto" w:val="clear"/>
          <w:vertAlign w:val="baseline"/>
          <w:rtl w:val="0"/>
        </w:rPr>
        <w:t xml:space="preserve">validators</w:t>
      </w: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 (the node operators that run ASI Chain / F1R3FLY shards) and of the chains and shards themselves. People, AI agents, products, and services can be added later; the design leaves room for them, but they are not in scope for version 1.</w:t>
      </w:r>
    </w:p>
    <w:bookmarkStart w:colFirst="0" w:colLast="0" w:name="bookmark=id.44r6rfd9bm6g" w:id="2"/>
    <w:bookmarkEnd w:id="2"/>
    <w:p w:rsidR="00000000" w:rsidDel="00000000" w:rsidP="00000000" w:rsidRDefault="00000000" w:rsidRPr="00000000" w14:paraId="00000007">
      <w:pPr>
        <w:pStyle w:val="Heading1"/>
        <w:rPr/>
      </w:pPr>
      <w:r w:rsidDel="00000000" w:rsidR="00000000" w:rsidRPr="00000000">
        <w:rPr>
          <w:rtl w:val="0"/>
        </w:rPr>
        <w:t xml:space="preserve">2. The problem we are solving</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ASI Chain needs to answer questions like: </w:t>
      </w:r>
      <w:r w:rsidDel="00000000" w:rsidR="00000000" w:rsidRPr="00000000">
        <w:rPr>
          <w:rFonts w:ascii="Calibri" w:cs="Calibri" w:eastAsia="Calibri" w:hAnsi="Calibri"/>
          <w:b w:val="0"/>
          <w:bCs w:val="0"/>
          <w:i w:val="1"/>
          <w:iCs w:val="1"/>
          <w:smallCaps w:val="0"/>
          <w:strike w:val="0"/>
          <w:color w:val="263238"/>
          <w:sz w:val="21"/>
          <w:szCs w:val="21"/>
          <w:u w:val="none"/>
          <w:shd w:fill="auto" w:val="clear"/>
          <w:vertAlign w:val="baseline"/>
          <w:rtl w:val="0"/>
        </w:rPr>
        <w:t xml:space="preserve">Is this validator reliable? Was it ever caught double-signing? Is this shard healthy enough to route work to?</w:t>
      </w: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 Today the raw facts that would answer those questions are scattered across chains, logs, and people's heads, and there is no trustworthy way to collect them, challenge them, or build on them.</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The obvious answer — give every validator a reputation score — is also the wrong place to start. Single scores have well-known failure modes: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They hide disagreement. A validator with a 7/10 might be solid but unspectacular, or might be excellent with one serious unresolved accusation. The number cannot tell you which.</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They treat silence as safety. A validator nobody has ever watched looks identical to one that was watched closely and behaved well.</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They are easy to game. Once a formula is public, people optimize the inputs rather than the behavior — fake activity, friendly ratings from controlled accounts, recycled capital.</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They cannot be audited. When a score changes, nobody can say precisely why, or challenge the data behind it.</w:t>
      </w:r>
    </w:p>
    <w:bookmarkStart w:colFirst="0" w:colLast="0" w:name="bookmark=id.eeg2pp4me9m9" w:id="3"/>
    <w:bookmarkEnd w:id="3"/>
    <w:p w:rsidR="00000000" w:rsidDel="00000000" w:rsidP="00000000" w:rsidRDefault="00000000" w:rsidRPr="00000000" w14:paraId="0000000E">
      <w:pPr>
        <w:pStyle w:val="Heading1"/>
        <w:rPr/>
      </w:pPr>
      <w:r w:rsidDel="00000000" w:rsidR="00000000" w:rsidRPr="00000000">
        <w:rPr>
          <w:rtl w:val="0"/>
        </w:rPr>
        <w:t xml:space="preserve">3. The core idea: record evidence, derive scores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The design's central decision is to separate two things that score-based systems collapse together:</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63238"/>
          <w:sz w:val="21"/>
          <w:szCs w:val="21"/>
          <w:u w:val="none"/>
          <w:shd w:fill="auto" w:val="clear"/>
          <w:vertAlign w:val="baseline"/>
          <w:rtl w:val="0"/>
        </w:rPr>
        <w:t xml:space="preserve">The record is evidence.</w:t>
      </w: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 The system permanently stores </w:t>
      </w:r>
      <w:r w:rsidDel="00000000" w:rsidR="00000000" w:rsidRPr="00000000">
        <w:rPr>
          <w:rFonts w:ascii="Calibri" w:cs="Calibri" w:eastAsia="Calibri" w:hAnsi="Calibri"/>
          <w:b w:val="0"/>
          <w:bCs w:val="0"/>
          <w:i w:val="1"/>
          <w:iCs w:val="1"/>
          <w:smallCaps w:val="0"/>
          <w:strike w:val="0"/>
          <w:color w:val="263238"/>
          <w:sz w:val="21"/>
          <w:szCs w:val="21"/>
          <w:u w:val="none"/>
          <w:shd w:fill="auto" w:val="clear"/>
          <w:vertAlign w:val="baseline"/>
          <w:rtl w:val="0"/>
        </w:rPr>
        <w:t xml:space="preserve">who said what about whom, when, in what context, and based on what</w:t>
      </w: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 A slashing event imported from another chain, a validator's claim that it completed an upgrade, a peer's challenge to that claim — each is a signed, timestamped event with its source attached. Nothing is ever edited or deleted; corrections are made by adding new events that supersede or invalidate old ones, and every derived result can be traced back to the events it came from.</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63238"/>
          <w:sz w:val="21"/>
          <w:szCs w:val="21"/>
          <w:u w:val="none"/>
          <w:shd w:fill="auto" w:val="clear"/>
          <w:vertAlign w:val="baseline"/>
          <w:rtl w:val="0"/>
        </w:rPr>
        <w:t xml:space="preserve">Scores are views, not truth.</w:t>
      </w: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 A score is computed from the evidence by an explicit, versioned policy — we call the result a </w:t>
      </w:r>
      <w:r w:rsidDel="00000000" w:rsidR="00000000" w:rsidRPr="00000000">
        <w:rPr>
          <w:rFonts w:ascii="Calibri" w:cs="Calibri" w:eastAsia="Calibri" w:hAnsi="Calibri"/>
          <w:b w:val="0"/>
          <w:bCs w:val="0"/>
          <w:i w:val="1"/>
          <w:iCs w:val="1"/>
          <w:smallCaps w:val="0"/>
          <w:strike w:val="0"/>
          <w:color w:val="263238"/>
          <w:sz w:val="21"/>
          <w:szCs w:val="21"/>
          <w:u w:val="none"/>
          <w:shd w:fill="auto" w:val="clear"/>
          <w:vertAlign w:val="baseline"/>
          <w:rtl w:val="0"/>
        </w:rPr>
        <w:t xml:space="preserve">projection</w:t>
      </w: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 Different consumers can apply different policies to the same evidence, policies can be improved without rewriting history, and any published result names exactly which policy version and which body of evidence produced it, so anyone can recompute and check it.</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Two consequences of this split do a lot of work. First, disagreement stays visible: if evidence conflicts, queries say "disputed" instead of silently averaging. Second, ignorance stays visible: every answer comes with </w:t>
      </w:r>
      <w:r w:rsidDel="00000000" w:rsidR="00000000" w:rsidRPr="00000000">
        <w:rPr>
          <w:rFonts w:ascii="Calibri" w:cs="Calibri" w:eastAsia="Calibri" w:hAnsi="Calibri"/>
          <w:b w:val="0"/>
          <w:bCs w:val="0"/>
          <w:i w:val="1"/>
          <w:iCs w:val="1"/>
          <w:smallCaps w:val="0"/>
          <w:strike w:val="0"/>
          <w:color w:val="263238"/>
          <w:sz w:val="21"/>
          <w:szCs w:val="21"/>
          <w:u w:val="none"/>
          <w:shd w:fill="auto" w:val="clear"/>
          <w:vertAlign w:val="baseline"/>
          <w:rtl w:val="0"/>
        </w:rPr>
        <w:t xml:space="preserve">coverage</w:t>
      </w: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 — a statement of how much of the expected evidence was actually observed — so "we saw nothing wrong" can never be confused with "we watched and it behaved."</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A signature, throughout, proves only who made a statement. It never proves the statement is true. This sounds obvious, but most of the design's safeguards exist because systems that forget it get gamed.</w:t>
      </w:r>
    </w:p>
    <w:bookmarkStart w:colFirst="0" w:colLast="0" w:name="bookmark=id.jjx2ndxu4jj5" w:id="4"/>
    <w:bookmarkEnd w:id="4"/>
    <w:p w:rsidR="00000000" w:rsidDel="00000000" w:rsidP="00000000" w:rsidRDefault="00000000" w:rsidRPr="00000000" w14:paraId="00000014">
      <w:pPr>
        <w:pStyle w:val="Heading1"/>
        <w:rPr/>
      </w:pPr>
      <w:r w:rsidDel="00000000" w:rsidR="00000000" w:rsidRPr="00000000">
        <w:rPr>
          <w:rtl w:val="0"/>
        </w:rPr>
        <w:t xml:space="preserve">4. A worked example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The package uses four recurring characters. Here is the whole system in one story.</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63238"/>
          <w:sz w:val="21"/>
          <w:szCs w:val="21"/>
          <w:u w:val="none"/>
          <w:shd w:fill="auto" w:val="clear"/>
          <w:vertAlign w:val="baseline"/>
          <w:rtl w:val="0"/>
        </w:rPr>
        <w:t xml:space="preserve">Alice imports a fact from another chain.</w:t>
      </w: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 Alice operates an approved ingestion service (the package calls this role a </w:t>
      </w:r>
      <w:r w:rsidDel="00000000" w:rsidR="00000000" w:rsidRPr="00000000">
        <w:rPr>
          <w:rFonts w:ascii="Calibri" w:cs="Calibri" w:eastAsia="Calibri" w:hAnsi="Calibri"/>
          <w:b w:val="0"/>
          <w:bCs w:val="0"/>
          <w:i w:val="1"/>
          <w:iCs w:val="1"/>
          <w:smallCaps w:val="0"/>
          <w:strike w:val="0"/>
          <w:color w:val="263238"/>
          <w:sz w:val="21"/>
          <w:szCs w:val="21"/>
          <w:u w:val="none"/>
          <w:shd w:fill="auto" w:val="clear"/>
          <w:vertAlign w:val="baseline"/>
          <w:rtl w:val="0"/>
        </w:rPr>
        <w:t xml:space="preserve">truster</w:t>
      </w: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 She sees that validator Carol was slashed for double-signing on an external chain, waits for that chain to finalize the event, and submits a signed </w:t>
      </w:r>
      <w:r w:rsidDel="00000000" w:rsidR="00000000" w:rsidRPr="00000000">
        <w:rPr>
          <w:rFonts w:ascii="Calibri" w:cs="Calibri" w:eastAsia="Calibri" w:hAnsi="Calibri"/>
          <w:b w:val="0"/>
          <w:bCs w:val="0"/>
          <w:i w:val="1"/>
          <w:iCs w:val="1"/>
          <w:smallCaps w:val="0"/>
          <w:strike w:val="0"/>
          <w:color w:val="263238"/>
          <w:sz w:val="21"/>
          <w:szCs w:val="21"/>
          <w:u w:val="none"/>
          <w:shd w:fill="auto" w:val="clear"/>
          <w:vertAlign w:val="baseline"/>
          <w:rtl w:val="0"/>
        </w:rPr>
        <w:t xml:space="preserve">reputation article</w:t>
      </w: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 the observation, the source chain and block, the time window she checked, and her authorization. The system verifies that Alice is allowed to submit this kind of evidence, that the article is well-formed, and that it is not a duplicate — then records it. Alice's signature makes her accountable for the report; it does not make the report true, and the record says so: this is </w:t>
      </w:r>
      <w:r w:rsidDel="00000000" w:rsidR="00000000" w:rsidRPr="00000000">
        <w:rPr>
          <w:rFonts w:ascii="Calibri" w:cs="Calibri" w:eastAsia="Calibri" w:hAnsi="Calibri"/>
          <w:b w:val="0"/>
          <w:bCs w:val="0"/>
          <w:i w:val="1"/>
          <w:iCs w:val="1"/>
          <w:smallCaps w:val="0"/>
          <w:strike w:val="0"/>
          <w:color w:val="263238"/>
          <w:sz w:val="21"/>
          <w:szCs w:val="21"/>
          <w:u w:val="none"/>
          <w:shd w:fill="auto" w:val="clear"/>
          <w:vertAlign w:val="baseline"/>
          <w:rtl w:val="0"/>
        </w:rPr>
        <w:t xml:space="preserve">externally attested</w:t>
      </w: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 evidence, not something the system saw itself. If the source chain later shows that the event never finalized, a new invalidation targets Alice's imported event without deleting it.</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63238"/>
          <w:sz w:val="21"/>
          <w:szCs w:val="21"/>
          <w:u w:val="none"/>
          <w:shd w:fill="auto" w:val="clear"/>
          <w:vertAlign w:val="baseline"/>
          <w:rtl w:val="0"/>
        </w:rPr>
        <w:t xml:space="preserve">Carol makes a claim about herself.</w:t>
      </w: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 Carol submits a signed statement that her validator completed a required protocol upgrade during epoch 212. The system records it — permanently labeled a </w:t>
      </w:r>
      <w:r w:rsidDel="00000000" w:rsidR="00000000" w:rsidRPr="00000000">
        <w:rPr>
          <w:rFonts w:ascii="Calibri" w:cs="Calibri" w:eastAsia="Calibri" w:hAnsi="Calibri"/>
          <w:b w:val="0"/>
          <w:bCs w:val="0"/>
          <w:i w:val="1"/>
          <w:iCs w:val="1"/>
          <w:smallCaps w:val="0"/>
          <w:strike w:val="0"/>
          <w:color w:val="263238"/>
          <w:sz w:val="21"/>
          <w:szCs w:val="21"/>
          <w:u w:val="none"/>
          <w:shd w:fill="auto" w:val="clear"/>
          <w:vertAlign w:val="baseline"/>
          <w:rtl w:val="0"/>
        </w:rPr>
        <w:t xml:space="preserve">self-claim</w:t>
      </w: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 so no query or score can ever quietly treat it as independent confirmation.</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63238"/>
          <w:sz w:val="21"/>
          <w:szCs w:val="21"/>
          <w:u w:val="none"/>
          <w:shd w:fill="auto" w:val="clear"/>
          <w:vertAlign w:val="baseline"/>
          <w:rtl w:val="0"/>
        </w:rPr>
        <w:t xml:space="preserve">Bob challenges.</w:t>
      </w: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 Bob, a peer validator, submits evidence that Carol's node was still on the old protocol version mid-epoch. Now the record holds both Carol's claim and Bob's refutation. Neither erases the other. A query about Carol's upgrade now answers "disputed", showing both sides with their provenance.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63238"/>
          <w:sz w:val="21"/>
          <w:szCs w:val="21"/>
          <w:u w:val="none"/>
          <w:shd w:fill="auto" w:val="clear"/>
          <w:vertAlign w:val="baseline"/>
          <w:rtl w:val="0"/>
        </w:rPr>
        <w:t xml:space="preserve">David investigates.</w:t>
      </w: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 David, a chain-health analyst, asks: </w:t>
      </w:r>
      <w:r w:rsidDel="00000000" w:rsidR="00000000" w:rsidRPr="00000000">
        <w:rPr>
          <w:rFonts w:ascii="Calibri" w:cs="Calibri" w:eastAsia="Calibri" w:hAnsi="Calibri"/>
          <w:b w:val="0"/>
          <w:bCs w:val="0"/>
          <w:i w:val="1"/>
          <w:iCs w:val="1"/>
          <w:smallCaps w:val="0"/>
          <w:strike w:val="0"/>
          <w:color w:val="263238"/>
          <w:sz w:val="21"/>
          <w:szCs w:val="21"/>
          <w:u w:val="none"/>
          <w:shd w:fill="auto" w:val="clear"/>
          <w:vertAlign w:val="baseline"/>
          <w:rtl w:val="0"/>
        </w:rPr>
        <w:t xml:space="preserve">Was Carol slashed in epoch 210, in this scope?</w:t>
      </w: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 He gets back a structured answer: yes — supported by Alice's imported event — plus the provenance chain, the coverage statement (which observation windows were actually checked), and cryptographic material to verify the answer against the committed record. Separately, David can request a </w:t>
      </w:r>
      <w:r w:rsidDel="00000000" w:rsidR="00000000" w:rsidRPr="00000000">
        <w:rPr>
          <w:rFonts w:ascii="Calibri" w:cs="Calibri" w:eastAsia="Calibri" w:hAnsi="Calibri"/>
          <w:b w:val="0"/>
          <w:bCs w:val="0"/>
          <w:i w:val="1"/>
          <w:iCs w:val="1"/>
          <w:smallCaps w:val="0"/>
          <w:strike w:val="0"/>
          <w:color w:val="263238"/>
          <w:sz w:val="21"/>
          <w:szCs w:val="21"/>
          <w:u w:val="none"/>
          <w:shd w:fill="auto" w:val="clear"/>
          <w:vertAlign w:val="baseline"/>
          <w:rtl w:val="0"/>
        </w:rPr>
        <w:t xml:space="preserve">projection</w:t>
      </w: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 a health score for Carol or her shard, computed by a named policy version at a declared cutoff. The two answers arrive through deliberately different contracts, so a score can never masquerade as a fact.</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63238"/>
          <w:sz w:val="21"/>
          <w:szCs w:val="21"/>
          <w:u w:val="none"/>
          <w:shd w:fill="auto" w:val="clear"/>
          <w:vertAlign w:val="baseline"/>
          <w:rtl w:val="0"/>
        </w:rPr>
        <w:t xml:space="preserve">A consuming chain imports the result.</w:t>
      </w: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 Another shard wants to use the health snapshot. It fetches the published result envelope, independently verifies the signatures, policy version, epoch, and freshness, and only then writes it into its own state through its own transaction. Transport is never trusted: receiving a result and accepting a result are different steps, and the consumer owns the second one.</w:t>
      </w:r>
    </w:p>
    <w:bookmarkStart w:colFirst="0" w:colLast="0" w:name="bookmark=id.vurw7f4hnln4" w:id="5"/>
    <w:bookmarkEnd w:id="5"/>
    <w:p w:rsidR="00000000" w:rsidDel="00000000" w:rsidP="00000000" w:rsidRDefault="00000000" w:rsidRPr="00000000" w14:paraId="0000001B">
      <w:pPr>
        <w:pStyle w:val="Heading1"/>
        <w:rPr/>
      </w:pPr>
      <w:r w:rsidDel="00000000" w:rsidR="00000000" w:rsidRPr="00000000">
        <w:rPr>
          <w:rtl w:val="0"/>
        </w:rPr>
        <w:t xml:space="preserve">5. What version 1 will be — and refuse to be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63238"/>
          <w:sz w:val="21"/>
          <w:szCs w:val="21"/>
          <w:u w:val="none"/>
          <w:shd w:fill="auto" w:val="clear"/>
          <w:vertAlign w:val="baseline"/>
          <w:rtl w:val="0"/>
        </w:rPr>
        <w:t xml:space="preserve">V1 is:</w:t>
      </w: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 a permissioned reputation service running on multiple F1R3FLY validator nodes; validator-focused evidence types; append-only records with disputes and corrections; queries that return evidence, coverage, and proof; periodic published health snapshots; and one verified import path for consuming chains and applications.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63238"/>
          <w:sz w:val="21"/>
          <w:szCs w:val="21"/>
          <w:u w:val="none"/>
          <w:shd w:fill="auto" w:val="clear"/>
          <w:vertAlign w:val="baseline"/>
          <w:rtl w:val="0"/>
        </w:rPr>
        <w:t xml:space="preserve">V1 deliberately is not:</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263238"/>
          <w:sz w:val="21"/>
          <w:szCs w:val="21"/>
          <w:u w:val="none"/>
          <w:shd w:fill="auto" w:val="clear"/>
          <w:vertAlign w:val="baseline"/>
          <w:rtl w:val="0"/>
        </w:rPr>
        <w:t xml:space="preserve">An automatic enforcer.</w:t>
      </w: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 In V1, reputation observes and reports. It does not gate validator eligibility, trigger slashing, adjust rewards or emissions, or weight consensus. Any such use comes later, in small reversible steps, each behind its own approval gate.</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263238"/>
          <w:sz w:val="21"/>
          <w:szCs w:val="21"/>
          <w:u w:val="none"/>
          <w:shd w:fill="auto" w:val="clear"/>
          <w:vertAlign w:val="baseline"/>
          <w:rtl w:val="0"/>
        </w:rPr>
        <w:t xml:space="preserve">A universal score.</w:t>
      </w: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 There is no single portable number that follows an identity across all contexts. Reputation is always scoped: a subject, a behavior type, a scope, a time window, a policy.</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263238"/>
          <w:sz w:val="21"/>
          <w:szCs w:val="21"/>
          <w:u w:val="none"/>
          <w:shd w:fill="auto" w:val="clear"/>
          <w:vertAlign w:val="baseline"/>
          <w:rtl w:val="0"/>
        </w:rPr>
        <w:t xml:space="preserve">Trustless.</w:t>
      </w: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 V1's evidence submitters are explicitly permissioned and can still lie, collude, or omit. The design's honesty is that it says this out loud and builds the audit trail, dispute path, and separation of roles needed to catch and correct it — rather than claiming cryptography solves it.</w:t>
      </w:r>
    </w:p>
    <w:bookmarkStart w:colFirst="0" w:colLast="0" w:name="bookmark=id.hamlk1yns7e7" w:id="6"/>
    <w:bookmarkEnd w:id="6"/>
    <w:p w:rsidR="00000000" w:rsidDel="00000000" w:rsidP="00000000" w:rsidRDefault="00000000" w:rsidRPr="00000000" w14:paraId="00000021">
      <w:pPr>
        <w:pStyle w:val="Heading1"/>
        <w:rPr/>
      </w:pPr>
      <w:r w:rsidDel="00000000" w:rsidR="00000000" w:rsidRPr="00000000">
        <w:rPr>
          <w:rtl w:val="0"/>
        </w:rPr>
        <w:t xml:space="preserve">6. Why it is built this way</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The adversarial analysis behind the </w:t>
      </w:r>
      <w:r w:rsidDel="00000000" w:rsidR="00000000" w:rsidRPr="00000000">
        <w:rPr>
          <w:rFonts w:ascii="Calibri" w:cs="Calibri" w:eastAsia="Calibri" w:hAnsi="Calibri"/>
          <w:b w:val="0"/>
          <w:bCs w:val="0"/>
          <w:i w:val="1"/>
          <w:iCs w:val="1"/>
          <w:smallCaps w:val="0"/>
          <w:strike w:val="0"/>
          <w:color w:val="1f4d78"/>
          <w:sz w:val="21"/>
          <w:szCs w:val="21"/>
          <w:u w:val="none"/>
          <w:shd w:fill="auto" w:val="clear"/>
          <w:vertAlign w:val="baseline"/>
          <w:rtl w:val="0"/>
        </w:rPr>
        <w:t xml:space="preserve">Risk Register</w:t>
      </w: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 concluded that the biggest danger is not a broken signature or a hacked server. It is </w:t>
      </w:r>
      <w:r w:rsidDel="00000000" w:rsidR="00000000" w:rsidRPr="00000000">
        <w:rPr>
          <w:rFonts w:ascii="Calibri" w:cs="Calibri" w:eastAsia="Calibri" w:hAnsi="Calibri"/>
          <w:b w:val="1"/>
          <w:bCs w:val="1"/>
          <w:i w:val="0"/>
          <w:iCs w:val="0"/>
          <w:smallCaps w:val="0"/>
          <w:strike w:val="0"/>
          <w:color w:val="263238"/>
          <w:sz w:val="21"/>
          <w:szCs w:val="21"/>
          <w:u w:val="none"/>
          <w:shd w:fill="auto" w:val="clear"/>
          <w:vertAlign w:val="baseline"/>
          <w:rtl w:val="0"/>
        </w:rPr>
        <w:t xml:space="preserve">manufactured credibility</w:t>
      </w: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 an attacker who follows every rule and still ends up with undeserved standing — by dressing one real event up as many independent confirmations, by circulating stake and fees among their own accounts, by reporting only favorable facts and proving them perfectly, or by capturing the authorized submitters themselves. The Risk Register's threat model describes these patterns and the defense against each one.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This is also why the roadmap is a ladder — observe, then shadow-score, then advise, then (only with separate approval and caps) influence anything economic. Reputation earns authority the same way its subjects do: by accumulating evidence.</w:t>
      </w:r>
    </w:p>
    <w:bookmarkStart w:colFirst="0" w:colLast="0" w:name="bookmark=id.30a5pi253tmh" w:id="7"/>
    <w:bookmarkEnd w:id="7"/>
    <w:p w:rsidR="00000000" w:rsidDel="00000000" w:rsidP="00000000" w:rsidRDefault="00000000" w:rsidRPr="00000000" w14:paraId="00000024">
      <w:pPr>
        <w:pStyle w:val="Heading1"/>
        <w:rPr/>
      </w:pPr>
      <w:r w:rsidDel="00000000" w:rsidR="00000000" w:rsidRPr="00000000">
        <w:rPr>
          <w:rtl w:val="0"/>
        </w:rPr>
        <w:t xml:space="preserve">7. What is decided, and what is open</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63238"/>
          <w:sz w:val="21"/>
          <w:szCs w:val="21"/>
          <w:u w:val="none"/>
          <w:shd w:fill="auto" w:val="clear"/>
          <w:vertAlign w:val="baseline"/>
          <w:rtl w:val="0"/>
        </w:rPr>
        <w:t xml:space="preserve">Settled direction</w:t>
      </w: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 (recommended by this package, pending stakeholder sign-off): evidence-first records with derived projections; validator-first scope; hosting the system inside the F1R3FLY node as a dedicated multi-validator shard rather than a separate database — this is an explicit hypothesis the next milestone must prove; periodic published snapshots with consumer-side verification; economics kept strictly downstream.</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63238"/>
          <w:sz w:val="21"/>
          <w:szCs w:val="21"/>
          <w:u w:val="none"/>
          <w:shd w:fill="auto" w:val="clear"/>
          <w:vertAlign w:val="baseline"/>
          <w:rtl w:val="0"/>
        </w:rPr>
        <w:t xml:space="preserve">Open decisions.</w:t>
      </w: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 The package tracks 30 open questions, each with a recommended starting point, an owner role, and the project stage it must be decided by. In plain terms, the biggest ones are: which validator behaviors to track first; who may submit which kinds of evidence; the exact evidence schema and privacy profile; how disputes are adjudicated and how far back corrections can reach; who certifies published snapshots; how callers submit queries and learn that results are ready; and which state must update atomically versus publish through a staged version. None of these are mysteries — each has a proposed answer — but they need actual decisions, because several of them are the difference between a system that can be captured and one that cannot.</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The questions are grouped into three decision gates: </w:t>
      </w:r>
      <w:r w:rsidDel="00000000" w:rsidR="00000000" w:rsidRPr="00000000">
        <w:rPr>
          <w:rFonts w:ascii="Calibri" w:cs="Calibri" w:eastAsia="Calibri" w:hAnsi="Calibri"/>
          <w:b w:val="1"/>
          <w:bCs w:val="1"/>
          <w:i w:val="0"/>
          <w:iCs w:val="0"/>
          <w:smallCaps w:val="0"/>
          <w:strike w:val="0"/>
          <w:color w:val="263238"/>
          <w:sz w:val="21"/>
          <w:szCs w:val="21"/>
          <w:u w:val="none"/>
          <w:shd w:fill="auto" w:val="clear"/>
          <w:vertAlign w:val="baseline"/>
          <w:rtl w:val="0"/>
        </w:rPr>
        <w:t xml:space="preserve">Gate 1</w:t>
      </w: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 must be decided before the requirements are signed off; </w:t>
      </w:r>
      <w:r w:rsidDel="00000000" w:rsidR="00000000" w:rsidRPr="00000000">
        <w:rPr>
          <w:rFonts w:ascii="Calibri" w:cs="Calibri" w:eastAsia="Calibri" w:hAnsi="Calibri"/>
          <w:b w:val="1"/>
          <w:bCs w:val="1"/>
          <w:i w:val="0"/>
          <w:iCs w:val="0"/>
          <w:smallCaps w:val="0"/>
          <w:strike w:val="0"/>
          <w:color w:val="263238"/>
          <w:sz w:val="21"/>
          <w:szCs w:val="21"/>
          <w:u w:val="none"/>
          <w:shd w:fill="auto" w:val="clear"/>
          <w:vertAlign w:val="baseline"/>
          <w:rtl w:val="0"/>
        </w:rPr>
        <w:t xml:space="preserve">Gate 2</w:t>
      </w: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 before reputation is allowed to influence any incentive; </w:t>
      </w:r>
      <w:r w:rsidDel="00000000" w:rsidR="00000000" w:rsidRPr="00000000">
        <w:rPr>
          <w:rFonts w:ascii="Calibri" w:cs="Calibri" w:eastAsia="Calibri" w:hAnsi="Calibri"/>
          <w:b w:val="1"/>
          <w:bCs w:val="1"/>
          <w:i w:val="0"/>
          <w:iCs w:val="0"/>
          <w:smallCaps w:val="0"/>
          <w:strike w:val="0"/>
          <w:color w:val="263238"/>
          <w:sz w:val="21"/>
          <w:szCs w:val="21"/>
          <w:u w:val="none"/>
          <w:shd w:fill="auto" w:val="clear"/>
          <w:vertAlign w:val="baseline"/>
          <w:rtl w:val="0"/>
        </w:rPr>
        <w:t xml:space="preserve">Gate 3</w:t>
      </w: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 can wait beyond version 1. These are distinct from the </w:t>
      </w:r>
      <w:r w:rsidDel="00000000" w:rsidR="00000000" w:rsidRPr="00000000">
        <w:rPr>
          <w:rFonts w:ascii="Calibri" w:cs="Calibri" w:eastAsia="Calibri" w:hAnsi="Calibri"/>
          <w:b w:val="1"/>
          <w:bCs w:val="1"/>
          <w:i w:val="0"/>
          <w:iCs w:val="0"/>
          <w:smallCaps w:val="0"/>
          <w:strike w:val="0"/>
          <w:color w:val="263238"/>
          <w:sz w:val="21"/>
          <w:szCs w:val="21"/>
          <w:u w:val="none"/>
          <w:shd w:fill="auto" w:val="clear"/>
          <w:vertAlign w:val="baseline"/>
          <w:rtl w:val="0"/>
        </w:rPr>
        <w:t xml:space="preserve">RG1-RG6 validation gates</w:t>
      </w: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 which require implementation or test evidence, and from </w:t>
      </w:r>
      <w:r w:rsidDel="00000000" w:rsidR="00000000" w:rsidRPr="00000000">
        <w:rPr>
          <w:rFonts w:ascii="Calibri" w:cs="Calibri" w:eastAsia="Calibri" w:hAnsi="Calibri"/>
          <w:b w:val="1"/>
          <w:bCs w:val="1"/>
          <w:i w:val="0"/>
          <w:iCs w:val="0"/>
          <w:smallCaps w:val="0"/>
          <w:strike w:val="0"/>
          <w:color w:val="263238"/>
          <w:sz w:val="21"/>
          <w:szCs w:val="21"/>
          <w:u w:val="none"/>
          <w:shd w:fill="auto" w:val="clear"/>
          <w:vertAlign w:val="baseline"/>
          <w:rtl w:val="0"/>
        </w:rPr>
        <w:t xml:space="preserve">contract freezes</w:t>
      </w: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 which are deadlines for settling named questions. The Roadmap maps all three controls to the implementation sequence.</w:t>
      </w:r>
    </w:p>
    <w:bookmarkStart w:colFirst="0" w:colLast="0" w:name="bookmark=id.x3g62dtqk9e8" w:id="8"/>
    <w:bookmarkEnd w:id="8"/>
    <w:p w:rsidR="00000000" w:rsidDel="00000000" w:rsidP="00000000" w:rsidRDefault="00000000" w:rsidRPr="00000000" w14:paraId="00000028">
      <w:pPr>
        <w:pStyle w:val="Heading1"/>
        <w:rPr/>
      </w:pPr>
      <w:r w:rsidDel="00000000" w:rsidR="00000000" w:rsidRPr="00000000">
        <w:rPr>
          <w:rtl w:val="0"/>
        </w:rPr>
        <w:t xml:space="preserve">8. What happens next</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The next milestone is a working proof of concept: demonstrate, on a real local multi-validator shard, the full loop — submit evidence, finalize it, query it with proof, dispute it, invalidate it, and replay deterministically — with measured performance against agreed limits. Its purpose is to confirm or refute the "host it in the node" hypothesis before anything is built on top of it.</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After that: one consumer-integration milestone (prove a consuming chain can safely import results and reject bad ones), one hardening milestone (attack simulations, score-policy calibration against historical validator data), and production readiness. Only at the end of that sequence, with separate approval, does any reputation signal begin to carry small, reversible economic weight.</w:t>
      </w:r>
    </w:p>
    <w:bookmarkStart w:colFirst="0" w:colLast="0" w:name="bookmark=id.wt6p0ns6bx7w" w:id="9"/>
    <w:bookmarkEnd w:id="9"/>
    <w:p w:rsidR="00000000" w:rsidDel="00000000" w:rsidP="00000000" w:rsidRDefault="00000000" w:rsidRPr="00000000" w14:paraId="0000002B">
      <w:pPr>
        <w:pStyle w:val="Heading1"/>
        <w:rPr/>
      </w:pPr>
      <w:r w:rsidDel="00000000" w:rsidR="00000000" w:rsidRPr="00000000">
        <w:rPr>
          <w:rtl w:val="0"/>
        </w:rPr>
        <w:t xml:space="preserve">9. The deliverables</w:t>
      </w:r>
    </w:p>
    <w:tbl>
      <w:tblPr>
        <w:tblStyle w:val="Table1"/>
        <w:tblW w:w="9358.0" w:type="dxa"/>
        <w:jc w:val="left"/>
        <w:tblInd w:w="-48.00000000000001" w:type="dxa"/>
        <w:tblBorders>
          <w:top w:color="d0d7de" w:space="0" w:sz="4" w:val="single"/>
          <w:left w:color="d0d7de" w:space="0" w:sz="4" w:val="single"/>
          <w:bottom w:color="d0d7de" w:space="0" w:sz="4" w:val="single"/>
          <w:right w:color="d0d7de" w:space="0" w:sz="4" w:val="single"/>
          <w:insideH w:color="d0d7de" w:space="0" w:sz="4" w:val="single"/>
          <w:insideV w:color="d0d7de" w:space="0" w:sz="4" w:val="single"/>
        </w:tblBorders>
        <w:tblLayout w:type="fixed"/>
        <w:tblLook w:val="0020"/>
      </w:tblPr>
      <w:tblGrid>
        <w:gridCol w:w="735"/>
        <w:gridCol w:w="1751"/>
        <w:gridCol w:w="5366"/>
        <w:gridCol w:w="1506"/>
        <w:tblGridChange w:id="0">
          <w:tblGrid>
            <w:gridCol w:w="735"/>
            <w:gridCol w:w="1751"/>
            <w:gridCol w:w="5366"/>
            <w:gridCol w:w="1506"/>
          </w:tblGrid>
        </w:tblGridChange>
      </w:tblGrid>
      <w:tr>
        <w:trPr>
          <w:cantSplit w:val="1"/>
          <w:tblHeader w:val="1"/>
        </w:trPr>
        <w:tc>
          <w:tcPr>
            <w:shd w:fill="f2f4f7" w:val="clear"/>
            <w:tcMar>
              <w:top w:w="50.0" w:type="dxa"/>
              <w:bottom w:w="50.0" w:type="dxa"/>
            </w:tcMa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7"/>
                <w:szCs w:val="17"/>
                <w:u w:val="none"/>
                <w:shd w:fill="auto" w:val="clear"/>
                <w:vertAlign w:val="baseline"/>
                <w:rtl w:val="0"/>
              </w:rPr>
              <w:t xml:space="preserve">#</w:t>
            </w:r>
            <w:r w:rsidDel="00000000" w:rsidR="00000000" w:rsidRPr="00000000">
              <w:rPr>
                <w:rtl w:val="0"/>
              </w:rPr>
            </w:r>
          </w:p>
        </w:tc>
        <w:tc>
          <w:tcPr>
            <w:shd w:fill="f2f4f7" w:val="clear"/>
            <w:tcMar>
              <w:top w:w="50.0" w:type="dxa"/>
              <w:bottom w:w="50.0" w:type="dxa"/>
            </w:tcMa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7"/>
                <w:szCs w:val="17"/>
                <w:u w:val="none"/>
                <w:shd w:fill="auto" w:val="clear"/>
                <w:vertAlign w:val="baseline"/>
                <w:rtl w:val="0"/>
              </w:rPr>
              <w:t xml:space="preserve">Deliverable</w:t>
            </w:r>
            <w:r w:rsidDel="00000000" w:rsidR="00000000" w:rsidRPr="00000000">
              <w:rPr>
                <w:rtl w:val="0"/>
              </w:rPr>
            </w:r>
          </w:p>
        </w:tc>
        <w:tc>
          <w:tcPr>
            <w:shd w:fill="f2f4f7" w:val="clear"/>
            <w:tcMar>
              <w:top w:w="50.0" w:type="dxa"/>
              <w:bottom w:w="50.0" w:type="dxa"/>
            </w:tcMa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7"/>
                <w:szCs w:val="17"/>
                <w:u w:val="none"/>
                <w:shd w:fill="auto" w:val="clear"/>
                <w:vertAlign w:val="baseline"/>
                <w:rtl w:val="0"/>
              </w:rPr>
              <w:t xml:space="preserve">What it covers</w:t>
            </w:r>
            <w:r w:rsidDel="00000000" w:rsidR="00000000" w:rsidRPr="00000000">
              <w:rPr>
                <w:rtl w:val="0"/>
              </w:rPr>
            </w:r>
          </w:p>
        </w:tc>
        <w:tc>
          <w:tcPr>
            <w:shd w:fill="f2f4f7" w:val="clear"/>
            <w:tcMar>
              <w:top w:w="50.0" w:type="dxa"/>
              <w:bottom w:w="50.0" w:type="dxa"/>
            </w:tcMa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7"/>
                <w:szCs w:val="17"/>
                <w:u w:val="none"/>
                <w:shd w:fill="auto" w:val="clear"/>
                <w:vertAlign w:val="baseline"/>
                <w:rtl w:val="0"/>
              </w:rPr>
              <w:t xml:space="preserve">Status</w:t>
            </w:r>
            <w:r w:rsidDel="00000000" w:rsidR="00000000" w:rsidRPr="00000000">
              <w:rPr>
                <w:rtl w:val="0"/>
              </w:rPr>
            </w:r>
          </w:p>
        </w:tc>
      </w:tr>
      <w:tr>
        <w:trPr>
          <w:cantSplit w:val="1"/>
          <w:tblHeader w:val="0"/>
        </w:trPr>
        <w:tc>
          <w:tcPr>
            <w:tcMar>
              <w:top w:w="50.0" w:type="dxa"/>
              <w:bottom w:w="50.0" w:type="dxa"/>
            </w:tcMar>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1</w:t>
            </w:r>
            <w:r w:rsidDel="00000000" w:rsidR="00000000" w:rsidRPr="00000000">
              <w:rPr>
                <w:rtl w:val="0"/>
              </w:rPr>
            </w:r>
          </w:p>
        </w:tc>
        <w:tc>
          <w:tcPr>
            <w:tcMar>
              <w:top w:w="50.0" w:type="dxa"/>
              <w:bottom w:w="50.0" w:type="dxa"/>
            </w:tcMa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1"/>
                <w:iCs w:val="1"/>
                <w:smallCaps w:val="0"/>
                <w:strike w:val="0"/>
                <w:color w:val="1f4d78"/>
                <w:sz w:val="17"/>
                <w:szCs w:val="17"/>
                <w:u w:val="none"/>
                <w:shd w:fill="auto" w:val="clear"/>
                <w:vertAlign w:val="baseline"/>
                <w:rtl w:val="0"/>
              </w:rPr>
              <w:t xml:space="preserve">Research and Tokenomics Synthesis</w:t>
            </w:r>
            <w:r w:rsidDel="00000000" w:rsidR="00000000" w:rsidRPr="00000000">
              <w:rPr>
                <w:rtl w:val="0"/>
              </w:rPr>
            </w:r>
          </w:p>
        </w:tc>
        <w:tc>
          <w:tcPr>
            <w:tcMar>
              <w:top w:w="50.0" w:type="dxa"/>
              <w:bottom w:w="50.0" w:type="dxa"/>
            </w:tcMa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What the source papers and tokenomics materials say, where they agree and conflict, shared terminology, and the design assumptions we recommend</w:t>
            </w:r>
            <w:r w:rsidDel="00000000" w:rsidR="00000000" w:rsidRPr="00000000">
              <w:rPr>
                <w:rtl w:val="0"/>
              </w:rPr>
            </w:r>
          </w:p>
        </w:tc>
        <w:tc>
          <w:tcPr>
            <w:tcMar>
              <w:top w:w="50.0" w:type="dxa"/>
              <w:bottom w:w="50.0" w:type="dxa"/>
            </w:tcMa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For review</w:t>
            </w:r>
            <w:r w:rsidDel="00000000" w:rsidR="00000000" w:rsidRPr="00000000">
              <w:rPr>
                <w:rtl w:val="0"/>
              </w:rPr>
            </w:r>
          </w:p>
        </w:tc>
      </w:tr>
      <w:tr>
        <w:trPr>
          <w:cantSplit w:val="1"/>
          <w:tblHeader w:val="0"/>
        </w:trPr>
        <w:tc>
          <w:tcPr>
            <w:tcMar>
              <w:top w:w="50.0" w:type="dxa"/>
              <w:bottom w:w="50.0" w:type="dxa"/>
            </w:tcMa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2</w:t>
            </w:r>
            <w:r w:rsidDel="00000000" w:rsidR="00000000" w:rsidRPr="00000000">
              <w:rPr>
                <w:rtl w:val="0"/>
              </w:rPr>
            </w:r>
          </w:p>
        </w:tc>
        <w:tc>
          <w:tcPr>
            <w:tcMar>
              <w:top w:w="50.0" w:type="dxa"/>
              <w:bottom w:w="50.0" w:type="dxa"/>
            </w:tcMa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1"/>
                <w:iCs w:val="1"/>
                <w:smallCaps w:val="0"/>
                <w:strike w:val="0"/>
                <w:color w:val="1f4d78"/>
                <w:sz w:val="17"/>
                <w:szCs w:val="17"/>
                <w:u w:val="none"/>
                <w:shd w:fill="auto" w:val="clear"/>
                <w:vertAlign w:val="baseline"/>
                <w:rtl w:val="0"/>
              </w:rPr>
              <w:t xml:space="preserve">Product Requirements Document</w:t>
            </w:r>
            <w:r w:rsidDel="00000000" w:rsidR="00000000" w:rsidRPr="00000000">
              <w:rPr>
                <w:rtl w:val="0"/>
              </w:rPr>
            </w:r>
          </w:p>
        </w:tc>
        <w:tc>
          <w:tcPr>
            <w:tcMar>
              <w:top w:w="50.0" w:type="dxa"/>
              <w:bottom w:w="50.0" w:type="dxa"/>
            </w:tcMa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Who the system serves, the first actor journeys and use cases, and what it must do</w:t>
            </w:r>
            <w:r w:rsidDel="00000000" w:rsidR="00000000" w:rsidRPr="00000000">
              <w:rPr>
                <w:rtl w:val="0"/>
              </w:rPr>
            </w:r>
          </w:p>
        </w:tc>
        <w:tc>
          <w:tcPr>
            <w:tcMar>
              <w:top w:w="50.0" w:type="dxa"/>
              <w:bottom w:w="50.0" w:type="dxa"/>
            </w:tcMar>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For review</w:t>
            </w:r>
            <w:r w:rsidDel="00000000" w:rsidR="00000000" w:rsidRPr="00000000">
              <w:rPr>
                <w:rtl w:val="0"/>
              </w:rPr>
            </w:r>
          </w:p>
        </w:tc>
      </w:tr>
      <w:tr>
        <w:trPr>
          <w:cantSplit w:val="1"/>
          <w:tblHeader w:val="0"/>
        </w:trPr>
        <w:tc>
          <w:tcPr>
            <w:tcMar>
              <w:top w:w="50.0" w:type="dxa"/>
              <w:bottom w:w="50.0" w:type="dxa"/>
            </w:tcMa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3</w:t>
            </w:r>
            <w:r w:rsidDel="00000000" w:rsidR="00000000" w:rsidRPr="00000000">
              <w:rPr>
                <w:rtl w:val="0"/>
              </w:rPr>
            </w:r>
          </w:p>
        </w:tc>
        <w:tc>
          <w:tcPr>
            <w:tcMar>
              <w:top w:w="50.0" w:type="dxa"/>
              <w:bottom w:w="50.0" w:type="dxa"/>
            </w:tcMa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1"/>
                <w:iCs w:val="1"/>
                <w:smallCaps w:val="0"/>
                <w:strike w:val="0"/>
                <w:color w:val="1f4d78"/>
                <w:sz w:val="17"/>
                <w:szCs w:val="17"/>
                <w:u w:val="none"/>
                <w:shd w:fill="auto" w:val="clear"/>
                <w:vertAlign w:val="baseline"/>
                <w:rtl w:val="0"/>
              </w:rPr>
              <w:t xml:space="preserve">Evidence and Claims Model</w:t>
            </w:r>
            <w:r w:rsidDel="00000000" w:rsidR="00000000" w:rsidRPr="00000000">
              <w:rPr>
                <w:rtl w:val="0"/>
              </w:rPr>
            </w:r>
          </w:p>
        </w:tc>
        <w:tc>
          <w:tcPr>
            <w:tcMar>
              <w:top w:w="50.0" w:type="dxa"/>
              <w:bottom w:w="50.0" w:type="dxa"/>
            </w:tcMa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The information itself: evidence events, claims and disputes, identity, provenance, corrections, and how queries answer</w:t>
            </w:r>
            <w:r w:rsidDel="00000000" w:rsidR="00000000" w:rsidRPr="00000000">
              <w:rPr>
                <w:rtl w:val="0"/>
              </w:rPr>
            </w:r>
          </w:p>
        </w:tc>
        <w:tc>
          <w:tcPr>
            <w:tcMar>
              <w:top w:w="50.0" w:type="dxa"/>
              <w:bottom w:w="50.0" w:type="dxa"/>
            </w:tcMa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For review</w:t>
            </w:r>
            <w:r w:rsidDel="00000000" w:rsidR="00000000" w:rsidRPr="00000000">
              <w:rPr>
                <w:rtl w:val="0"/>
              </w:rPr>
            </w:r>
          </w:p>
        </w:tc>
      </w:tr>
      <w:tr>
        <w:trPr>
          <w:cantSplit w:val="1"/>
          <w:tblHeader w:val="0"/>
        </w:trPr>
        <w:tc>
          <w:tcPr>
            <w:tcMar>
              <w:top w:w="50.0" w:type="dxa"/>
              <w:bottom w:w="50.0" w:type="dxa"/>
            </w:tcMa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4</w:t>
            </w:r>
            <w:r w:rsidDel="00000000" w:rsidR="00000000" w:rsidRPr="00000000">
              <w:rPr>
                <w:rtl w:val="0"/>
              </w:rPr>
            </w:r>
          </w:p>
        </w:tc>
        <w:tc>
          <w:tcPr>
            <w:tcMar>
              <w:top w:w="50.0" w:type="dxa"/>
              <w:bottom w:w="50.0" w:type="dxa"/>
            </w:tcMa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1"/>
                <w:iCs w:val="1"/>
                <w:smallCaps w:val="0"/>
                <w:strike w:val="0"/>
                <w:color w:val="1f4d78"/>
                <w:sz w:val="17"/>
                <w:szCs w:val="17"/>
                <w:u w:val="none"/>
                <w:shd w:fill="auto" w:val="clear"/>
                <w:vertAlign w:val="baseline"/>
                <w:rtl w:val="0"/>
              </w:rPr>
              <w:t xml:space="preserve">Architecture Design</w:t>
            </w:r>
            <w:r w:rsidDel="00000000" w:rsidR="00000000" w:rsidRPr="00000000">
              <w:rPr>
                <w:rtl w:val="0"/>
              </w:rPr>
            </w:r>
          </w:p>
        </w:tc>
        <w:tc>
          <w:tcPr>
            <w:tcMar>
              <w:top w:w="50.0" w:type="dxa"/>
              <w:bottom w:w="50.0" w:type="dxa"/>
            </w:tcMa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How it runs on F1R3FLY: state, components, interfaces, cross-shard import, what is in V1 versus deferred, and the tests that will prove the design</w:t>
            </w:r>
            <w:r w:rsidDel="00000000" w:rsidR="00000000" w:rsidRPr="00000000">
              <w:rPr>
                <w:rtl w:val="0"/>
              </w:rPr>
            </w:r>
          </w:p>
        </w:tc>
        <w:tc>
          <w:tcPr>
            <w:tcMar>
              <w:top w:w="50.0" w:type="dxa"/>
              <w:bottom w:w="50.0" w:type="dxa"/>
            </w:tcMa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Proposed design, to be proven by the prototype</w:t>
            </w:r>
            <w:r w:rsidDel="00000000" w:rsidR="00000000" w:rsidRPr="00000000">
              <w:rPr>
                <w:rtl w:val="0"/>
              </w:rPr>
            </w:r>
          </w:p>
        </w:tc>
      </w:tr>
      <w:tr>
        <w:trPr>
          <w:cantSplit w:val="1"/>
          <w:tblHeader w:val="0"/>
        </w:trPr>
        <w:tc>
          <w:tcPr>
            <w:tcMar>
              <w:top w:w="50.0" w:type="dxa"/>
              <w:bottom w:w="50.0" w:type="dxa"/>
            </w:tcMa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5</w:t>
            </w:r>
            <w:r w:rsidDel="00000000" w:rsidR="00000000" w:rsidRPr="00000000">
              <w:rPr>
                <w:rtl w:val="0"/>
              </w:rPr>
            </w:r>
          </w:p>
        </w:tc>
        <w:tc>
          <w:tcPr>
            <w:tcMar>
              <w:top w:w="50.0" w:type="dxa"/>
              <w:bottom w:w="50.0" w:type="dxa"/>
            </w:tcMa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1"/>
                <w:iCs w:val="1"/>
                <w:smallCaps w:val="0"/>
                <w:strike w:val="0"/>
                <w:color w:val="1f4d78"/>
                <w:sz w:val="17"/>
                <w:szCs w:val="17"/>
                <w:u w:val="none"/>
                <w:shd w:fill="auto" w:val="clear"/>
                <w:vertAlign w:val="baseline"/>
                <w:rtl w:val="0"/>
              </w:rPr>
              <w:t xml:space="preserve">Implementation Roadmap</w:t>
            </w:r>
            <w:r w:rsidDel="00000000" w:rsidR="00000000" w:rsidRPr="00000000">
              <w:rPr>
                <w:rtl w:val="0"/>
              </w:rPr>
            </w:r>
          </w:p>
        </w:tc>
        <w:tc>
          <w:tcPr>
            <w:tcMar>
              <w:top w:w="50.0" w:type="dxa"/>
              <w:bottom w:w="50.0" w:type="dxa"/>
            </w:tcMa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What gets built when: order, dependencies, and the evidence required to advance each stage</w:t>
            </w:r>
            <w:r w:rsidDel="00000000" w:rsidR="00000000" w:rsidRPr="00000000">
              <w:rPr>
                <w:rtl w:val="0"/>
              </w:rPr>
            </w:r>
          </w:p>
        </w:tc>
        <w:tc>
          <w:tcPr>
            <w:tcMar>
              <w:top w:w="50.0" w:type="dxa"/>
              <w:bottom w:w="50.0" w:type="dxa"/>
            </w:tcMa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For review</w:t>
            </w:r>
            <w:r w:rsidDel="00000000" w:rsidR="00000000" w:rsidRPr="00000000">
              <w:rPr>
                <w:rtl w:val="0"/>
              </w:rPr>
            </w:r>
          </w:p>
        </w:tc>
      </w:tr>
      <w:tr>
        <w:trPr>
          <w:cantSplit w:val="1"/>
          <w:tblHeader w:val="0"/>
        </w:trPr>
        <w:tc>
          <w:tcPr>
            <w:tcMar>
              <w:top w:w="50.0" w:type="dxa"/>
              <w:bottom w:w="50.0" w:type="dxa"/>
            </w:tcMa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6</w:t>
            </w:r>
            <w:r w:rsidDel="00000000" w:rsidR="00000000" w:rsidRPr="00000000">
              <w:rPr>
                <w:rtl w:val="0"/>
              </w:rPr>
            </w:r>
          </w:p>
        </w:tc>
        <w:tc>
          <w:tcPr>
            <w:tcMar>
              <w:top w:w="50.0" w:type="dxa"/>
              <w:bottom w:w="50.0" w:type="dxa"/>
            </w:tcMa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1"/>
                <w:iCs w:val="1"/>
                <w:smallCaps w:val="0"/>
                <w:strike w:val="0"/>
                <w:color w:val="1f4d78"/>
                <w:sz w:val="17"/>
                <w:szCs w:val="17"/>
                <w:u w:val="none"/>
                <w:shd w:fill="auto" w:val="clear"/>
                <w:vertAlign w:val="baseline"/>
                <w:rtl w:val="0"/>
              </w:rPr>
              <w:t xml:space="preserve">Open Question Register</w:t>
            </w:r>
            <w:r w:rsidDel="00000000" w:rsidR="00000000" w:rsidRPr="00000000">
              <w:rPr>
                <w:rtl w:val="0"/>
              </w:rPr>
            </w:r>
          </w:p>
        </w:tc>
        <w:tc>
          <w:tcPr>
            <w:tcMar>
              <w:top w:w="50.0" w:type="dxa"/>
              <w:bottom w:w="50.0" w:type="dxa"/>
            </w:tcMa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Every open decision, with a proposed answer, an owner, and the stage it must be decided by</w:t>
            </w:r>
            <w:r w:rsidDel="00000000" w:rsidR="00000000" w:rsidRPr="00000000">
              <w:rPr>
                <w:rtl w:val="0"/>
              </w:rPr>
            </w:r>
          </w:p>
        </w:tc>
        <w:tc>
          <w:tcPr>
            <w:tcMar>
              <w:top w:w="50.0" w:type="dxa"/>
              <w:bottom w:w="50.0" w:type="dxa"/>
            </w:tcMa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Live — updated as decisions land</w:t>
            </w:r>
            <w:r w:rsidDel="00000000" w:rsidR="00000000" w:rsidRPr="00000000">
              <w:rPr>
                <w:rtl w:val="0"/>
              </w:rPr>
            </w:r>
          </w:p>
        </w:tc>
      </w:tr>
      <w:tr>
        <w:trPr>
          <w:cantSplit w:val="1"/>
          <w:tblHeader w:val="0"/>
        </w:trPr>
        <w:tc>
          <w:tcPr>
            <w:tcMar>
              <w:top w:w="50.0" w:type="dxa"/>
              <w:bottom w:w="50.0" w:type="dxa"/>
            </w:tcMa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7</w:t>
            </w:r>
            <w:r w:rsidDel="00000000" w:rsidR="00000000" w:rsidRPr="00000000">
              <w:rPr>
                <w:rtl w:val="0"/>
              </w:rPr>
            </w:r>
          </w:p>
        </w:tc>
        <w:tc>
          <w:tcPr>
            <w:tcMar>
              <w:top w:w="50.0" w:type="dxa"/>
              <w:bottom w:w="50.0" w:type="dxa"/>
            </w:tcMa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1"/>
                <w:iCs w:val="1"/>
                <w:smallCaps w:val="0"/>
                <w:strike w:val="0"/>
                <w:color w:val="1f4d78"/>
                <w:sz w:val="17"/>
                <w:szCs w:val="17"/>
                <w:u w:val="none"/>
                <w:shd w:fill="auto" w:val="clear"/>
                <w:vertAlign w:val="baseline"/>
                <w:rtl w:val="0"/>
              </w:rPr>
              <w:t xml:space="preserve">Risk Register</w:t>
            </w:r>
            <w:r w:rsidDel="00000000" w:rsidR="00000000" w:rsidRPr="00000000">
              <w:rPr>
                <w:rtl w:val="0"/>
              </w:rPr>
            </w:r>
          </w:p>
        </w:tc>
        <w:tc>
          <w:tcPr>
            <w:tcMar>
              <w:top w:w="50.0" w:type="dxa"/>
              <w:bottom w:w="50.0" w:type="dxa"/>
            </w:tcMa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What can go wrong, how each risk is mitigated, and which risks block which stage</w:t>
            </w:r>
            <w:r w:rsidDel="00000000" w:rsidR="00000000" w:rsidRPr="00000000">
              <w:rPr>
                <w:rtl w:val="0"/>
              </w:rPr>
            </w:r>
          </w:p>
        </w:tc>
        <w:tc>
          <w:tcPr>
            <w:tcMar>
              <w:top w:w="50.0" w:type="dxa"/>
              <w:bottom w:w="50.0" w:type="dxa"/>
            </w:tcMa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For review</w:t>
            </w:r>
            <w:r w:rsidDel="00000000" w:rsidR="00000000" w:rsidRPr="00000000">
              <w:rPr>
                <w:rtl w:val="0"/>
              </w:rPr>
            </w:r>
          </w:p>
        </w:tc>
      </w:tr>
    </w:tbl>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For a first pass we suggest this order: the opening sections of the synthesis for the reasoning and the recommended design position; then the PRD's personas and actor journeys, which retell the story from Section 4 in full technical detail; then a skim of the Risk Register's main table and the Open Question Register to see what needs deciding and why. The Evidence and Claims Model and the Architecture Design are the deepest documents — reference material for detailed review and for the implementing team, not required reading for a first orientation.</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Each topic has one primary document; the others may summarize it briefly and link back to that source of detail.</w:t>
      </w:r>
    </w:p>
    <w:bookmarkStart w:colFirst="0" w:colLast="0" w:name="bookmark=id.gswjpxjwdypc" w:id="10"/>
    <w:bookmarkEnd w:id="10"/>
    <w:p w:rsidR="00000000" w:rsidDel="00000000" w:rsidP="00000000" w:rsidRDefault="00000000" w:rsidRPr="00000000" w14:paraId="0000004E">
      <w:pPr>
        <w:pStyle w:val="Heading1"/>
        <w:rPr/>
      </w:pPr>
      <w:r w:rsidDel="00000000" w:rsidR="00000000" w:rsidRPr="00000000">
        <w:rPr>
          <w:rtl w:val="0"/>
        </w:rPr>
        <w:t xml:space="preserve">10. Meeting the scope's acceptance criteria</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The scoping proposal sets seven acceptance criteria. This table shows where each one is met and what remains for it to close.</w:t>
      </w:r>
    </w:p>
    <w:tbl>
      <w:tblPr>
        <w:tblStyle w:val="Table2"/>
        <w:tblW w:w="9360.0" w:type="dxa"/>
        <w:jc w:val="left"/>
        <w:tblInd w:w="-48.00000000000001" w:type="dxa"/>
        <w:tblBorders>
          <w:top w:color="d0d7de" w:space="0" w:sz="4" w:val="single"/>
          <w:left w:color="d0d7de" w:space="0" w:sz="4" w:val="single"/>
          <w:bottom w:color="d0d7de" w:space="0" w:sz="4" w:val="single"/>
          <w:right w:color="d0d7de" w:space="0" w:sz="4" w:val="single"/>
          <w:insideH w:color="d0d7de" w:space="0" w:sz="4" w:val="single"/>
          <w:insideV w:color="d0d7de" w:space="0" w:sz="4" w:val="single"/>
        </w:tblBorders>
        <w:tblLayout w:type="fixed"/>
        <w:tblLook w:val="0020"/>
      </w:tblPr>
      <w:tblGrid>
        <w:gridCol w:w="3374"/>
        <w:gridCol w:w="1420"/>
        <w:gridCol w:w="1325"/>
        <w:gridCol w:w="3241"/>
        <w:tblGridChange w:id="0">
          <w:tblGrid>
            <w:gridCol w:w="3374"/>
            <w:gridCol w:w="1420"/>
            <w:gridCol w:w="1325"/>
            <w:gridCol w:w="3241"/>
          </w:tblGrid>
        </w:tblGridChange>
      </w:tblGrid>
      <w:tr>
        <w:trPr>
          <w:cantSplit w:val="1"/>
          <w:tblHeader w:val="1"/>
        </w:trPr>
        <w:tc>
          <w:tcPr>
            <w:shd w:fill="f2f4f7" w:val="clear"/>
            <w:tcMar>
              <w:top w:w="50.0" w:type="dxa"/>
              <w:bottom w:w="50.0" w:type="dxa"/>
            </w:tcMa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7"/>
                <w:szCs w:val="17"/>
                <w:u w:val="none"/>
                <w:shd w:fill="auto" w:val="clear"/>
                <w:vertAlign w:val="baseline"/>
                <w:rtl w:val="0"/>
              </w:rPr>
              <w:t xml:space="preserve">Acceptance criterion</w:t>
            </w:r>
            <w:r w:rsidDel="00000000" w:rsidR="00000000" w:rsidRPr="00000000">
              <w:rPr>
                <w:rtl w:val="0"/>
              </w:rPr>
            </w:r>
          </w:p>
        </w:tc>
        <w:tc>
          <w:tcPr>
            <w:shd w:fill="f2f4f7" w:val="clear"/>
            <w:tcMar>
              <w:top w:w="50.0" w:type="dxa"/>
              <w:bottom w:w="50.0" w:type="dxa"/>
            </w:tcMa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7"/>
                <w:szCs w:val="17"/>
                <w:u w:val="none"/>
                <w:shd w:fill="auto" w:val="clear"/>
                <w:vertAlign w:val="baseline"/>
                <w:rtl w:val="0"/>
              </w:rPr>
              <w:t xml:space="preserve">Where it's met</w:t>
            </w:r>
            <w:r w:rsidDel="00000000" w:rsidR="00000000" w:rsidRPr="00000000">
              <w:rPr>
                <w:rtl w:val="0"/>
              </w:rPr>
            </w:r>
          </w:p>
        </w:tc>
        <w:tc>
          <w:tcPr>
            <w:shd w:fill="f2f4f7" w:val="clear"/>
            <w:tcMar>
              <w:top w:w="50.0" w:type="dxa"/>
              <w:bottom w:w="50.0" w:type="dxa"/>
            </w:tcMa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7"/>
                <w:szCs w:val="17"/>
                <w:u w:val="none"/>
                <w:shd w:fill="auto" w:val="clear"/>
                <w:vertAlign w:val="baseline"/>
                <w:rtl w:val="0"/>
              </w:rPr>
              <w:t xml:space="preserve">State</w:t>
            </w:r>
            <w:r w:rsidDel="00000000" w:rsidR="00000000" w:rsidRPr="00000000">
              <w:rPr>
                <w:rtl w:val="0"/>
              </w:rPr>
            </w:r>
          </w:p>
        </w:tc>
        <w:tc>
          <w:tcPr>
            <w:shd w:fill="f2f4f7" w:val="clear"/>
            <w:tcMar>
              <w:top w:w="50.0" w:type="dxa"/>
              <w:bottom w:w="50.0" w:type="dxa"/>
            </w:tcMa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7"/>
                <w:szCs w:val="17"/>
                <w:u w:val="none"/>
                <w:shd w:fill="auto" w:val="clear"/>
                <w:vertAlign w:val="baseline"/>
                <w:rtl w:val="0"/>
              </w:rPr>
              <w:t xml:space="preserve">What closes it</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Shared concepts, divergences, terminology, and assumptions</w:t>
            </w:r>
            <w:r w:rsidDel="00000000" w:rsidR="00000000" w:rsidRPr="00000000">
              <w:rPr>
                <w:rtl w:val="0"/>
              </w:rPr>
            </w:r>
          </w:p>
        </w:tc>
        <w:tc>
          <w:tcPr>
            <w:tcMar>
              <w:top w:w="50.0" w:type="dxa"/>
              <w:bottom w:w="50.0" w:type="dxa"/>
            </w:tcMa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Synthesis Sections 3-6</w:t>
            </w:r>
            <w:r w:rsidDel="00000000" w:rsidR="00000000" w:rsidRPr="00000000">
              <w:rPr>
                <w:rtl w:val="0"/>
              </w:rPr>
            </w:r>
          </w:p>
        </w:tc>
        <w:tc>
          <w:tcPr>
            <w:tcMar>
              <w:top w:w="50.0" w:type="dxa"/>
              <w:bottom w:w="50.0" w:type="dxa"/>
            </w:tcMa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In place</w:t>
            </w:r>
            <w:r w:rsidDel="00000000" w:rsidR="00000000" w:rsidRPr="00000000">
              <w:rPr>
                <w:rtl w:val="0"/>
              </w:rPr>
            </w:r>
          </w:p>
        </w:tc>
        <w:tc>
          <w:tcPr>
            <w:tcMar>
              <w:top w:w="50.0" w:type="dxa"/>
              <w:bottom w:w="50.0" w:type="dxa"/>
            </w:tcMa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Stakeholders accept the recommended assumptions and the candidate/deferred algorithm boundary.</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Personas, consumers, actor journeys, use cases, object model, and the evidence/projection/audit/dispute/interaction requirements</w:t>
            </w:r>
            <w:r w:rsidDel="00000000" w:rsidR="00000000" w:rsidRPr="00000000">
              <w:rPr>
                <w:rtl w:val="0"/>
              </w:rPr>
            </w:r>
          </w:p>
        </w:tc>
        <w:tc>
          <w:tcPr>
            <w:tcMar>
              <w:top w:w="50.0" w:type="dxa"/>
              <w:bottom w:w="50.0" w:type="dxa"/>
            </w:tcMa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PRD Sections 2-7</w:t>
            </w:r>
            <w:r w:rsidDel="00000000" w:rsidR="00000000" w:rsidRPr="00000000">
              <w:rPr>
                <w:rtl w:val="0"/>
              </w:rPr>
            </w:r>
          </w:p>
        </w:tc>
        <w:tc>
          <w:tcPr>
            <w:tcMar>
              <w:top w:w="50.0" w:type="dxa"/>
              <w:bottom w:w="50.0" w:type="dxa"/>
            </w:tcMa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In place, pending Gate 1</w:t>
            </w:r>
            <w:r w:rsidDel="00000000" w:rsidR="00000000" w:rsidRPr="00000000">
              <w:rPr>
                <w:rtl w:val="0"/>
              </w:rPr>
            </w:r>
          </w:p>
        </w:tc>
        <w:tc>
          <w:tcPr>
            <w:tcMar>
              <w:top w:w="50.0" w:type="dxa"/>
              <w:bottom w:w="50.0" w:type="dxa"/>
            </w:tcMa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Gate 1 approves (or explicitly defers) the launch actors, submit authority, first queries, dispute behavior, and privacy/coverage rules.</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Evidence submission by humans and agents, reputation articles, claims and counterclaims, provenance, evidence levels, the structured reputation object, projection-result binding, and the slashing query</w:t>
            </w:r>
            <w:r w:rsidDel="00000000" w:rsidR="00000000" w:rsidRPr="00000000">
              <w:rPr>
                <w:rtl w:val="0"/>
              </w:rPr>
            </w:r>
          </w:p>
        </w:tc>
        <w:tc>
          <w:tcPr>
            <w:tcMar>
              <w:top w:w="50.0" w:type="dxa"/>
              <w:bottom w:w="50.0" w:type="dxa"/>
            </w:tcMa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Evidence and Claims Model Sections 2-10</w:t>
            </w:r>
            <w:r w:rsidDel="00000000" w:rsidR="00000000" w:rsidRPr="00000000">
              <w:rPr>
                <w:rtl w:val="0"/>
              </w:rPr>
            </w:r>
          </w:p>
        </w:tc>
        <w:tc>
          <w:tcPr>
            <w:tcMar>
              <w:top w:w="50.0" w:type="dxa"/>
              <w:bottom w:w="50.0" w:type="dxa"/>
            </w:tcMa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In place, pending Gate 1</w:t>
            </w:r>
            <w:r w:rsidDel="00000000" w:rsidR="00000000" w:rsidRPr="00000000">
              <w:rPr>
                <w:rtl w:val="0"/>
              </w:rPr>
            </w:r>
          </w:p>
        </w:tc>
        <w:tc>
          <w:tcPr>
            <w:tcMar>
              <w:top w:w="50.0" w:type="dxa"/>
              <w:bottom w:w="50.0" w:type="dxa"/>
            </w:tcMa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Questions Q1-Q7, Q9-Q11, Q14, Q26, and Q28-Q30 are decided, or deferred with an owner and deadline.</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In-node sufficiency and a design clear enough to sign off without over-specifying, while keeping consumer import as a separate validation boundary</w:t>
            </w:r>
            <w:r w:rsidDel="00000000" w:rsidR="00000000" w:rsidRPr="00000000">
              <w:rPr>
                <w:rtl w:val="0"/>
              </w:rPr>
            </w:r>
          </w:p>
        </w:tc>
        <w:tc>
          <w:tcPr>
            <w:tcMar>
              <w:top w:w="50.0" w:type="dxa"/>
              <w:bottom w:w="50.0" w:type="dxa"/>
            </w:tcMa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Architecture Sections 1-14, especially RG4 and RG5; Roadmap Section 4</w:t>
            </w:r>
            <w:r w:rsidDel="00000000" w:rsidR="00000000" w:rsidRPr="00000000">
              <w:rPr>
                <w:rtl w:val="0"/>
              </w:rPr>
            </w:r>
          </w:p>
        </w:tc>
        <w:tc>
          <w:tcPr>
            <w:tcMar>
              <w:top w:w="50.0" w:type="dxa"/>
              <w:bottom w:w="50.0" w:type="dxa"/>
            </w:tcMar>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Design proposed; proof comes from the prototype and consumer integration</w:t>
            </w:r>
            <w:r w:rsidDel="00000000" w:rsidR="00000000" w:rsidRPr="00000000">
              <w:rPr>
                <w:rtl w:val="0"/>
              </w:rPr>
            </w:r>
          </w:p>
        </w:tc>
        <w:tc>
          <w:tcPr>
            <w:tcMar>
              <w:top w:w="50.0" w:type="dxa"/>
              <w:bottom w:w="50.0" w:type="dxa"/>
            </w:tcMar>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SNet approves the design direction; RG4 confirms or disproves the in-node approach, and RG5 separately validates consumer import.</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Next milestone fully detailed; the following two or three described at paragraph level</w:t>
            </w:r>
            <w:r w:rsidDel="00000000" w:rsidR="00000000" w:rsidRPr="00000000">
              <w:rPr>
                <w:rtl w:val="0"/>
              </w:rPr>
            </w:r>
          </w:p>
        </w:tc>
        <w:tc>
          <w:tcPr>
            <w:tcMar>
              <w:top w:w="50.0" w:type="dxa"/>
              <w:bottom w:w="50.0" w:type="dxa"/>
            </w:tcMa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Roadmap Sections 3-6 and the decision map in Section 8</w:t>
            </w:r>
            <w:r w:rsidDel="00000000" w:rsidR="00000000" w:rsidRPr="00000000">
              <w:rPr>
                <w:rtl w:val="0"/>
              </w:rPr>
            </w:r>
          </w:p>
        </w:tc>
        <w:tc>
          <w:tcPr>
            <w:tcMar>
              <w:top w:w="50.0" w:type="dxa"/>
              <w:bottom w:w="50.0" w:type="dxa"/>
            </w:tcMa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In place</w:t>
            </w:r>
            <w:r w:rsidDel="00000000" w:rsidR="00000000" w:rsidRPr="00000000">
              <w:rPr>
                <w:rtl w:val="0"/>
              </w:rPr>
            </w:r>
          </w:p>
        </w:tc>
        <w:tc>
          <w:tcPr>
            <w:tcMar>
              <w:top w:w="50.0" w:type="dxa"/>
              <w:bottom w:w="50.0" w:type="dxa"/>
            </w:tcMar>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Gate 1 decisions and the prototype's performance thresholds are agreed before the relevant contract freezes.</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A prioritized, actionable list of the technical, product, tokenomics, and governance decisions stakeholders must make</w:t>
            </w:r>
            <w:r w:rsidDel="00000000" w:rsidR="00000000" w:rsidRPr="00000000">
              <w:rPr>
                <w:rtl w:val="0"/>
              </w:rPr>
            </w:r>
          </w:p>
        </w:tc>
        <w:tc>
          <w:tcPr>
            <w:tcMar>
              <w:top w:w="50.0" w:type="dxa"/>
              <w:bottom w:w="50.0" w:type="dxa"/>
            </w:tcMar>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Open Question Register, Gates 1-3</w:t>
            </w:r>
            <w:r w:rsidDel="00000000" w:rsidR="00000000" w:rsidRPr="00000000">
              <w:rPr>
                <w:rtl w:val="0"/>
              </w:rPr>
            </w:r>
          </w:p>
        </w:tc>
        <w:tc>
          <w:tcPr>
            <w:tcMar>
              <w:top w:w="50.0" w:type="dxa"/>
              <w:bottom w:w="50.0" w:type="dxa"/>
            </w:tcMar>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In place; decisions pending</w:t>
            </w:r>
            <w:r w:rsidDel="00000000" w:rsidR="00000000" w:rsidRPr="00000000">
              <w:rPr>
                <w:rtl w:val="0"/>
              </w:rPr>
            </w:r>
          </w:p>
        </w:tc>
        <w:tc>
          <w:tcPr>
            <w:tcMar>
              <w:top w:w="50.0" w:type="dxa"/>
              <w:bottom w:w="50.0" w:type="dxa"/>
            </w:tcMar>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Every Gate 1 row has an owner, a deadline stage, and a recorded outcome; rows tied to sign-off-blocking risks get actual decisions, not deferrals.</w:t>
            </w:r>
            <w:r w:rsidDel="00000000" w:rsidR="00000000" w:rsidRPr="00000000">
              <w:rPr>
                <w:rtl w:val="0"/>
              </w:rPr>
            </w:r>
          </w:p>
        </w:tc>
      </w:tr>
      <w:tr>
        <w:trPr>
          <w:cantSplit w:val="0"/>
          <w:tblHeader w:val="0"/>
        </w:trPr>
        <w:tc>
          <w:tcPr>
            <w:tcMar>
              <w:top w:w="50.0" w:type="dxa"/>
              <w:bottom w:w="50.0" w:type="dxa"/>
            </w:tcMar>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Prioritized risks with mitigations and a clear split between what blocks progress and what can wait</w:t>
            </w:r>
            <w:r w:rsidDel="00000000" w:rsidR="00000000" w:rsidRPr="00000000">
              <w:rPr>
                <w:rtl w:val="0"/>
              </w:rPr>
            </w:r>
          </w:p>
        </w:tc>
        <w:tc>
          <w:tcPr>
            <w:tcMar>
              <w:top w:w="50.0" w:type="dxa"/>
              <w:bottom w:w="50.0" w:type="dxa"/>
            </w:tcMar>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Risk Register Sections 2-3</w:t>
            </w:r>
            <w:r w:rsidDel="00000000" w:rsidR="00000000" w:rsidRPr="00000000">
              <w:rPr>
                <w:rtl w:val="0"/>
              </w:rPr>
            </w:r>
          </w:p>
        </w:tc>
        <w:tc>
          <w:tcPr>
            <w:tcMar>
              <w:top w:w="50.0" w:type="dxa"/>
              <w:bottom w:w="50.0" w:type="dxa"/>
            </w:tcMar>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In place</w:t>
            </w:r>
            <w:r w:rsidDel="00000000" w:rsidR="00000000" w:rsidRPr="00000000">
              <w:rPr>
                <w:rtl w:val="0"/>
              </w:rPr>
            </w:r>
          </w:p>
        </w:tc>
        <w:tc>
          <w:tcPr>
            <w:tcMar>
              <w:top w:w="50.0" w:type="dxa"/>
              <w:bottom w:w="50.0" w:type="dxa"/>
            </w:tcMar>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7"/>
                <w:szCs w:val="17"/>
                <w:u w:val="none"/>
                <w:shd w:fill="auto" w:val="clear"/>
                <w:vertAlign w:val="baseline"/>
                <w:rtl w:val="0"/>
              </w:rPr>
              <w:t xml:space="preserve">Stakeholders accept the dispositions; test evidence is attached as the validation gates run.</w:t>
            </w:r>
            <w:r w:rsidDel="00000000" w:rsidR="00000000" w:rsidRPr="00000000">
              <w:rPr>
                <w:rtl w:val="0"/>
              </w:rPr>
            </w:r>
          </w:p>
        </w:tc>
      </w:tr>
    </w:tbl>
    <w:bookmarkStart w:colFirst="0" w:colLast="0" w:name="bookmark=id.e0rq7laq38gw" w:id="11"/>
    <w:bookmarkEnd w:id="11"/>
    <w:p w:rsidR="00000000" w:rsidDel="00000000" w:rsidP="00000000" w:rsidRDefault="00000000" w:rsidRPr="00000000" w14:paraId="00000070">
      <w:pPr>
        <w:pStyle w:val="Heading1"/>
        <w:rPr/>
      </w:pPr>
      <w:r w:rsidDel="00000000" w:rsidR="00000000" w:rsidRPr="00000000">
        <w:rPr>
          <w:rtl w:val="0"/>
        </w:rPr>
        <w:t xml:space="preserve">11. Review and sign-off stages</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21"/>
          <w:szCs w:val="21"/>
          <w:u w:val="none"/>
          <w:shd w:fill="auto" w:val="clear"/>
          <w:vertAlign w:val="baseline"/>
          <w:rtl w:val="0"/>
        </w:rPr>
        <w:t xml:space="preserve">The package moves through four stages:</w:t>
      </w:r>
    </w:p>
    <w:tbl>
      <w:tblPr>
        <w:tblStyle w:val="Table3"/>
        <w:tblW w:w="9360.0" w:type="dxa"/>
        <w:jc w:val="left"/>
        <w:tblInd w:w="-48.00000000000001" w:type="dxa"/>
        <w:tblBorders>
          <w:top w:color="d0d7de" w:space="0" w:sz="4" w:val="single"/>
          <w:left w:color="d0d7de" w:space="0" w:sz="4" w:val="single"/>
          <w:bottom w:color="d0d7de" w:space="0" w:sz="4" w:val="single"/>
          <w:right w:color="d0d7de" w:space="0" w:sz="4" w:val="single"/>
          <w:insideH w:color="d0d7de" w:space="0" w:sz="4" w:val="single"/>
          <w:insideV w:color="d0d7de" w:space="0" w:sz="4" w:val="single"/>
        </w:tblBorders>
        <w:tblLayout w:type="fixed"/>
        <w:tblLook w:val="0020"/>
      </w:tblPr>
      <w:tblGrid>
        <w:gridCol w:w="1610"/>
        <w:gridCol w:w="4721"/>
        <w:gridCol w:w="3029"/>
        <w:tblGridChange w:id="0">
          <w:tblGrid>
            <w:gridCol w:w="1610"/>
            <w:gridCol w:w="4721"/>
            <w:gridCol w:w="3029"/>
          </w:tblGrid>
        </w:tblGridChange>
      </w:tblGrid>
      <w:tr>
        <w:trPr>
          <w:cantSplit w:val="1"/>
          <w:tblHeader w:val="1"/>
        </w:trPr>
        <w:tc>
          <w:tcPr>
            <w:shd w:fill="f2f4f7" w:val="clear"/>
            <w:tcMar>
              <w:top w:w="50.0" w:type="dxa"/>
              <w:bottom w:w="50.0" w:type="dxa"/>
            </w:tcMar>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8"/>
                <w:szCs w:val="18"/>
                <w:u w:val="none"/>
                <w:shd w:fill="auto" w:val="clear"/>
                <w:vertAlign w:val="baseline"/>
                <w:rtl w:val="0"/>
              </w:rPr>
              <w:t xml:space="preserve">Stage</w:t>
            </w:r>
            <w:r w:rsidDel="00000000" w:rsidR="00000000" w:rsidRPr="00000000">
              <w:rPr>
                <w:rtl w:val="0"/>
              </w:rPr>
            </w:r>
          </w:p>
        </w:tc>
        <w:tc>
          <w:tcPr>
            <w:shd w:fill="f2f4f7" w:val="clear"/>
            <w:tcMar>
              <w:top w:w="50.0" w:type="dxa"/>
              <w:bottom w:w="50.0" w:type="dxa"/>
            </w:tcMar>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8"/>
                <w:szCs w:val="18"/>
                <w:u w:val="none"/>
                <w:shd w:fill="auto" w:val="clear"/>
                <w:vertAlign w:val="baseline"/>
                <w:rtl w:val="0"/>
              </w:rPr>
              <w:t xml:space="preserve">What it means</w:t>
            </w:r>
            <w:r w:rsidDel="00000000" w:rsidR="00000000" w:rsidRPr="00000000">
              <w:rPr>
                <w:rtl w:val="0"/>
              </w:rPr>
            </w:r>
          </w:p>
        </w:tc>
        <w:tc>
          <w:tcPr>
            <w:shd w:fill="f2f4f7" w:val="clear"/>
            <w:tcMar>
              <w:top w:w="50.0" w:type="dxa"/>
              <w:bottom w:w="50.0" w:type="dxa"/>
            </w:tcMar>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8"/>
                <w:szCs w:val="18"/>
                <w:u w:val="none"/>
                <w:shd w:fill="auto" w:val="clear"/>
                <w:vertAlign w:val="baseline"/>
                <w:rtl w:val="0"/>
              </w:rPr>
              <w:t xml:space="preserve">What it takes</w:t>
            </w:r>
            <w:r w:rsidDel="00000000" w:rsidR="00000000" w:rsidRPr="00000000">
              <w:rPr>
                <w:rtl w:val="0"/>
              </w:rPr>
            </w:r>
          </w:p>
        </w:tc>
      </w:tr>
      <w:tr>
        <w:trPr>
          <w:cantSplit w:val="1"/>
          <w:tblHeader w:val="0"/>
        </w:trPr>
        <w:tc>
          <w:tcPr>
            <w:tcMar>
              <w:top w:w="50.0" w:type="dxa"/>
              <w:bottom w:w="50.0" w:type="dxa"/>
            </w:tcMa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Design package complete</w:t>
            </w:r>
            <w:r w:rsidDel="00000000" w:rsidR="00000000" w:rsidRPr="00000000">
              <w:rPr>
                <w:rtl w:val="0"/>
              </w:rPr>
            </w:r>
          </w:p>
        </w:tc>
        <w:tc>
          <w:tcPr>
            <w:tcMar>
              <w:top w:w="50.0" w:type="dxa"/>
              <w:bottom w:w="50.0" w:type="dxa"/>
            </w:tcMar>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Every deliverable in the signed scope exists, the documents agree with each other, and every unresolved decision is written down. Nothing has been built yet — that is the next milestone.</w:t>
            </w:r>
            <w:r w:rsidDel="00000000" w:rsidR="00000000" w:rsidRPr="00000000">
              <w:rPr>
                <w:rtl w:val="0"/>
              </w:rPr>
            </w:r>
          </w:p>
        </w:tc>
        <w:tc>
          <w:tcPr>
            <w:tcMar>
              <w:top w:w="50.0" w:type="dxa"/>
              <w:bottom w:w="50.0" w:type="dxa"/>
            </w:tcMar>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Document review plus link and consistency checks</w:t>
            </w:r>
            <w:r w:rsidDel="00000000" w:rsidR="00000000" w:rsidRPr="00000000">
              <w:rPr>
                <w:rtl w:val="0"/>
              </w:rPr>
            </w:r>
          </w:p>
        </w:tc>
      </w:tr>
      <w:tr>
        <w:trPr>
          <w:cantSplit w:val="1"/>
          <w:tblHeader w:val="0"/>
        </w:trPr>
        <w:tc>
          <w:tcPr>
            <w:tcMar>
              <w:top w:w="50.0" w:type="dxa"/>
              <w:bottom w:w="50.0" w:type="dxa"/>
            </w:tcMar>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Conditionally accepted design</w:t>
            </w:r>
            <w:r w:rsidDel="00000000" w:rsidR="00000000" w:rsidRPr="00000000">
              <w:rPr>
                <w:rtl w:val="0"/>
              </w:rPr>
            </w:r>
          </w:p>
        </w:tc>
        <w:tc>
          <w:tcPr>
            <w:tcMar>
              <w:top w:w="50.0" w:type="dxa"/>
              <w:bottom w:w="50.0" w:type="dxa"/>
            </w:tcMar>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SNet accepts the direction while named Gate 1 decisions remain open. This is not final sign-off.</w:t>
            </w:r>
            <w:r w:rsidDel="00000000" w:rsidR="00000000" w:rsidRPr="00000000">
              <w:rPr>
                <w:rtl w:val="0"/>
              </w:rPr>
            </w:r>
          </w:p>
        </w:tc>
        <w:tc>
          <w:tcPr>
            <w:tcMar>
              <w:top w:w="50.0" w:type="dxa"/>
              <w:bottom w:w="50.0" w:type="dxa"/>
            </w:tcMar>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SNet accepts, with each open item given an owner, a deadline stage, and its deferral recorded in the Open Question Register</w:t>
            </w:r>
            <w:r w:rsidDel="00000000" w:rsidR="00000000" w:rsidRPr="00000000">
              <w:rPr>
                <w:rtl w:val="0"/>
              </w:rPr>
            </w:r>
          </w:p>
        </w:tc>
      </w:tr>
      <w:tr>
        <w:trPr>
          <w:cantSplit w:val="1"/>
          <w:tblHeader w:val="0"/>
        </w:trPr>
        <w:tc>
          <w:tcPr>
            <w:tcMar>
              <w:top w:w="50.0" w:type="dxa"/>
              <w:bottom w:w="50.0" w:type="dxa"/>
            </w:tcMar>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Final PRD/architecture sign-off</w:t>
            </w:r>
            <w:r w:rsidDel="00000000" w:rsidR="00000000" w:rsidRPr="00000000">
              <w:rPr>
                <w:rtl w:val="0"/>
              </w:rPr>
            </w:r>
          </w:p>
        </w:tc>
        <w:tc>
          <w:tcPr>
            <w:tcMar>
              <w:top w:w="50.0" w:type="dxa"/>
              <w:bottom w:w="50.0" w:type="dxa"/>
            </w:tcMar>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Every Gate 1 question tied to a sign-off-blocking risk is actually decided; every other question is decided or removed from the agreed V1 scope.</w:t>
            </w:r>
            <w:r w:rsidDel="00000000" w:rsidR="00000000" w:rsidRPr="00000000">
              <w:rPr>
                <w:rtl w:val="0"/>
              </w:rPr>
            </w:r>
          </w:p>
        </w:tc>
        <w:tc>
          <w:tcPr>
            <w:tcMar>
              <w:top w:w="50.0" w:type="dxa"/>
              <w:bottom w:w="50.0" w:type="dxa"/>
            </w:tcMar>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SNet signs off; the affected documents are updated and the decisions recorded</w:t>
            </w:r>
            <w:r w:rsidDel="00000000" w:rsidR="00000000" w:rsidRPr="00000000">
              <w:rPr>
                <w:rtl w:val="0"/>
              </w:rPr>
            </w:r>
          </w:p>
        </w:tc>
      </w:tr>
      <w:tr>
        <w:trPr>
          <w:cantSplit w:val="1"/>
          <w:tblHeader w:val="0"/>
        </w:trPr>
        <w:tc>
          <w:tcPr>
            <w:tcMar>
              <w:top w:w="50.0" w:type="dxa"/>
              <w:bottom w:w="50.0" w:type="dxa"/>
            </w:tcMar>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Implementation-confirmed architecture</w:t>
            </w:r>
            <w:r w:rsidDel="00000000" w:rsidR="00000000" w:rsidRPr="00000000">
              <w:rPr>
                <w:rtl w:val="0"/>
              </w:rPr>
            </w:r>
          </w:p>
        </w:tc>
        <w:tc>
          <w:tcPr>
            <w:tcMar>
              <w:top w:w="50.0" w:type="dxa"/>
              <w:bottom w:w="50.0" w:type="dxa"/>
            </w:tcMar>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The follow-on build proves — or disproves — the in-node design, and then the consumer-import boundary.</w:t>
            </w:r>
            <w:r w:rsidDel="00000000" w:rsidR="00000000" w:rsidRPr="00000000">
              <w:rPr>
                <w:rtl w:val="0"/>
              </w:rPr>
            </w:r>
          </w:p>
        </w:tc>
        <w:tc>
          <w:tcPr>
            <w:tcMar>
              <w:top w:w="50.0" w:type="dxa"/>
              <w:bottom w:w="50.0" w:type="dxa"/>
            </w:tcMar>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Prototype gate RG4 for the node design; RG5 for consumer import</w:t>
            </w:r>
            <w:r w:rsidDel="00000000" w:rsidR="00000000" w:rsidRPr="00000000">
              <w:rPr>
                <w:rtl w:val="0"/>
              </w:rPr>
            </w:r>
          </w:p>
        </w:tc>
      </w:tr>
    </w:tbl>
    <w:bookmarkStart w:colFirst="0" w:colLast="0" w:name="bookmark=id.usmri7wkx7c" w:id="12"/>
    <w:bookmarkEnd w:id="12"/>
    <w:p w:rsidR="00000000" w:rsidDel="00000000" w:rsidP="00000000" w:rsidRDefault="00000000" w:rsidRPr="00000000" w14:paraId="00000081">
      <w:pPr>
        <w:pStyle w:val="Heading1"/>
        <w:rPr/>
      </w:pPr>
      <w:r w:rsidDel="00000000" w:rsidR="00000000" w:rsidRPr="00000000">
        <w:rPr>
          <w:rtl w:val="0"/>
        </w:rPr>
        <w:t xml:space="preserve">12. Glossary</w:t>
      </w:r>
    </w:p>
    <w:tbl>
      <w:tblPr>
        <w:tblStyle w:val="Table4"/>
        <w:tblW w:w="9359.0" w:type="dxa"/>
        <w:jc w:val="left"/>
        <w:tblInd w:w="-48.00000000000001" w:type="dxa"/>
        <w:tblBorders>
          <w:top w:color="d0d7de" w:space="0" w:sz="4" w:val="single"/>
          <w:left w:color="d0d7de" w:space="0" w:sz="4" w:val="single"/>
          <w:bottom w:color="d0d7de" w:space="0" w:sz="4" w:val="single"/>
          <w:right w:color="d0d7de" w:space="0" w:sz="4" w:val="single"/>
          <w:insideH w:color="d0d7de" w:space="0" w:sz="4" w:val="single"/>
          <w:insideV w:color="d0d7de" w:space="0" w:sz="4" w:val="single"/>
        </w:tblBorders>
        <w:tblLayout w:type="fixed"/>
        <w:tblLook w:val="0020"/>
      </w:tblPr>
      <w:tblGrid>
        <w:gridCol w:w="1420"/>
        <w:gridCol w:w="7939"/>
        <w:tblGridChange w:id="0">
          <w:tblGrid>
            <w:gridCol w:w="1420"/>
            <w:gridCol w:w="7939"/>
          </w:tblGrid>
        </w:tblGridChange>
      </w:tblGrid>
      <w:tr>
        <w:trPr>
          <w:cantSplit w:val="1"/>
          <w:tblHeader w:val="1"/>
        </w:trPr>
        <w:tc>
          <w:tcPr>
            <w:shd w:fill="f2f4f7" w:val="clear"/>
            <w:tcMar>
              <w:top w:w="50.0" w:type="dxa"/>
              <w:bottom w:w="50.0" w:type="dxa"/>
            </w:tcMa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8"/>
                <w:szCs w:val="18"/>
                <w:u w:val="none"/>
                <w:shd w:fill="auto" w:val="clear"/>
                <w:vertAlign w:val="baseline"/>
                <w:rtl w:val="0"/>
              </w:rPr>
              <w:t xml:space="preserve">Term</w:t>
            </w:r>
            <w:r w:rsidDel="00000000" w:rsidR="00000000" w:rsidRPr="00000000">
              <w:rPr>
                <w:rtl w:val="0"/>
              </w:rPr>
            </w:r>
          </w:p>
        </w:tc>
        <w:tc>
          <w:tcPr>
            <w:shd w:fill="f2f4f7" w:val="clear"/>
            <w:tcMar>
              <w:top w:w="50.0" w:type="dxa"/>
              <w:bottom w:w="50.0" w:type="dxa"/>
            </w:tcMar>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8"/>
                <w:szCs w:val="18"/>
                <w:u w:val="none"/>
                <w:shd w:fill="auto" w:val="clear"/>
                <w:vertAlign w:val="baseline"/>
                <w:rtl w:val="0"/>
              </w:rPr>
              <w:t xml:space="preserve">Plain meaning</w:t>
            </w:r>
            <w:r w:rsidDel="00000000" w:rsidR="00000000" w:rsidRPr="00000000">
              <w:rPr>
                <w:rtl w:val="0"/>
              </w:rPr>
            </w:r>
          </w:p>
        </w:tc>
      </w:tr>
      <w:tr>
        <w:trPr>
          <w:cantSplit w:val="1"/>
          <w:tblHeader w:val="0"/>
        </w:trPr>
        <w:tc>
          <w:tcPr>
            <w:tcMar>
              <w:top w:w="50.0" w:type="dxa"/>
              <w:bottom w:w="50.0" w:type="dxa"/>
            </w:tcMa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Subject</w:t>
            </w:r>
            <w:r w:rsidDel="00000000" w:rsidR="00000000" w:rsidRPr="00000000">
              <w:rPr>
                <w:rtl w:val="0"/>
              </w:rPr>
            </w:r>
          </w:p>
        </w:tc>
        <w:tc>
          <w:tcPr>
            <w:tcMar>
              <w:top w:w="50.0" w:type="dxa"/>
              <w:bottom w:w="50.0" w:type="dxa"/>
            </w:tcMa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The thing reputation is about — in V1, a validator, chain, or shard.</w:t>
            </w:r>
            <w:r w:rsidDel="00000000" w:rsidR="00000000" w:rsidRPr="00000000">
              <w:rPr>
                <w:rtl w:val="0"/>
              </w:rPr>
            </w:r>
          </w:p>
        </w:tc>
      </w:tr>
      <w:tr>
        <w:trPr>
          <w:cantSplit w:val="1"/>
          <w:tblHeader w:val="0"/>
        </w:trPr>
        <w:tc>
          <w:tcPr>
            <w:tcMar>
              <w:top w:w="50.0" w:type="dxa"/>
              <w:bottom w:w="50.0" w:type="dxa"/>
            </w:tcMa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Evidence event</w:t>
            </w:r>
            <w:r w:rsidDel="00000000" w:rsidR="00000000" w:rsidRPr="00000000">
              <w:rPr>
                <w:rtl w:val="0"/>
              </w:rPr>
            </w:r>
          </w:p>
        </w:tc>
        <w:tc>
          <w:tcPr>
            <w:tcMar>
              <w:top w:w="50.0" w:type="dxa"/>
              <w:bottom w:w="50.0" w:type="dxa"/>
            </w:tcMar>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One signed, timestamped statement about a subject: a claim, observation, attestation, or challenge. The permanent unit of record.</w:t>
            </w:r>
            <w:r w:rsidDel="00000000" w:rsidR="00000000" w:rsidRPr="00000000">
              <w:rPr>
                <w:rtl w:val="0"/>
              </w:rPr>
            </w:r>
          </w:p>
        </w:tc>
      </w:tr>
      <w:tr>
        <w:trPr>
          <w:cantSplit w:val="1"/>
          <w:tblHeader w:val="0"/>
        </w:trPr>
        <w:tc>
          <w:tcPr>
            <w:tcMar>
              <w:top w:w="50.0" w:type="dxa"/>
              <w:bottom w:w="50.0" w:type="dxa"/>
            </w:tcMar>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Reputation article</w:t>
            </w:r>
            <w:r w:rsidDel="00000000" w:rsidR="00000000" w:rsidRPr="00000000">
              <w:rPr>
                <w:rtl w:val="0"/>
              </w:rPr>
            </w:r>
          </w:p>
        </w:tc>
        <w:tc>
          <w:tcPr>
            <w:tcMar>
              <w:top w:w="50.0" w:type="dxa"/>
              <w:bottom w:w="50.0" w:type="dxa"/>
            </w:tcMa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The submission envelope for one evidence event: the event plus its source proof, the submitter's signature, and their authorization.</w:t>
            </w:r>
            <w:r w:rsidDel="00000000" w:rsidR="00000000" w:rsidRPr="00000000">
              <w:rPr>
                <w:rtl w:val="0"/>
              </w:rPr>
            </w:r>
          </w:p>
        </w:tc>
      </w:tr>
      <w:tr>
        <w:trPr>
          <w:cantSplit w:val="1"/>
          <w:tblHeader w:val="0"/>
        </w:trPr>
        <w:tc>
          <w:tcPr>
            <w:tcMar>
              <w:top w:w="50.0" w:type="dxa"/>
              <w:bottom w:w="50.0" w:type="dxa"/>
            </w:tcMar>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Truster</w:t>
            </w:r>
            <w:r w:rsidDel="00000000" w:rsidR="00000000" w:rsidRPr="00000000">
              <w:rPr>
                <w:rtl w:val="0"/>
              </w:rPr>
            </w:r>
          </w:p>
        </w:tc>
        <w:tc>
          <w:tcPr>
            <w:tcMar>
              <w:top w:w="50.0" w:type="dxa"/>
              <w:bottom w:w="50.0" w:type="dxa"/>
            </w:tcMar>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A permissioned operator authorized to import evidence from outside sources, such as other chains. Trusted to be accountable — not assumed to be honest.</w:t>
            </w:r>
            <w:r w:rsidDel="00000000" w:rsidR="00000000" w:rsidRPr="00000000">
              <w:rPr>
                <w:rtl w:val="0"/>
              </w:rPr>
            </w:r>
          </w:p>
        </w:tc>
      </w:tr>
      <w:tr>
        <w:trPr>
          <w:cantSplit w:val="1"/>
          <w:tblHeader w:val="0"/>
        </w:trPr>
        <w:tc>
          <w:tcPr>
            <w:tcMar>
              <w:top w:w="50.0" w:type="dxa"/>
              <w:bottom w:w="50.0" w:type="dxa"/>
            </w:tcMar>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Self-claim</w:t>
            </w:r>
            <w:r w:rsidDel="00000000" w:rsidR="00000000" w:rsidRPr="00000000">
              <w:rPr>
                <w:rtl w:val="0"/>
              </w:rPr>
            </w:r>
          </w:p>
        </w:tc>
        <w:tc>
          <w:tcPr>
            <w:tcMar>
              <w:top w:w="50.0" w:type="dxa"/>
              <w:bottom w:w="50.0" w:type="dxa"/>
            </w:tcMa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Evidence a subject submits about itself. Always labeled as such, forever.</w:t>
            </w:r>
            <w:r w:rsidDel="00000000" w:rsidR="00000000" w:rsidRPr="00000000">
              <w:rPr>
                <w:rtl w:val="0"/>
              </w:rPr>
            </w:r>
          </w:p>
        </w:tc>
      </w:tr>
      <w:tr>
        <w:trPr>
          <w:cantSplit w:val="1"/>
          <w:tblHeader w:val="0"/>
        </w:trPr>
        <w:tc>
          <w:tcPr>
            <w:tcMar>
              <w:top w:w="50.0" w:type="dxa"/>
              <w:bottom w:w="50.0" w:type="dxa"/>
            </w:tcMa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Refutation</w:t>
            </w:r>
            <w:r w:rsidDel="00000000" w:rsidR="00000000" w:rsidRPr="00000000">
              <w:rPr>
                <w:rtl w:val="0"/>
              </w:rPr>
            </w:r>
          </w:p>
        </w:tc>
        <w:tc>
          <w:tcPr>
            <w:tcMar>
              <w:top w:w="50.0" w:type="dxa"/>
              <w:bottom w:w="50.0" w:type="dxa"/>
            </w:tcMa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Evidence submitted against a claim or a claimed capability.</w:t>
            </w:r>
            <w:r w:rsidDel="00000000" w:rsidR="00000000" w:rsidRPr="00000000">
              <w:rPr>
                <w:rtl w:val="0"/>
              </w:rPr>
            </w:r>
          </w:p>
        </w:tc>
      </w:tr>
      <w:tr>
        <w:trPr>
          <w:cantSplit w:val="1"/>
          <w:tblHeader w:val="0"/>
        </w:trPr>
        <w:tc>
          <w:tcPr>
            <w:tcMar>
              <w:top w:w="50.0" w:type="dxa"/>
              <w:bottom w:w="50.0" w:type="dxa"/>
            </w:tcMar>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Provenance</w:t>
            </w:r>
            <w:r w:rsidDel="00000000" w:rsidR="00000000" w:rsidRPr="00000000">
              <w:rPr>
                <w:rtl w:val="0"/>
              </w:rPr>
            </w:r>
          </w:p>
        </w:tc>
        <w:tc>
          <w:tcPr>
            <w:tcMar>
              <w:top w:w="50.0" w:type="dxa"/>
              <w:bottom w:w="50.0" w:type="dxa"/>
            </w:tcMa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The recorded chain of where each piece of evidence came from and what was derived from it. What makes auditing and correction possible.</w:t>
            </w:r>
            <w:r w:rsidDel="00000000" w:rsidR="00000000" w:rsidRPr="00000000">
              <w:rPr>
                <w:rtl w:val="0"/>
              </w:rPr>
            </w:r>
          </w:p>
        </w:tc>
      </w:tr>
      <w:tr>
        <w:trPr>
          <w:cantSplit w:val="1"/>
          <w:tblHeader w:val="0"/>
        </w:trPr>
        <w:tc>
          <w:tcPr>
            <w:tcMar>
              <w:top w:w="50.0" w:type="dxa"/>
              <w:bottom w:w="50.0" w:type="dxa"/>
            </w:tcMar>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Invalidation</w:t>
            </w:r>
            <w:r w:rsidDel="00000000" w:rsidR="00000000" w:rsidRPr="00000000">
              <w:rPr>
                <w:rtl w:val="0"/>
              </w:rPr>
            </w:r>
          </w:p>
        </w:tc>
        <w:tc>
          <w:tcPr>
            <w:tcMar>
              <w:top w:w="50.0" w:type="dxa"/>
              <w:bottom w:w="50.0" w:type="dxa"/>
            </w:tcMar>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An event declaring earlier evidence unusable (for example, its source was retracted). Triggers recomputation of everything that depended on it — but deletes nothing.</w:t>
            </w:r>
            <w:r w:rsidDel="00000000" w:rsidR="00000000" w:rsidRPr="00000000">
              <w:rPr>
                <w:rtl w:val="0"/>
              </w:rPr>
            </w:r>
          </w:p>
        </w:tc>
      </w:tr>
      <w:tr>
        <w:trPr>
          <w:cantSplit w:val="1"/>
          <w:tblHeader w:val="0"/>
        </w:trPr>
        <w:tc>
          <w:tcPr>
            <w:tcMar>
              <w:top w:w="50.0" w:type="dxa"/>
              <w:bottom w:w="50.0" w:type="dxa"/>
            </w:tcMar>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Coverage</w:t>
            </w:r>
            <w:r w:rsidDel="00000000" w:rsidR="00000000" w:rsidRPr="00000000">
              <w:rPr>
                <w:rtl w:val="0"/>
              </w:rPr>
            </w:r>
          </w:p>
        </w:tc>
        <w:tc>
          <w:tcPr>
            <w:tcMar>
              <w:top w:w="50.0" w:type="dxa"/>
              <w:bottom w:w="50.0" w:type="dxa"/>
            </w:tcMar>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How much of the expected evidence was actually observed. Distinguishes "watched and clean" from "never watched."</w:t>
            </w:r>
            <w:r w:rsidDel="00000000" w:rsidR="00000000" w:rsidRPr="00000000">
              <w:rPr>
                <w:rtl w:val="0"/>
              </w:rPr>
            </w:r>
          </w:p>
        </w:tc>
      </w:tr>
      <w:tr>
        <w:trPr>
          <w:cantSplit w:val="1"/>
          <w:tblHeader w:val="0"/>
        </w:trPr>
        <w:tc>
          <w:tcPr>
            <w:tcMar>
              <w:top w:w="50.0" w:type="dxa"/>
              <w:bottom w:w="50.0" w:type="dxa"/>
            </w:tcMa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Projection</w:t>
            </w:r>
            <w:r w:rsidDel="00000000" w:rsidR="00000000" w:rsidRPr="00000000">
              <w:rPr>
                <w:rtl w:val="0"/>
              </w:rPr>
            </w:r>
          </w:p>
        </w:tc>
        <w:tc>
          <w:tcPr>
            <w:tcMar>
              <w:top w:w="50.0" w:type="dxa"/>
              <w:bottom w:w="50.0" w:type="dxa"/>
            </w:tcMar>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A result computed from evidence by an explicit, versioned policy — a score, grade, or health signal. A view of the record, never the record itself.</w:t>
            </w:r>
            <w:r w:rsidDel="00000000" w:rsidR="00000000" w:rsidRPr="00000000">
              <w:rPr>
                <w:rtl w:val="0"/>
              </w:rPr>
            </w:r>
          </w:p>
        </w:tc>
      </w:tr>
      <w:tr>
        <w:trPr>
          <w:cantSplit w:val="1"/>
          <w:tblHeader w:val="0"/>
        </w:trPr>
        <w:tc>
          <w:tcPr>
            <w:tcMar>
              <w:top w:w="50.0" w:type="dxa"/>
              <w:bottom w:w="50.0" w:type="dxa"/>
            </w:tcMar>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Snapshot</w:t>
            </w:r>
            <w:r w:rsidDel="00000000" w:rsidR="00000000" w:rsidRPr="00000000">
              <w:rPr>
                <w:rtl w:val="0"/>
              </w:rPr>
            </w:r>
          </w:p>
        </w:tc>
        <w:tc>
          <w:tcPr>
            <w:tcMar>
              <w:top w:w="50.0" w:type="dxa"/>
              <w:bottom w:w="50.0" w:type="dxa"/>
            </w:tcMar>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A projection result published for a specific period, permanently bound to the exact evidence and policy version that produced it. Immutable once published; corrections produce new labeled snapshots.</w:t>
            </w:r>
            <w:r w:rsidDel="00000000" w:rsidR="00000000" w:rsidRPr="00000000">
              <w:rPr>
                <w:rtl w:val="0"/>
              </w:rPr>
            </w:r>
          </w:p>
        </w:tc>
      </w:tr>
      <w:tr>
        <w:trPr>
          <w:cantSplit w:val="1"/>
          <w:tblHeader w:val="0"/>
        </w:trPr>
        <w:tc>
          <w:tcPr>
            <w:tcMar>
              <w:top w:w="50.0" w:type="dxa"/>
              <w:bottom w:w="50.0" w:type="dxa"/>
            </w:tcMa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Evidence root</w:t>
            </w:r>
            <w:r w:rsidDel="00000000" w:rsidR="00000000" w:rsidRPr="00000000">
              <w:rPr>
                <w:rtl w:val="0"/>
              </w:rPr>
            </w:r>
          </w:p>
        </w:tc>
        <w:tc>
          <w:tcPr>
            <w:tcMar>
              <w:top w:w="50.0" w:type="dxa"/>
              <w:bottom w:w="50.0" w:type="dxa"/>
            </w:tcMar>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A cryptographic fingerprint of the committed evidence at a point in time. Lets anyone verify that an answer came from the real record.</w:t>
            </w:r>
            <w:r w:rsidDel="00000000" w:rsidR="00000000" w:rsidRPr="00000000">
              <w:rPr>
                <w:rtl w:val="0"/>
              </w:rPr>
            </w:r>
          </w:p>
        </w:tc>
      </w:tr>
      <w:tr>
        <w:trPr>
          <w:cantSplit w:val="1"/>
          <w:tblHeader w:val="0"/>
        </w:trPr>
        <w:tc>
          <w:tcPr>
            <w:tcMar>
              <w:top w:w="50.0" w:type="dxa"/>
              <w:bottom w:w="50.0" w:type="dxa"/>
            </w:tcMar>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Scope / type</w:t>
            </w:r>
            <w:r w:rsidDel="00000000" w:rsidR="00000000" w:rsidRPr="00000000">
              <w:rPr>
                <w:rtl w:val="0"/>
              </w:rPr>
            </w:r>
          </w:p>
        </w:tc>
        <w:tc>
          <w:tcPr>
            <w:tcMar>
              <w:top w:w="50.0" w:type="dxa"/>
              <w:bottom w:w="50.0" w:type="dxa"/>
            </w:tcMar>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The context and the behavior a judgment applies to (for example: shard X / block-production timeliness). Reputation never transfers across scopes or types implicitly.</w:t>
            </w:r>
            <w:r w:rsidDel="00000000" w:rsidR="00000000" w:rsidRPr="00000000">
              <w:rPr>
                <w:rtl w:val="0"/>
              </w:rPr>
            </w:r>
          </w:p>
        </w:tc>
      </w:tr>
      <w:tr>
        <w:trPr>
          <w:cantSplit w:val="1"/>
          <w:tblHeader w:val="0"/>
        </w:trPr>
        <w:tc>
          <w:tcPr>
            <w:tcMar>
              <w:top w:w="50.0" w:type="dxa"/>
              <w:bottom w:w="50.0" w:type="dxa"/>
            </w:tcMa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Epoch</w:t>
            </w:r>
            <w:r w:rsidDel="00000000" w:rsidR="00000000" w:rsidRPr="00000000">
              <w:rPr>
                <w:rtl w:val="0"/>
              </w:rPr>
            </w:r>
          </w:p>
        </w:tc>
        <w:tc>
          <w:tcPr>
            <w:tcMar>
              <w:top w:w="50.0" w:type="dxa"/>
              <w:bottom w:w="50.0" w:type="dxa"/>
            </w:tcMar>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The chain's time unit; evidence and snapshots are indexed by it.</w:t>
            </w:r>
            <w:r w:rsidDel="00000000" w:rsidR="00000000" w:rsidRPr="00000000">
              <w:rPr>
                <w:rtl w:val="0"/>
              </w:rPr>
            </w:r>
          </w:p>
        </w:tc>
      </w:tr>
      <w:tr>
        <w:trPr>
          <w:cantSplit w:val="1"/>
          <w:tblHeader w:val="0"/>
        </w:trPr>
        <w:tc>
          <w:tcPr>
            <w:tcMar>
              <w:top w:w="50.0" w:type="dxa"/>
              <w:bottom w:w="50.0" w:type="dxa"/>
            </w:tcMar>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Shard</w:t>
            </w:r>
            <w:r w:rsidDel="00000000" w:rsidR="00000000" w:rsidRPr="00000000">
              <w:rPr>
                <w:rtl w:val="0"/>
              </w:rPr>
            </w:r>
          </w:p>
        </w:tc>
        <w:tc>
          <w:tcPr>
            <w:tcMar>
              <w:top w:w="50.0" w:type="dxa"/>
              <w:bottom w:w="50.0" w:type="dxa"/>
            </w:tcMar>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An independently operated chain segment in the F1R3FLY architecture. The reputation system itself runs as one dedicated shard.</w:t>
            </w:r>
            <w:r w:rsidDel="00000000" w:rsidR="00000000" w:rsidRPr="00000000">
              <w:rPr>
                <w:rtl w:val="0"/>
              </w:rPr>
            </w:r>
          </w:p>
        </w:tc>
      </w:tr>
      <w:tr>
        <w:trPr>
          <w:cantSplit w:val="1"/>
          <w:tblHeader w:val="0"/>
        </w:trPr>
        <w:tc>
          <w:tcPr>
            <w:tcMar>
              <w:top w:w="50.0" w:type="dxa"/>
              <w:bottom w:w="50.0" w:type="dxa"/>
            </w:tcMar>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Consumer import</w:t>
            </w:r>
            <w:r w:rsidDel="00000000" w:rsidR="00000000" w:rsidRPr="00000000">
              <w:rPr>
                <w:rtl w:val="0"/>
              </w:rPr>
            </w:r>
          </w:p>
        </w:tc>
        <w:tc>
          <w:tcPr>
            <w:tcMar>
              <w:top w:w="50.0" w:type="dxa"/>
              <w:bottom w:w="50.0" w:type="dxa"/>
            </w:tcMa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The step where another chain or application verifies a published result itself and records it in its own state. Receiving is not accepting.</w:t>
            </w:r>
            <w:r w:rsidDel="00000000" w:rsidR="00000000" w:rsidRPr="00000000">
              <w:rPr>
                <w:rtl w:val="0"/>
              </w:rPr>
            </w:r>
          </w:p>
        </w:tc>
      </w:tr>
      <w:tr>
        <w:trPr>
          <w:cantSplit w:val="1"/>
          <w:tblHeader w:val="0"/>
        </w:trPr>
        <w:tc>
          <w:tcPr>
            <w:tcMar>
              <w:top w:w="50.0" w:type="dxa"/>
              <w:bottom w:w="50.0" w:type="dxa"/>
            </w:tcMar>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Shadow mode</w:t>
            </w:r>
            <w:r w:rsidDel="00000000" w:rsidR="00000000" w:rsidRPr="00000000">
              <w:rPr>
                <w:rtl w:val="0"/>
              </w:rPr>
            </w:r>
          </w:p>
        </w:tc>
        <w:tc>
          <w:tcPr>
            <w:tcMar>
              <w:top w:w="50.0" w:type="dxa"/>
              <w:bottom w:w="50.0" w:type="dxa"/>
            </w:tcMar>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59"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Running scoring and proposed actions silently, recording what </w:t>
            </w:r>
            <w:r w:rsidDel="00000000" w:rsidR="00000000" w:rsidRPr="00000000">
              <w:rPr>
                <w:rFonts w:ascii="Calibri" w:cs="Calibri" w:eastAsia="Calibri" w:hAnsi="Calibri"/>
                <w:b w:val="0"/>
                <w:bCs w:val="0"/>
                <w:i w:val="1"/>
                <w:iCs w:val="1"/>
                <w:smallCaps w:val="0"/>
                <w:strike w:val="0"/>
                <w:color w:val="263238"/>
                <w:sz w:val="18"/>
                <w:szCs w:val="18"/>
                <w:u w:val="none"/>
                <w:shd w:fill="auto" w:val="clear"/>
                <w:vertAlign w:val="baseline"/>
                <w:rtl w:val="0"/>
              </w:rPr>
              <w:t xml:space="preserve">would</w:t>
            </w:r>
            <w:r w:rsidDel="00000000" w:rsidR="00000000" w:rsidRPr="00000000">
              <w:rPr>
                <w:rFonts w:ascii="Calibri" w:cs="Calibri" w:eastAsia="Calibri" w:hAnsi="Calibri"/>
                <w:b w:val="0"/>
                <w:bCs w:val="0"/>
                <w:i w:val="0"/>
                <w:iCs w:val="0"/>
                <w:smallCaps w:val="0"/>
                <w:strike w:val="0"/>
                <w:color w:val="263238"/>
                <w:sz w:val="18"/>
                <w:szCs w:val="18"/>
                <w:u w:val="none"/>
                <w:shd w:fill="auto" w:val="clear"/>
                <w:vertAlign w:val="baseline"/>
                <w:rtl w:val="0"/>
              </w:rPr>
              <w:t xml:space="preserve"> happen without executing anything. The proving ground before any real effect.</w:t>
            </w:r>
            <w:r w:rsidDel="00000000" w:rsidR="00000000" w:rsidRPr="00000000">
              <w:rPr>
                <w:rtl w:val="0"/>
              </w:rPr>
            </w:r>
          </w:p>
        </w:tc>
      </w:tr>
    </w:tbl>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263238"/>
          <w:sz w:val="21"/>
          <w:szCs w:val="21"/>
          <w:u w:val="none"/>
          <w:shd w:fill="auto" w:val="clear"/>
          <w:vertAlign w:val="baseline"/>
        </w:rPr>
      </w:pP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tabs>
        <w:tab w:val="right" w:leader="none" w:pos="9360"/>
      </w:tabs>
      <w:rPr/>
    </w:pPr>
    <w:r w:rsidDel="00000000" w:rsidR="00000000" w:rsidRPr="00000000">
      <w:rPr>
        <w:rFonts w:ascii="Calibri" w:cs="Calibri" w:eastAsia="Calibri" w:hAnsi="Calibri"/>
        <w:color w:val="667085"/>
        <w:sz w:val="17"/>
        <w:szCs w:val="17"/>
        <w:rtl w:val="0"/>
      </w:rPr>
      <w:t xml:space="preserve">Milestone 5 design package  |  5 August 2026</w:t>
    </w:r>
    <w:r w:rsidDel="00000000" w:rsidR="00000000" w:rsidRPr="00000000">
      <w:rPr>
        <w:rtl w:val="0"/>
      </w:rPr>
      <w:tab/>
    </w:r>
    <w:r w:rsidDel="00000000" w:rsidR="00000000" w:rsidRPr="00000000">
      <w:rPr>
        <w:rFonts w:ascii="Calibri" w:cs="Calibri" w:eastAsia="Calibri" w:hAnsi="Calibri"/>
        <w:color w:val="667085"/>
        <w:sz w:val="17"/>
        <w:szCs w:val="17"/>
        <w:rtl w:val="0"/>
      </w:rPr>
      <w:t xml:space="preserve">Page </w:t>
    </w:r>
    <w:r w:rsidDel="00000000" w:rsidR="00000000" w:rsidRPr="00000000">
      <w:rPr>
        <w:rFonts w:ascii="Calibri" w:cs="Calibri" w:eastAsia="Calibri" w:hAnsi="Calibri"/>
        <w:color w:val="667085"/>
        <w:sz w:val="17"/>
        <w:szCs w:val="17"/>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jc w:val="right"/>
      <w:rPr/>
    </w:pPr>
    <w:r w:rsidDel="00000000" w:rsidR="00000000" w:rsidRPr="00000000">
      <w:rPr>
        <w:rFonts w:ascii="Calibri" w:cs="Calibri" w:eastAsia="Calibri" w:hAnsi="Calibri"/>
        <w:b w:val="1"/>
        <w:bCs w:val="1"/>
        <w:color w:val="2e74b5"/>
        <w:sz w:val="17"/>
        <w:szCs w:val="17"/>
        <w:rtl w:val="0"/>
      </w:rPr>
      <w:t xml:space="preserve">MILESTONE 5  |  INTRODUCTION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63238"/>
        <w:sz w:val="21"/>
        <w:szCs w:val="21"/>
        <w:lang w:val="en"/>
      </w:rPr>
    </w:rPrDefault>
    <w:pPrDefault>
      <w:pPr>
        <w:spacing w:after="12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Rule="auto"/>
    </w:pPr>
    <w:rPr>
      <w:rFonts w:ascii="Calibri" w:cs="Calibri" w:eastAsia="Calibri" w:hAnsi="Calibri"/>
      <w:b w:val="1"/>
      <w:bCs w:val="1"/>
      <w:color w:val="2e74b5"/>
      <w:sz w:val="30"/>
      <w:szCs w:val="30"/>
    </w:rPr>
  </w:style>
  <w:style w:type="paragraph" w:styleId="Heading2">
    <w:name w:val="heading 2"/>
    <w:basedOn w:val="Normal"/>
    <w:next w:val="Normal"/>
    <w:pPr>
      <w:keepNext w:val="1"/>
      <w:keepLines w:val="1"/>
      <w:spacing w:after="120" w:before="200" w:lineRule="auto"/>
    </w:pPr>
    <w:rPr>
      <w:rFonts w:ascii="Calibri" w:cs="Calibri" w:eastAsia="Calibri" w:hAnsi="Calibri"/>
      <w:b w:val="1"/>
      <w:bCs w:val="1"/>
      <w:color w:val="2e74b5"/>
      <w:sz w:val="25"/>
      <w:szCs w:val="25"/>
    </w:rPr>
  </w:style>
  <w:style w:type="paragraph" w:styleId="Heading3">
    <w:name w:val="heading 3"/>
    <w:basedOn w:val="Normal"/>
    <w:next w:val="Normal"/>
    <w:pPr>
      <w:keepNext w:val="1"/>
      <w:keepLines w:val="1"/>
      <w:spacing w:after="120" w:before="200" w:lineRule="auto"/>
    </w:pPr>
    <w:rPr>
      <w:rFonts w:ascii="Calibri" w:cs="Calibri" w:eastAsia="Calibri" w:hAnsi="Calibri"/>
      <w:b w:val="1"/>
      <w:bCs w:val="1"/>
      <w:color w:val="1f4d78"/>
      <w:sz w:val="23"/>
      <w:szCs w:val="23"/>
    </w:rPr>
  </w:style>
  <w:style w:type="paragraph" w:styleId="Heading4">
    <w:name w:val="heading 4"/>
    <w:basedOn w:val="Normal"/>
    <w:next w:val="Normal"/>
    <w:pPr>
      <w:keepNext w:val="1"/>
      <w:keepLines w:val="1"/>
      <w:spacing w:after="120" w:before="200" w:lineRule="auto"/>
    </w:pPr>
    <w:rPr>
      <w:rFonts w:ascii="Calibri" w:cs="Calibri" w:eastAsia="Calibri" w:hAnsi="Calibri"/>
      <w:b w:val="1"/>
      <w:bCs w:val="1"/>
      <w:i w:val="1"/>
      <w:iCs w:val="1"/>
      <w:color w:val="1f4d78"/>
      <w:sz w:val="21"/>
      <w:szCs w:val="2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w5AUovNE0tWTT9waD+Edw+GiIg==">CgMxLjAyD2lkLjE3bDdmZHAyZjRmcTIPaWQudXQ2ZXlvdHQ3ZGRuMg9pZC40NHI2cmZkOWJtNmcyD2lkLmVlZzJwcDRtZTltOTIPaWQuamp4Mm5keHU0amo1Mg9pZC52dXJ3N2Y0aG5sbjQyD2lkLmhhbWxrMXluczdlNzIPaWQuMzBhNXBpMjUzdG1oMg9pZC54M2c2MmR0cWs5ZTgyD2lkLnd0NnAwbnM2Yng3dzIPaWQuZ3N3anB4andkeXBjMg9pZC5lMHJxN2xhcTM4Z3cyDmlkLnVzbXJpN3dreDdjOAByITEtcFpoMDV1ZVFfdDdXT2RIWG4tTzBBaGNjdnd3Y2hj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