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80594087b2c51b31df8b03943e0cbf779dc564"/>
    <w:p>
      <w:pPr>
        <w:pStyle w:val="Title"/>
        <w:spacing w:before="1200" w:after="360"/>
      </w:pPr>
      <w:r>
        <w:rPr>
          <w:rFonts w:ascii="Calibri" w:hAnsi="Calibri" w:eastAsia="Calibri"/>
          <w:b/>
          <w:color w:val="2E74B5"/>
          <w:sz w:val="22"/>
        </w:rPr>
        <w:t>MILESTONE 5</w:t>
        <w:br/>
      </w:r>
      <w:r>
        <w:rPr>
          <w:rFonts w:ascii="Calibri" w:hAnsi="Calibri" w:eastAsia="Calibri"/>
          <w:b/>
          <w:color w:val="1F4D78"/>
          <w:sz w:val="50"/>
        </w:rPr>
        <w:t>Product Requirements Document</w:t>
      </w:r>
    </w:p>
    <w:p>
      <w:pPr>
        <w:pStyle w:val="FirstParagraph"/>
        <w:spacing w:before="120" w:after="0" w:line="312" w:lineRule="auto"/>
        <w:ind w:left="173"/>
        <w:pBdr>
          <w:left w:val="single" w:sz="20" w:space="12" w:color="2E74B5"/>
        </w:pBdr>
      </w:pPr>
      <w:r>
        <w:rPr>
          <w:rFonts w:ascii="Calibri" w:hAnsi="Calibri" w:eastAsia="Calibri"/>
          <w:b/>
          <w:bCs/>
          <w:color w:val="1F4D78"/>
          <w:sz w:val="21"/>
        </w:rPr>
        <w:t xml:space="preserve">Date:</w:t>
      </w:r>
      <w:r>
        <w:rPr>
          <w:rFonts w:ascii="Calibri" w:hAnsi="Calibri" w:eastAsia="Calibri"/>
          <w:color w:val="263238"/>
          <w:sz w:val="21"/>
        </w:rPr>
        <w:t xml:space="preserve"> </w:t>
      </w:r>
      <w:r>
        <w:rPr>
          <w:rFonts w:ascii="Calibri" w:hAnsi="Calibri" w:eastAsia="Calibri"/>
          <w:color w:val="263238"/>
          <w:sz w:val="21"/>
        </w:rPr>
        <w:t xml:space="preserve">26 July 2026</w:t>
      </w:r>
      <w:r>
        <w:rPr>
          <w:rFonts w:ascii="Calibri" w:hAnsi="Calibri" w:eastAsia="Calibri"/>
          <w:color w:val="263238"/>
          <w:sz w:val="21"/>
        </w:rPr>
        <w:br/>
      </w:r>
      <w:r>
        <w:rPr>
          <w:rFonts w:ascii="Calibri" w:hAnsi="Calibri" w:eastAsia="Calibri"/>
          <w:b/>
          <w:bCs/>
          <w:color w:val="1F4D78"/>
          <w:sz w:val="21"/>
        </w:rPr>
        <w:t xml:space="preserve">Updated:</w:t>
      </w:r>
      <w:r>
        <w:rPr>
          <w:rFonts w:ascii="Calibri" w:hAnsi="Calibri" w:eastAsia="Calibri"/>
          <w:color w:val="263238"/>
          <w:sz w:val="21"/>
        </w:rPr>
        <w:t xml:space="preserve"> </w:t>
      </w:r>
      <w:r>
        <w:rPr>
          <w:rFonts w:ascii="Calibri" w:hAnsi="Calibri" w:eastAsia="Calibri"/>
          <w:color w:val="263238"/>
          <w:sz w:val="21"/>
        </w:rPr>
        <w:t xml:space="preserve">5 August 2026</w:t>
      </w:r>
      <w:r>
        <w:rPr>
          <w:rFonts w:ascii="Calibri" w:hAnsi="Calibri" w:eastAsia="Calibri"/>
          <w:color w:val="263238"/>
          <w:sz w:val="21"/>
        </w:rPr>
        <w:br/>
      </w:r>
      <w:r>
        <w:rPr>
          <w:rFonts w:ascii="Calibri" w:hAnsi="Calibri" w:eastAsia="Calibri"/>
          <w:b/>
          <w:bCs/>
          <w:color w:val="1F4D78"/>
          <w:sz w:val="21"/>
        </w:rPr>
        <w:t xml:space="preserve">Status:</w:t>
      </w:r>
      <w:r>
        <w:rPr>
          <w:rFonts w:ascii="Calibri" w:hAnsi="Calibri" w:eastAsia="Calibri"/>
          <w:color w:val="263238"/>
          <w:sz w:val="21"/>
        </w:rPr>
        <w:t xml:space="preserve"> </w:t>
      </w:r>
      <w:r>
        <w:rPr>
          <w:rFonts w:ascii="Calibri" w:hAnsi="Calibri" w:eastAsia="Calibri"/>
          <w:color w:val="263238"/>
          <w:sz w:val="21"/>
        </w:rPr>
        <w:t xml:space="preserve">For review — final sign-off depends on the Gate 1 decisions. A requirements document, not an architecture or implementation plan.</w:t>
      </w:r>
      <w:r>
        <w:rPr>
          <w:rFonts w:ascii="Calibri" w:hAnsi="Calibri" w:eastAsia="Calibri"/>
          <w:color w:val="263238"/>
          <w:sz w:val="21"/>
        </w:rPr>
        <w:br/>
      </w:r>
      <w:r>
        <w:rPr>
          <w:rFonts w:ascii="Calibri" w:hAnsi="Calibri" w:eastAsia="Calibri"/>
          <w:b/>
          <w:bCs/>
          <w:color w:val="1F4D78"/>
          <w:sz w:val="21"/>
        </w:rPr>
        <w:t xml:space="preserve">Scope:</w:t>
      </w:r>
      <w:r>
        <w:rPr>
          <w:rFonts w:ascii="Calibri" w:hAnsi="Calibri" w:eastAsia="Calibri"/>
          <w:color w:val="263238"/>
          <w:sz w:val="21"/>
        </w:rPr>
        <w:t xml:space="preserve"> </w:t>
      </w:r>
      <w:r>
        <w:rPr>
          <w:rFonts w:ascii="Calibri" w:hAnsi="Calibri" w:eastAsia="Calibri"/>
          <w:color w:val="263238"/>
          <w:sz w:val="21"/>
        </w:rPr>
        <w:t xml:space="preserve">Validator-first chain-health reputation for ASI Chain / F1R3FLY.</w:t>
      </w:r>
    </w:p>
    <w:p>
      <w:pPr>
        <w:spacing w:before="360"/>
      </w:pPr>
      <w:r>
        <w:rPr>
          <w:rFonts w:ascii="Calibri" w:hAnsi="Calibri" w:eastAsia="Calibri"/>
          <w:color w:val="667085"/>
          <w:sz w:val="19"/>
        </w:rPr>
        <w:t>What the system must do and for whom. Part of the Milestone 5 design package.</w:t>
      </w:r>
      <w:r>
        <w:br w:type="page"/>
      </w:r>
    </w:p>
    <w:bookmarkStart w:id="9" w:name="X1d1d82c6ea6cca968955a8aebe92ef42bf6e46e"/>
    <w:p>
      <w:pPr>
        <w:pStyle w:val="Heading1"/>
      </w:pPr>
      <w:r>
        <w:t xml:space="preserve">1. Product objective</w:t>
      </w:r>
    </w:p>
    <w:p>
      <w:pPr>
        <w:pStyle w:val="FirstParagraph"/>
      </w:pPr>
      <w:r>
        <w:t xml:space="preserve">Provide an inspectable reputation service for validator and chain/shard health. The service collects typed, scoped, time-indexed evidence; preserves provenance and disputes; and publishes declared projection results for human, agent, and chain consumers.</w:t>
      </w:r>
    </w:p>
    <w:p>
      <w:pPr>
        <w:pStyle w:val="BodyText"/>
      </w:pPr>
      <w:r>
        <w:t xml:space="preserve">Two principles set expectations for every requirement below. First, a signature proves who made a statement — never that the statement is true. The service records attributable evidence and preserves disputes; it does not certify honesty, and no valid signature or proof upgrades a claim into a fact. Second, no scalar score is treated as truth: evidence is canonical, and every score is a versioned consumer view of it. Reputation initially informs observation and analysis. It must not automatically control consensus, eligibility, slashing, emissions, burns, or other high-impact actions during the follow-on V1 prototype.</w:t>
      </w:r>
    </w:p>
    <w:p>
      <w:pPr>
        <w:pStyle w:val="BodyText"/>
      </w:pPr>
      <w:r>
        <w:t xml:space="preserve">Validator-first is the initial product boundary, not a validator-specific identity model. The same stable-subject, typed-evidence, scope, provenance, and projection separation must permit later subject classes — including agents, registered entities, products, services, and artifacts — to be introduced through versioned types, event schemas, authorities, and policies without redefining canonical evidence. Those classes remain outside V1 unless explicitly promoted through the Open Question Register and roadmap.</w:t>
      </w:r>
    </w:p>
    <w:bookmarkEnd w:id="9"/>
    <w:bookmarkStart w:id="10" w:name="Xc520680b73fcf4390b9729a5ac29c81495e0a5e"/>
    <w:p>
      <w:pPr>
        <w:pStyle w:val="Heading1"/>
      </w:pPr>
      <w:r>
        <w:t xml:space="preserve">2. Initial personas and consumers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05"/>
        <w:gridCol w:w="6954"/>
      </w:tblGrid>
      <w:tr>
        <w:trPr>
          <w:tblHeader w:val="on"/>
          <w:tblHeader w:val="true"/>
          <w:cantSplit/>
        </w:trPr>
        <w:tc>
          <w:tcPr>
            <w:tcW w:w="2405"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Persona</w:t>
            </w:r>
          </w:p>
        </w:tc>
        <w:tc>
          <w:tcPr>
            <w:tcW w:w="6954"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Need</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Validator operator / subject</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Inspect evidence and projection results associated with its validator identity; make attributable self-claims; answer or dispute adverse claims</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Truster / ingestion operator</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Submit authorized observations from approved external-chain or off-chain sources with source, finality, coverage, and provenance context</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Peer validator / observer</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Submit authorized claims, attestations, or refutations about another validator without acquiring authority outside the declared type and scope</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Chain-health investigator</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Query validator and shard behavior for a scope and epoch; inspect supporting and refuting evidence</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Governance or operations reviewer</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Compare policy versions, coverage, freshness, and disputed results before taking action</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Agent or application developer</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Retrieve structured, machine-verifiable answers rather than scrape narrative reports</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Consumer shard or service</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Import an authenticated result envelope into local state under its own acceptance policy</w:t>
            </w:r>
          </w:p>
        </w:tc>
      </w:tr>
      <w:tr>
        <w:trPr>
          <w:cantSplit/>
        </w:trPr>
        <w:tc>
          <w:tcPr>
            <w:tcW w:w="2405" w:type="dxa"/>
            <w:tcMar>
              <w:top w:w="50" w:type="dxa"/>
              <w:start w:w="90" w:type="dxa"/>
              <w:bottom w:w="50" w:type="dxa"/>
              <w:end w:w="90" w:type="dxa"/>
            </w:tcMar>
          </w:tcPr>
          <w:p>
            <w:pPr>
              <w:pStyle w:val="Compact"/>
              <w:spacing w:after="40" w:before="0"/>
            </w:pPr>
            <w:r>
              <w:rPr>
                <w:rFonts w:ascii="Calibri" w:hAnsi="Calibri"/>
                <w:color w:val="263238"/>
                <w:sz w:val="18"/>
              </w:rPr>
              <w:t xml:space="preserve">Policy author</w:t>
            </w:r>
          </w:p>
        </w:tc>
        <w:tc>
          <w:tcPr>
            <w:tcW w:w="6954" w:type="dxa"/>
            <w:tcMar>
              <w:top w:w="50" w:type="dxa"/>
              <w:start w:w="90" w:type="dxa"/>
              <w:bottom w:w="50" w:type="dxa"/>
              <w:end w:w="90" w:type="dxa"/>
            </w:tcMar>
          </w:tcPr>
          <w:p>
            <w:pPr>
              <w:pStyle w:val="Compact"/>
              <w:spacing w:after="40" w:before="0"/>
            </w:pPr>
            <w:r>
              <w:rPr>
                <w:rFonts w:ascii="Calibri" w:hAnsi="Calibri"/>
                <w:color w:val="263238"/>
                <w:sz w:val="18"/>
              </w:rPr>
              <w:t xml:space="preserve">Define and test a versioned projection without rewriting canonical evidence</w:t>
            </w:r>
          </w:p>
        </w:tc>
      </w:tr>
    </w:tbl>
    <w:p>
      <w:pPr>
        <w:pStyle w:val="BodyText"/>
      </w:pPr>
      <w:r>
        <w:t xml:space="preserve">The exact launch personas and authorization boundaries remain Gate 1 decisions (Q1, Q2, Q4, Q6).</w:t>
      </w:r>
    </w:p>
    <w:p>
      <w:pPr>
        <w:pStyle w:val="BodyText"/>
      </w:pPr>
      <w:r>
        <w:t xml:space="preserve">One actor may hold more than one role, but authorization is evaluated per action. Being a validator, subject, truster, or signer does not by itself authorize every evidence type, scope, dispute action, or payload view.</w:t>
      </w:r>
    </w:p>
    <w:p>
      <w:pPr>
        <w:pStyle w:val="BodyText"/>
      </w:pPr>
      <w:r>
        <w:t xml:space="preserve">Q1 must select the initial validator reputation types. The proposed candidates are:</w:t>
      </w:r>
    </w:p>
    <w:p>
      <w:pPr>
        <w:pStyle w:val="Compact"/>
        <w:numPr>
          <w:ilvl w:val="0"/>
          <w:numId w:val="1001"/>
        </w:numPr>
      </w:pPr>
      <w:r>
        <w:t xml:space="preserve">block-production reliability and timeliness;</w:t>
      </w:r>
    </w:p>
    <w:p>
      <w:pPr>
        <w:pStyle w:val="Compact"/>
        <w:numPr>
          <w:ilvl w:val="0"/>
          <w:numId w:val="1001"/>
        </w:numPr>
      </w:pPr>
      <w:r>
        <w:t xml:space="preserve">validation correctness and replay agreement;</w:t>
      </w:r>
    </w:p>
    <w:p>
      <w:pPr>
        <w:pStyle w:val="Compact"/>
        <w:numPr>
          <w:ilvl w:val="0"/>
          <w:numId w:val="1001"/>
        </w:numPr>
      </w:pPr>
      <w:r>
        <w:t xml:space="preserve">protocol-version compliance and upgrade behavior;</w:t>
      </w:r>
    </w:p>
    <w:p>
      <w:pPr>
        <w:pStyle w:val="Compact"/>
        <w:numPr>
          <w:ilvl w:val="0"/>
          <w:numId w:val="1001"/>
        </w:numPr>
      </w:pPr>
      <w:r>
        <w:t xml:space="preserve">shard-obligation responsiveness;</w:t>
      </w:r>
    </w:p>
    <w:p>
      <w:pPr>
        <w:pStyle w:val="Compact"/>
        <w:numPr>
          <w:ilvl w:val="0"/>
          <w:numId w:val="1001"/>
        </w:numPr>
      </w:pPr>
      <w:r>
        <w:t xml:space="preserve">bridge reliability, where applicable; and</w:t>
      </w:r>
    </w:p>
    <w:p>
      <w:pPr>
        <w:pStyle w:val="Compact"/>
        <w:numPr>
          <w:ilvl w:val="0"/>
          <w:numId w:val="1001"/>
        </w:numPr>
      </w:pPr>
      <w:r>
        <w:t xml:space="preserve">evidence-publication and attestation reliability.</w:t>
      </w:r>
    </w:p>
    <w:p>
      <w:pPr>
        <w:pStyle w:val="FirstParagraph"/>
      </w:pPr>
      <w:r>
        <w:t xml:space="preserve">Events such as equivocation, double-signing, or slashing would provide negative evidence against one or more of these reputation types. This is a proposed product taxonomy, not a settled schema.</w:t>
      </w:r>
    </w:p>
    <w:bookmarkEnd w:id="10"/>
    <w:bookmarkStart w:id="15" w:name="X24723343d4e5f1c6649f4c09bc4812ea118bfd5"/>
    <w:p>
      <w:pPr>
        <w:pStyle w:val="Heading1"/>
      </w:pPr>
      <w:r>
        <w:t xml:space="preserve">3. Initial actor journeys</w:t>
      </w:r>
    </w:p>
    <w:p>
      <w:pPr>
        <w:pStyle w:val="FirstParagraph"/>
      </w:pPr>
      <w:r>
        <w:t xml:space="preserve">The names below are illustrative. The journeys define interactions and trust boundaries, not launch staffing or a complete UX specification.</w:t>
      </w:r>
    </w:p>
    <w:bookmarkStart w:id="11" w:name="Xbddcd69dc91a43b35587c1e1a6f40ec77c1c287"/>
    <w:p>
      <w:pPr>
        <w:pStyle w:val="Heading2"/>
      </w:pPr>
      <w:r>
        <w:t xml:space="preserve">UJ-1 - Alice imports external-chain evidence</w:t>
      </w:r>
    </w:p>
    <w:p>
      <w:pPr>
        <w:pStyle w:val="FirstParagraph"/>
      </w:pPr>
      <w:r>
        <w:t xml:space="preserve">Alice is an authorized SNet truster operating an ingestion service. She reads a finalized slashing event from an approved external chain, constructs a reputation article containing the typed observation, source domain and checkpoint, source event identifier, coverage interval, payload or commitment, and her issuer authorization, then signs and submits it. The node may reject the deploy before queueing it using its normal HTTP or gRPC error response; that admission result does not establish whether the reputation article is valid. After a deploy ID is returned, Alice polls the node's native finalization state (</w:t>
      </w:r>
      <w:r>
        <w:rPr>
          <w:rStyle w:val="VerbatimChar"/>
        </w:rPr>
        <w:t xml:space="preserve">Pending</w:t>
      </w:r>
      <w:r>
        <w:t xml:space="preserve">,</w:t>
      </w:r>
      <w:r>
        <w:t xml:space="preserve"> </w:t>
      </w:r>
      <w:r>
        <w:rPr>
          <w:rStyle w:val="VerbatimChar"/>
        </w:rPr>
        <w:t xml:space="preserve">Finalized</w:t>
      </w:r>
      <w:r>
        <w:t xml:space="preserve">,</w:t>
      </w:r>
      <w:r>
        <w:t xml:space="preserve"> </w:t>
      </w:r>
      <w:r>
        <w:rPr>
          <w:rStyle w:val="VerbatimChar"/>
        </w:rPr>
        <w:t xml:space="preserve">Failed</w:t>
      </w:r>
      <w:r>
        <w:t xml:space="preserve">, or</w:t>
      </w:r>
      <w:r>
        <w:t xml:space="preserve"> </w:t>
      </w:r>
      <w:r>
        <w:rPr>
          <w:rStyle w:val="VerbatimChar"/>
        </w:rPr>
        <w:t xml:space="preserve">Expired</w:t>
      </w:r>
      <w:r>
        <w:t xml:space="preserve">). The consensus-executed evidence contract separately verifies her capability, the article schema, signature, shard-wide uniqueness, and declared source context, and returns the application outcome. Her signature proves attribution rather than the truth or completeness of the external fact. If the source later reorganizes or the observation is corrected, she submits a linked supersession or invalidation rather than replacing history. Queries expose any coverage gap, unavailable payload, or unresolved contradiction.</w:t>
      </w:r>
    </w:p>
    <w:bookmarkEnd w:id="11"/>
    <w:bookmarkStart w:id="12" w:name="uj-2---carol-makes-a-self-claim"/>
    <w:p>
      <w:pPr>
        <w:pStyle w:val="Heading2"/>
      </w:pPr>
      <w:r>
        <w:t xml:space="preserve">UJ-2 - Carol makes a self-claim</w:t>
      </w:r>
    </w:p>
    <w:p>
      <w:pPr>
        <w:pStyle w:val="FirstParagraph"/>
      </w:pPr>
      <w:r>
        <w:t xml:space="preserve">Carol operates a validator and submits a signed claim that her validator completed a declared upgrade or duty within a given epoch. The service labels the event as a self-claim, checks that her key and capability were valid for that identity, type, scope, and event time, and requires the applicable supporting source reference or commitment. The claim remains distinguishable from node-native or independently witnessed evidence. Carol can inspect the resulting structured reputation object and see whether the claim is supported, contradicted, disputed, or insufficiently observed.</w:t>
      </w:r>
    </w:p>
    <w:bookmarkEnd w:id="12"/>
    <w:bookmarkStart w:id="13" w:name="Xbc3c20c023597888a33bb8145f8dd933292c652"/>
    <w:p>
      <w:pPr>
        <w:pStyle w:val="Heading2"/>
      </w:pPr>
      <w:r>
        <w:t xml:space="preserve">UJ-3 - Bob reports or refutes another validator's behavior</w:t>
      </w:r>
    </w:p>
    <w:p>
      <w:pPr>
        <w:pStyle w:val="FirstParagraph"/>
      </w:pPr>
      <w:r>
        <w:t xml:space="preserve">Bob is a peer validator or authorized observer. He submits a witnessed observation that refutes Carol's earlier event, optionally accompanied by a counterclaim. The service verifies that Bob may issue that assertion form and relation for the declared type and scope, preserves the target and provenance links, and does not treat his signature as decisive truth. If the evidence conflicts, the relevant evidence query becomes disputed rather than silently selecting a winner. Carol can respond through the same append-only process; authorized reviewers can inspect dispute status and resolution evidence; the system derives affected result contexts from reverse dependencies and processes them only under the applicable versioned correction policy.</w:t>
      </w:r>
    </w:p>
    <w:bookmarkEnd w:id="13"/>
    <w:bookmarkStart w:id="14" w:name="X760eb9d5bf3a2706cc058e16a6be5d9c1fa2198"/>
    <w:p>
      <w:pPr>
        <w:pStyle w:val="Heading2"/>
      </w:pPr>
      <w:r>
        <w:t xml:space="preserve">UJ-4 - David queries evidence and imports a projection</w:t>
      </w:r>
    </w:p>
    <w:p>
      <w:pPr>
        <w:pStyle w:val="FirstParagraph"/>
      </w:pPr>
      <w:r>
        <w:t xml:space="preserve">David investigates validator and shard health. David first issues an evidence query and receives a structured reputation object: the answer state, supporting and refuting evidence, provenance, coverage, freshness, availability/redaction state, evidence root, and verification material. David separately requests a projection result and can see its policy version, epoch/cutoff, evidence root, correction lineage, and coverage. If a consumer shard imports that projection, its importer independently verifies signer or quorum authority, proof, source binding, order, freshness, duplication, and conflict policy before an ordinary local deploy records the accepted result.</w:t>
      </w:r>
    </w:p>
    <w:bookmarkEnd w:id="14"/>
    <w:bookmarkEnd w:id="15"/>
    <w:bookmarkStart w:id="16" w:name="Xeb89cf5a2b52fe591b844190e1cf3dbd8a6fe7c"/>
    <w:p>
      <w:pPr>
        <w:pStyle w:val="Heading1"/>
      </w:pPr>
      <w:r>
        <w:t xml:space="preserve">4. V1 use cases</w:t>
      </w:r>
    </w:p>
    <w:p>
      <w:pPr>
        <w:pStyle w:val="Compact"/>
        <w:numPr>
          <w:ilvl w:val="0"/>
          <w:numId w:val="1002"/>
        </w:numPr>
      </w:pPr>
      <w:r>
        <w:rPr>
          <w:b/>
          <w:bCs/>
        </w:rPr>
        <w:t xml:space="preserve">UC-1:</w:t>
      </w:r>
      <w:r>
        <w:t xml:space="preserve"> </w:t>
      </w:r>
      <w:r>
        <w:t xml:space="preserve">Submit a typed validator observation or attestation with issuer identity, scope, event time, provenance, and supporting payload or commitment.</w:t>
      </w:r>
    </w:p>
    <w:p>
      <w:pPr>
        <w:pStyle w:val="Compact"/>
        <w:numPr>
          <w:ilvl w:val="0"/>
          <w:numId w:val="1002"/>
        </w:numPr>
      </w:pPr>
      <w:r>
        <w:rPr>
          <w:b/>
          <w:bCs/>
        </w:rPr>
        <w:t xml:space="preserve">UC-2:</w:t>
      </w:r>
      <w:r>
        <w:t xml:space="preserve"> </w:t>
      </w:r>
      <w:r>
        <w:t xml:space="preserve">Submit a self-claim whose self-issued status remains explicit throughout query and projection.</w:t>
      </w:r>
    </w:p>
    <w:p>
      <w:pPr>
        <w:pStyle w:val="Compact"/>
        <w:numPr>
          <w:ilvl w:val="0"/>
          <w:numId w:val="1002"/>
        </w:numPr>
      </w:pPr>
      <w:r>
        <w:rPr>
          <w:b/>
          <w:bCs/>
        </w:rPr>
        <w:t xml:space="preserve">UC-3:</w:t>
      </w:r>
      <w:r>
        <w:t xml:space="preserve"> </w:t>
      </w:r>
      <w:r>
        <w:t xml:space="preserve">Submit a claim or refutation about another validator under type- and scope-specific authority.</w:t>
      </w:r>
    </w:p>
    <w:p>
      <w:pPr>
        <w:pStyle w:val="Compact"/>
        <w:numPr>
          <w:ilvl w:val="0"/>
          <w:numId w:val="1002"/>
        </w:numPr>
      </w:pPr>
      <w:r>
        <w:rPr>
          <w:b/>
          <w:bCs/>
        </w:rPr>
        <w:t xml:space="preserve">UC-4:</w:t>
      </w:r>
      <w:r>
        <w:t xml:space="preserve"> </w:t>
      </w:r>
      <w:r>
        <w:t xml:space="preserve">Submit a counterclaim, refutation, revocation, supersession, or invalidation without deleting prior history.</w:t>
      </w:r>
    </w:p>
    <w:p>
      <w:pPr>
        <w:pStyle w:val="Compact"/>
        <w:numPr>
          <w:ilvl w:val="0"/>
          <w:numId w:val="1002"/>
        </w:numPr>
      </w:pPr>
      <w:r>
        <w:rPr>
          <w:b/>
          <w:bCs/>
        </w:rPr>
        <w:t xml:space="preserve">UC-5:</w:t>
      </w:r>
      <w:r>
        <w:t xml:space="preserve"> </w:t>
      </w:r>
      <w:r>
        <w:t xml:space="preserve">Ask whether a validator was slashed in a given epoch and receive a structured reputation object with coverage, freshness, provenance, and verification material.</w:t>
      </w:r>
    </w:p>
    <w:p>
      <w:pPr>
        <w:pStyle w:val="Compact"/>
        <w:numPr>
          <w:ilvl w:val="0"/>
          <w:numId w:val="1002"/>
        </w:numPr>
      </w:pPr>
      <w:r>
        <w:rPr>
          <w:b/>
          <w:bCs/>
        </w:rPr>
        <w:t xml:space="preserve">UC-6:</w:t>
      </w:r>
      <w:r>
        <w:t xml:space="preserve"> </w:t>
      </w:r>
      <w:r>
        <w:t xml:space="preserve">Inspect supporting and refuting evidence for a typed judgment, subject to authorization and privacy policy.</w:t>
      </w:r>
    </w:p>
    <w:p>
      <w:pPr>
        <w:pStyle w:val="Compact"/>
        <w:numPr>
          <w:ilvl w:val="0"/>
          <w:numId w:val="1002"/>
        </w:numPr>
      </w:pPr>
      <w:r>
        <w:rPr>
          <w:b/>
          <w:bCs/>
        </w:rPr>
        <w:t xml:space="preserve">UC-7:</w:t>
      </w:r>
      <w:r>
        <w:t xml:space="preserve"> </w:t>
      </w:r>
      <w:r>
        <w:t xml:space="preserve">Compute and publish a deterministic epoch projection tied to an evidence root and policy version.</w:t>
      </w:r>
    </w:p>
    <w:p>
      <w:pPr>
        <w:pStyle w:val="Compact"/>
        <w:numPr>
          <w:ilvl w:val="0"/>
          <w:numId w:val="1002"/>
        </w:numPr>
      </w:pPr>
      <w:r>
        <w:rPr>
          <w:b/>
          <w:bCs/>
        </w:rPr>
        <w:t xml:space="preserve">UC-8:</w:t>
      </w:r>
      <w:r>
        <w:t xml:space="preserve"> </w:t>
      </w:r>
      <w:r>
        <w:t xml:space="preserve">Compare projection results across policy versions over the same retained evidence.</w:t>
      </w:r>
    </w:p>
    <w:p>
      <w:pPr>
        <w:pStyle w:val="Compact"/>
        <w:numPr>
          <w:ilvl w:val="0"/>
          <w:numId w:val="1002"/>
        </w:numPr>
      </w:pPr>
      <w:r>
        <w:rPr>
          <w:b/>
          <w:bCs/>
        </w:rPr>
        <w:t xml:space="preserve">UC-9:</w:t>
      </w:r>
      <w:r>
        <w:t xml:space="preserve"> </w:t>
      </w:r>
      <w:r>
        <w:t xml:space="preserve">Import an authenticated projection result into a consumer shard or application and reject stale, duplicated, unauthorized, or conflicting material.</w:t>
      </w:r>
    </w:p>
    <w:p>
      <w:pPr>
        <w:pStyle w:val="Compact"/>
        <w:numPr>
          <w:ilvl w:val="0"/>
          <w:numId w:val="1002"/>
        </w:numPr>
      </w:pPr>
      <w:r>
        <w:rPr>
          <w:b/>
          <w:bCs/>
        </w:rPr>
        <w:t xml:space="preserve">UC-10:</w:t>
      </w:r>
      <w:r>
        <w:t xml:space="preserve"> </w:t>
      </w:r>
      <w:r>
        <w:t xml:space="preserve">Run proposed health and tokenomic decisions in shadow mode without executing them.</w:t>
      </w:r>
    </w:p>
    <w:p>
      <w:pPr>
        <w:pStyle w:val="FirstParagraph"/>
      </w:pPr>
      <w:r>
        <w:t xml:space="preserve">The candidate chain-health response shape for Q4, Q7, and Q19 includes coverage and freshness; score distribution and low quantiles; validator and stake concentration; operator/client/geographic diversity where available; unresolved severe refutations; cross-shard correlation; integrity indicators such as wash activity; and projection-policy version. Gate 1 selects the V1 subset based on available evidence. A weighted mean alone is not sufficient because it can hide a failing minority.</w:t>
      </w:r>
    </w:p>
    <w:bookmarkEnd w:id="16"/>
    <w:bookmarkStart w:id="17" w:name="X1593b170320fa1a4eaef6384c159df9793b1e1d"/>
    <w:p>
      <w:pPr>
        <w:pStyle w:val="Heading1"/>
      </w:pPr>
      <w:r>
        <w:t xml:space="preserve">5. Conceptual object model</w:t>
      </w:r>
    </w:p>
    <w:p>
      <w:pPr>
        <w:pStyle w:val="FirstParagraph"/>
      </w:pPr>
      <w:r>
        <w:t xml:space="preserve">The product exposes five conceptual objects. Their field-level semantics are owned by the Evidence and Claims Model.</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60"/>
        <w:gridCol w:w="7599"/>
      </w:tblGrid>
      <w:tr>
        <w:trPr>
          <w:tblHeader w:val="on"/>
          <w:tblHeader w:val="true"/>
          <w:cantSplit/>
        </w:trPr>
        <w:tc>
          <w:tcPr>
            <w:tcW w:w="1760"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Object</w:t>
            </w:r>
          </w:p>
        </w:tc>
        <w:tc>
          <w:tcPr>
            <w:tcW w:w="7599"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Product meaning</w:t>
            </w:r>
          </w:p>
        </w:tc>
      </w:tr>
      <w:tr>
        <w:trPr>
          <w:cantSplit/>
        </w:trPr>
        <w:tc>
          <w:tcPr>
            <w:tcW w:w="1760" w:type="dxa"/>
            <w:tcMar>
              <w:top w:w="50" w:type="dxa"/>
              <w:start w:w="90" w:type="dxa"/>
              <w:bottom w:w="50" w:type="dxa"/>
              <w:end w:w="90" w:type="dxa"/>
            </w:tcMar>
          </w:tcPr>
          <w:p>
            <w:pPr>
              <w:pStyle w:val="Compact"/>
              <w:spacing w:after="40" w:before="0"/>
            </w:pPr>
            <w:r>
              <w:rPr>
                <w:rFonts w:ascii="Calibri" w:hAnsi="Calibri"/>
                <w:color w:val="263238"/>
                <w:sz w:val="18"/>
              </w:rPr>
              <w:t xml:space="preserve">Subject identity</w:t>
            </w:r>
          </w:p>
        </w:tc>
        <w:tc>
          <w:tcPr>
            <w:tcW w:w="7599" w:type="dxa"/>
            <w:tcMar>
              <w:top w:w="50" w:type="dxa"/>
              <w:start w:w="90" w:type="dxa"/>
              <w:bottom w:w="50" w:type="dxa"/>
              <w:end w:w="90" w:type="dxa"/>
            </w:tcMar>
          </w:tcPr>
          <w:p>
            <w:pPr>
              <w:pStyle w:val="Compact"/>
              <w:spacing w:after="40" w:before="0"/>
            </w:pPr>
            <w:r>
              <w:rPr>
                <w:rFonts w:ascii="Calibri" w:hAnsi="Calibri"/>
                <w:color w:val="263238"/>
                <w:sz w:val="18"/>
              </w:rPr>
              <w:t xml:space="preserve">Stable identifier for any reputation-bearing entity or artifact; an authority/controller bundle represents it when it cannot sign for itself</w:t>
            </w:r>
          </w:p>
        </w:tc>
      </w:tr>
      <w:tr>
        <w:trPr>
          <w:cantSplit/>
        </w:trPr>
        <w:tc>
          <w:tcPr>
            <w:tcW w:w="1760" w:type="dxa"/>
            <w:tcMar>
              <w:top w:w="50" w:type="dxa"/>
              <w:start w:w="90" w:type="dxa"/>
              <w:bottom w:w="50" w:type="dxa"/>
              <w:end w:w="90" w:type="dxa"/>
            </w:tcMar>
          </w:tcPr>
          <w:p>
            <w:pPr>
              <w:pStyle w:val="Compact"/>
              <w:spacing w:after="40" w:before="0"/>
            </w:pPr>
            <w:r>
              <w:rPr>
                <w:rFonts w:ascii="Calibri" w:hAnsi="Calibri"/>
                <w:color w:val="263238"/>
                <w:sz w:val="18"/>
              </w:rPr>
              <w:t xml:space="preserve">Evidence event</w:t>
            </w:r>
          </w:p>
        </w:tc>
        <w:tc>
          <w:tcPr>
            <w:tcW w:w="7599" w:type="dxa"/>
            <w:tcMar>
              <w:top w:w="50" w:type="dxa"/>
              <w:start w:w="90" w:type="dxa"/>
              <w:bottom w:w="50" w:type="dxa"/>
              <w:end w:w="90" w:type="dxa"/>
            </w:tcMar>
          </w:tcPr>
          <w:p>
            <w:pPr>
              <w:pStyle w:val="Compact"/>
              <w:spacing w:after="40" w:before="0"/>
            </w:pPr>
            <w:r>
              <w:rPr>
                <w:rFonts w:ascii="Calibri" w:hAnsi="Calibri"/>
                <w:color w:val="263238"/>
                <w:sz w:val="18"/>
              </w:rPr>
              <w:t xml:space="preserve">Signed or node-derived claim, observation, attestation, counterclaim, or correction about a subject/type/scope/time</w:t>
            </w:r>
          </w:p>
        </w:tc>
      </w:tr>
      <w:tr>
        <w:trPr>
          <w:cantSplit/>
        </w:trPr>
        <w:tc>
          <w:tcPr>
            <w:tcW w:w="1760" w:type="dxa"/>
            <w:tcMar>
              <w:top w:w="50" w:type="dxa"/>
              <w:start w:w="90" w:type="dxa"/>
              <w:bottom w:w="50" w:type="dxa"/>
              <w:end w:w="90" w:type="dxa"/>
            </w:tcMar>
          </w:tcPr>
          <w:p>
            <w:pPr>
              <w:pStyle w:val="Compact"/>
              <w:spacing w:after="40" w:before="0"/>
            </w:pPr>
            <w:r>
              <w:rPr>
                <w:rFonts w:ascii="Calibri" w:hAnsi="Calibri"/>
                <w:color w:val="263238"/>
                <w:sz w:val="18"/>
              </w:rPr>
              <w:t xml:space="preserve">Reputation article</w:t>
            </w:r>
          </w:p>
        </w:tc>
        <w:tc>
          <w:tcPr>
            <w:tcW w:w="7599" w:type="dxa"/>
            <w:tcMar>
              <w:top w:w="50" w:type="dxa"/>
              <w:start w:w="90" w:type="dxa"/>
              <w:bottom w:w="50" w:type="dxa"/>
              <w:end w:w="90" w:type="dxa"/>
            </w:tcMar>
          </w:tcPr>
          <w:p>
            <w:pPr>
              <w:pStyle w:val="Compact"/>
              <w:spacing w:after="40" w:before="0"/>
            </w:pPr>
            <w:r>
              <w:rPr>
                <w:rFonts w:ascii="Calibri" w:hAnsi="Calibri"/>
                <w:color w:val="263238"/>
                <w:sz w:val="18"/>
              </w:rPr>
              <w:t xml:space="preserve">Submitted evidence bundle binding an evidence event to source commitment/proof, issuer signature, and authorization context</w:t>
            </w:r>
          </w:p>
        </w:tc>
      </w:tr>
      <w:tr>
        <w:trPr>
          <w:cantSplit/>
        </w:trPr>
        <w:tc>
          <w:tcPr>
            <w:tcW w:w="1760" w:type="dxa"/>
            <w:tcMar>
              <w:top w:w="50" w:type="dxa"/>
              <w:start w:w="90" w:type="dxa"/>
              <w:bottom w:w="50" w:type="dxa"/>
              <w:end w:w="90" w:type="dxa"/>
            </w:tcMar>
          </w:tcPr>
          <w:p>
            <w:pPr>
              <w:pStyle w:val="Compact"/>
              <w:spacing w:after="40" w:before="0"/>
            </w:pPr>
            <w:r>
              <w:rPr>
                <w:rFonts w:ascii="Calibri" w:hAnsi="Calibri"/>
                <w:color w:val="263238"/>
                <w:sz w:val="18"/>
              </w:rPr>
              <w:t xml:space="preserve">Structured reputation object</w:t>
            </w:r>
          </w:p>
        </w:tc>
        <w:tc>
          <w:tcPr>
            <w:tcW w:w="7599" w:type="dxa"/>
            <w:tcMar>
              <w:top w:w="50" w:type="dxa"/>
              <w:start w:w="90" w:type="dxa"/>
              <w:bottom w:w="50" w:type="dxa"/>
              <w:end w:w="90" w:type="dxa"/>
            </w:tcMar>
          </w:tcPr>
          <w:p>
            <w:pPr>
              <w:pStyle w:val="Compact"/>
              <w:spacing w:after="40" w:before="0"/>
            </w:pPr>
            <w:r>
              <w:rPr>
                <w:rFonts w:ascii="Calibri" w:hAnsi="Calibri"/>
                <w:color w:val="263238"/>
                <w:sz w:val="18"/>
              </w:rPr>
              <w:t xml:space="preserve">Query-assembled supporting and refuting evidence plus provenance, coverage, freshness, and availability state for one subject/type/scope/time context; it is anchored to canonical evidence rather than a new scalar truth</w:t>
            </w:r>
          </w:p>
        </w:tc>
      </w:tr>
      <w:tr>
        <w:trPr>
          <w:cantSplit/>
        </w:trPr>
        <w:tc>
          <w:tcPr>
            <w:tcW w:w="1760" w:type="dxa"/>
            <w:tcMar>
              <w:top w:w="50" w:type="dxa"/>
              <w:start w:w="90" w:type="dxa"/>
              <w:bottom w:w="50" w:type="dxa"/>
              <w:end w:w="90" w:type="dxa"/>
            </w:tcMar>
          </w:tcPr>
          <w:p>
            <w:pPr>
              <w:pStyle w:val="Compact"/>
              <w:spacing w:after="40" w:before="0"/>
            </w:pPr>
            <w:r>
              <w:rPr>
                <w:rFonts w:ascii="Calibri" w:hAnsi="Calibri"/>
                <w:color w:val="263238"/>
                <w:sz w:val="18"/>
              </w:rPr>
              <w:t xml:space="preserve">Projection result</w:t>
            </w:r>
          </w:p>
        </w:tc>
        <w:tc>
          <w:tcPr>
            <w:tcW w:w="7599" w:type="dxa"/>
            <w:tcMar>
              <w:top w:w="50" w:type="dxa"/>
              <w:start w:w="90" w:type="dxa"/>
              <w:bottom w:w="50" w:type="dxa"/>
              <w:end w:w="90" w:type="dxa"/>
            </w:tcMar>
          </w:tcPr>
          <w:p>
            <w:pPr>
              <w:pStyle w:val="Compact"/>
              <w:spacing w:after="40" w:before="0"/>
            </w:pPr>
            <w:r>
              <w:rPr>
                <w:rFonts w:ascii="Calibri" w:hAnsi="Calibri"/>
                <w:color w:val="263238"/>
                <w:sz w:val="18"/>
              </w:rPr>
              <w:t xml:space="preserve">Derived answer tied to a declared policy version, evidence root, epoch, coverage, and freshness</w:t>
            </w:r>
          </w:p>
        </w:tc>
      </w:tr>
    </w:tbl>
    <w:bookmarkEnd w:id="17"/>
    <w:bookmarkStart w:id="20" w:name="X06a0de61c763fb9f71899c6eab5498e7a1e7314"/>
    <w:p>
      <w:pPr>
        <w:pStyle w:val="Heading1"/>
      </w:pPr>
      <w:r>
        <w:t xml:space="preserve">6. Functional requirements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16"/>
        <w:gridCol w:w="8443"/>
      </w:tblGrid>
      <w:tr>
        <w:trPr>
          <w:tblHeader w:val="on"/>
          <w:tblHeader w:val="true"/>
          <w:cantSplit/>
        </w:trPr>
        <w:tc>
          <w:tcPr>
            <w:tcW w:w="916"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ID</w:t>
            </w:r>
          </w:p>
        </w:tc>
        <w:tc>
          <w:tcPr>
            <w:tcW w:w="8443"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Requirement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The system shall ingest authorized, typed evidence events from humans, agents, node-native observations, and approved external attestors, while preserving which source role produced each event.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PRD-F2</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Each event shall conform to the canonical envelope and evidence-level semantics defined by the Evidence and Claims Model.</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PRD-F3</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The system shall preserve append-only history and represent correction through signed supersession, refutation, revocation, or invalidation events.</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PRD-F4</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Given an accepted correction targeting an evidence event, the system shall derive the policy-bounded affected result contexts from reverse dependencies within the agreed bound. Incremental and full recomputation shall agree for the same evidence root, correction-policy version, effective cutoff and horizon, projection policy/context, schema/runtime inputs, and declared snapshot/restatement context.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PRD-F5</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Human and machine consumers shall be able to query structured reputation objects by subject, scope, type, and time or epoch. Each response shall identify the finalized block and evidence root used, plus any separately versioned materialization. A latest-state request may wait within a defined bound; a bounded-staleness response shall identify the older finalized root used.</w:t>
            </w:r>
            <w:r>
              <w:rPr>
                <w:rFonts w:ascii="Calibri" w:hAnsi="Calibri"/>
                <w:color w:val="263238"/>
                <w:sz w:val="18"/>
              </w:rPr>
              <w:t xml:space="preserve"> </w:t>
            </w:r>
            <w:r>
              <w:rPr>
                <w:rStyle w:val="VerbatimChar"/>
                <w:rFonts w:ascii="Calibri" w:hAnsi="Calibri"/>
                <w:color w:val="263238"/>
                <w:sz w:val="18"/>
              </w:rPr>
              <w:t xml:space="preserve">Unavailable</w:t>
            </w:r>
            <w:r>
              <w:rPr>
                <w:rFonts w:ascii="Calibri" w:hAnsi="Calibri"/>
                <w:color w:val="263238"/>
                <w:sz w:val="18"/>
              </w:rPr>
              <w:t xml:space="preserve"> </w:t>
            </w:r>
            <w:r>
              <w:rPr>
                <w:rFonts w:ascii="Calibri" w:hAnsi="Calibri"/>
                <w:color w:val="263238"/>
                <w:sz w:val="18"/>
              </w:rPr>
              <w:t xml:space="preserve">is returned only when no acceptable complete state can be served.</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PRD-F6</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Evidence-query responses shall use fact-appropriate states such as yes, no, disputed, and insufficient evidence; health/adverse classifications belong to a declared projection, and unknown shall not silently become good.</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PRD-F7</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Every projection result shall conform to the normative field binding in</w:t>
            </w:r>
            <w:r>
              <w:rPr>
                <w:rFonts w:ascii="Calibri" w:hAnsi="Calibri"/>
                <w:color w:val="263238"/>
                <w:sz w:val="18"/>
              </w:rPr>
              <w:t xml:space="preserve"> </w:t>
            </w:r>
            <w:r>
              <w:rPr>
                <w:rFonts w:ascii="Calibri" w:hAnsi="Calibri"/>
                <w:i/>
                <w:color w:val="1F4D78"/>
                <w:sz w:val="18"/>
              </w:rPr>
              <w:t xml:space="preserve">Evidence and Claims Model Section 10</w:t>
            </w:r>
            <w:r>
              <w:rPr>
                <w:rFonts w:ascii="Calibri" w:hAnsi="Calibri"/>
                <w:color w:val="263238"/>
                <w:sz w:val="18"/>
              </w:rPr>
              <w:t xml:space="preserve">, expose the declared policy output, and carry enough verification metadata for independent consumer validation.</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PRD-F8</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Projection execution and replay shall be deterministic for the same evidence root, policy version, correction policy, schema version, and declared runtime compatibility inputs.</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PRD-F9</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Authorized parties shall be able to submit disputes and corrections, inspect the distinct</w:t>
            </w:r>
            <w:r>
              <w:rPr>
                <w:rFonts w:ascii="Calibri" w:hAnsi="Calibri"/>
                <w:color w:val="263238"/>
                <w:sz w:val="18"/>
              </w:rPr>
              <w:t xml:space="preserve"> </w:t>
            </w:r>
            <w:r>
              <w:rPr>
                <w:rStyle w:val="VerbatimChar"/>
                <w:rFonts w:ascii="Calibri" w:hAnsi="Calibri"/>
                <w:color w:val="263238"/>
                <w:sz w:val="18"/>
              </w:rPr>
              <w:t xml:space="preserve">dispute_case_status</w:t>
            </w:r>
            <w:r>
              <w:rPr>
                <w:rFonts w:ascii="Calibri" w:hAnsi="Calibri"/>
                <w:color w:val="263238"/>
                <w:sz w:val="18"/>
              </w:rPr>
              <w:t xml:space="preserve">, exercise applicable response rights, and obtain a traceable resolution outcome. A finalized submission receipt shall not be presented as acceptance or rejection of the dispute on its merits.</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PRD-F10</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The system shall enforce evidence-class and consumer-specific access to payloads while keeping public verification metadata available where policy allows.</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PRD-F11</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The system shall provide machine-readable result and proof material suitable for local consumer validation and import.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PRD-F12</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The system shall preserve immutable published snapshots even when later evidence produces a corrected or restated result.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PRD-F13</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The system shall support shadow-mode evaluation in which projected operational or economic actions are recorded but not executed.</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PRD-F14</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Self-claims, peer claims, node-native observations, and externally attested observations shall remain distinguishable; a valid signature proves attribution and authority, not truth or evidence strength.</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PRD-F15</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Evidence and results do not automatically carry over between reputation types or scopes. Any cross-context reuse must follow an explicit, bounded, versioned rule; V1 defines no automatic carry-over.</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PRD-F16</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Evidence queries and projection-result queries shall use distinct response contracts so a structured reputation object cannot be mistaken for a policy-derived result.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PRD-F17</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Evidence-query responses shall report expected coverage, observed coverage, freshness, and whether material is missing, unavailable, redacted, disputed, or outside the query's authority.</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PRD-F18</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Evidence and lifecycle submissions shall use the node's native deploy response and finalization vocabulary defined in</w:t>
            </w:r>
            <w:r>
              <w:rPr>
                <w:rFonts w:ascii="Calibri" w:hAnsi="Calibri"/>
                <w:color w:val="263238"/>
                <w:sz w:val="18"/>
              </w:rPr>
              <w:t xml:space="preserve"> </w:t>
            </w:r>
            <w:r>
              <w:rPr>
                <w:rFonts w:ascii="Calibri" w:hAnsi="Calibri"/>
                <w:i/>
                <w:color w:val="1F4D78"/>
                <w:sz w:val="18"/>
              </w:rPr>
              <w:t xml:space="preserve">Architecture Section 9.1</w:t>
            </w:r>
            <w:r>
              <w:rPr>
                <w:rFonts w:ascii="Calibri" w:hAnsi="Calibri"/>
                <w:color w:val="263238"/>
                <w:sz w:val="18"/>
              </w:rPr>
              <w:t xml:space="preserve">: pre-queue HTTP/gRPC errors, a returned deploy ID, and finalization states</w:t>
            </w:r>
            <w:r>
              <w:rPr>
                <w:rFonts w:ascii="Calibri" w:hAnsi="Calibri"/>
                <w:color w:val="263238"/>
                <w:sz w:val="18"/>
              </w:rPr>
              <w:t xml:space="preserve"> </w:t>
            </w:r>
            <w:r>
              <w:rPr>
                <w:rStyle w:val="VerbatimChar"/>
                <w:rFonts w:ascii="Calibri" w:hAnsi="Calibri"/>
                <w:color w:val="263238"/>
                <w:sz w:val="18"/>
              </w:rPr>
              <w:t xml:space="preserve">Pending</w:t>
            </w:r>
            <w:r>
              <w:rPr>
                <w:rFonts w:ascii="Calibri" w:hAnsi="Calibri"/>
                <w:color w:val="263238"/>
                <w:sz w:val="18"/>
              </w:rPr>
              <w:t xml:space="preserve">,</w:t>
            </w:r>
            <w:r>
              <w:rPr>
                <w:rFonts w:ascii="Calibri" w:hAnsi="Calibri"/>
                <w:color w:val="263238"/>
                <w:sz w:val="18"/>
              </w:rPr>
              <w:t xml:space="preserve"> </w:t>
            </w:r>
            <w:r>
              <w:rPr>
                <w:rStyle w:val="VerbatimChar"/>
                <w:rFonts w:ascii="Calibri" w:hAnsi="Calibri"/>
                <w:color w:val="263238"/>
                <w:sz w:val="18"/>
              </w:rPr>
              <w:t xml:space="preserve">Finalized</w:t>
            </w:r>
            <w:r>
              <w:rPr>
                <w:rFonts w:ascii="Calibri" w:hAnsi="Calibri"/>
                <w:color w:val="263238"/>
                <w:sz w:val="18"/>
              </w:rPr>
              <w:t xml:space="preserve">,</w:t>
            </w:r>
            <w:r>
              <w:rPr>
                <w:rFonts w:ascii="Calibri" w:hAnsi="Calibri"/>
                <w:color w:val="263238"/>
                <w:sz w:val="18"/>
              </w:rPr>
              <w:t xml:space="preserve"> </w:t>
            </w:r>
            <w:r>
              <w:rPr>
                <w:rStyle w:val="VerbatimChar"/>
                <w:rFonts w:ascii="Calibri" w:hAnsi="Calibri"/>
                <w:color w:val="263238"/>
                <w:sz w:val="18"/>
              </w:rPr>
              <w:t xml:space="preserve">Failed</w:t>
            </w:r>
            <w:r>
              <w:rPr>
                <w:rFonts w:ascii="Calibri" w:hAnsi="Calibri"/>
                <w:color w:val="263238"/>
                <w:sz w:val="18"/>
              </w:rPr>
              <w:t xml:space="preserve">, or</w:t>
            </w:r>
            <w:r>
              <w:rPr>
                <w:rFonts w:ascii="Calibri" w:hAnsi="Calibri"/>
                <w:color w:val="263238"/>
                <w:sz w:val="18"/>
              </w:rPr>
              <w:t xml:space="preserve"> </w:t>
            </w:r>
            <w:r>
              <w:rPr>
                <w:rStyle w:val="VerbatimChar"/>
                <w:rFonts w:ascii="Calibri" w:hAnsi="Calibri"/>
                <w:color w:val="263238"/>
                <w:sz w:val="18"/>
              </w:rPr>
              <w:t xml:space="preserve">Expired</w:t>
            </w:r>
            <w:r>
              <w:rPr>
                <w:rFonts w:ascii="Calibri" w:hAnsi="Calibri"/>
                <w:color w:val="263238"/>
                <w:sz w:val="18"/>
              </w:rPr>
              <w:t xml:space="preserve">. The reputation contract shall expose a separate application outcome and event/lifecycle ID. Finalized receipts shall bind deploy and checkpoint context, safe reason, and status reference; retries shall be idempotent and shall not reveal payloads the caller is not authorized to inspect.</w:t>
            </w:r>
          </w:p>
        </w:tc>
      </w:tr>
      <w:tr>
        <w:trPr>
          <w:cantSplit/>
        </w:trPr>
        <w:tc>
          <w:tcPr>
            <w:tcW w:w="916" w:type="dxa"/>
            <w:tcMar>
              <w:top w:w="50" w:type="dxa"/>
              <w:start w:w="90" w:type="dxa"/>
              <w:bottom w:w="50" w:type="dxa"/>
              <w:end w:w="90" w:type="dxa"/>
            </w:tcMar>
          </w:tcPr>
          <w:p>
            <w:pPr>
              <w:pStyle w:val="Compact"/>
              <w:spacing w:after="40" w:before="0"/>
            </w:pPr>
            <w:r>
              <w:rPr>
                <w:rFonts w:ascii="Calibri" w:hAnsi="Calibri"/>
                <w:color w:val="263238"/>
                <w:sz w:val="18"/>
              </w:rPr>
              <w:t xml:space="preserve">PRD-F19</w:t>
            </w:r>
          </w:p>
        </w:tc>
        <w:tc>
          <w:tcPr>
            <w:tcW w:w="8443" w:type="dxa"/>
            <w:tcMar>
              <w:top w:w="50" w:type="dxa"/>
              <w:start w:w="90" w:type="dxa"/>
              <w:bottom w:w="50" w:type="dxa"/>
              <w:end w:w="90" w:type="dxa"/>
            </w:tcMar>
          </w:tcPr>
          <w:p>
            <w:pPr>
              <w:pStyle w:val="Compact"/>
              <w:spacing w:after="40" w:before="0"/>
            </w:pPr>
            <w:r>
              <w:rPr>
                <w:rFonts w:ascii="Calibri" w:hAnsi="Calibri"/>
                <w:color w:val="263238"/>
                <w:sz w:val="18"/>
              </w:rPr>
              <w:t xml:space="preserve">Every supported query-access path shall preserve the same contract semantics, authorization, response type, and finalized-state binding. Native contract calls, node APIs, polling or notifications, cross-shard transport, and optional client adapters may differ in delivery but shall not produce different answers for the same declared state.</w:t>
            </w:r>
          </w:p>
        </w:tc>
      </w:tr>
    </w:tbl>
    <w:bookmarkEnd w:id="20"/>
    <w:bookmarkStart w:id="21" w:name="X88f7e29f13d03235a8949556d2df1bf2a6e791f"/>
    <w:p>
      <w:pPr>
        <w:pStyle w:val="Heading1"/>
      </w:pPr>
      <w:r>
        <w:t xml:space="preserve">7. Quality requirements</w:t>
      </w:r>
    </w:p>
    <w:tbl>
      <w:tblPr>
        <w:tblStyle w:val="Table"/>
        <w:tblLook w:firstRow="1" w:lastRow="0" w:firstColumn="0" w:lastColumn="0" w:noHBand="0" w:noVBand="0" w:val="0020"/>
        <w:tblW w:w="9359" w:type="dxa"/>
        <w:tblInd w:w="60" w:type="dxa"/>
        <w:tblLayout w:type="fixed"/>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62"/>
        <w:gridCol w:w="6997"/>
      </w:tblGrid>
      <w:tr>
        <w:trPr>
          <w:tblHeader w:val="on"/>
          <w:tblHeader w:val="true"/>
          <w:cantSplit/>
        </w:trPr>
        <w:tc>
          <w:tcPr>
            <w:tcW w:w="2362"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ID</w:t>
            </w:r>
          </w:p>
        </w:tc>
        <w:tc>
          <w:tcPr>
            <w:tcW w:w="6997" w:type="dxa"/>
            <w:tcMar>
              <w:top w:w="50" w:type="dxa"/>
              <w:start w:w="90" w:type="dxa"/>
              <w:bottom w:w="50" w:type="dxa"/>
              <w:end w:w="90" w:type="dxa"/>
            </w:tcMar>
            <w:shd w:val="clear" w:fill="F2F4F7"/>
          </w:tcPr>
          <w:p>
            <w:pPr>
              <w:pStyle w:val="Compact"/>
              <w:spacing w:after="40" w:before="0"/>
            </w:pPr>
            <w:r>
              <w:rPr>
                <w:rFonts w:ascii="Calibri" w:hAnsi="Calibri"/>
                <w:b/>
                <w:color w:val="1F4D78"/>
                <w:sz w:val="18"/>
              </w:rPr>
              <w:t xml:space="preserve">Requirement</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PRD-Q1 Determinism</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Replay produces the same result for the same committed inputs and versioned policy.</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PRD-Q2 Explainability</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A result can be traced to supporting/refuting evidence, coverage, and policy.</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PRD-Q3 Bounded access</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Initial queries and invalidation work have explicit size, fanout, latency, and retention bounds.</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PRD-Q4 Auditability</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Historical events, policies, signer sets, results, and corrections remain attributable and reviewable.</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PRD-Q5 Security</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Authorization, replay resistance, signer rotation, and privacy controls match the effect of the operation.</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PRD-Q6 Interoperability</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Result envelopes use canonical serialization and can be validated independently of transport.</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PRD-Q7 Operational visibility</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Ingestion lag, projection age, coverage gaps, failed imports, and disputes are observable.</w:t>
            </w:r>
          </w:p>
        </w:tc>
      </w:tr>
      <w:tr>
        <w:trPr>
          <w:cantSplit/>
        </w:trPr>
        <w:tc>
          <w:tcPr>
            <w:tcW w:w="2362" w:type="dxa"/>
            <w:tcMar>
              <w:top w:w="50" w:type="dxa"/>
              <w:start w:w="90" w:type="dxa"/>
              <w:bottom w:w="50" w:type="dxa"/>
              <w:end w:w="90" w:type="dxa"/>
            </w:tcMar>
          </w:tcPr>
          <w:p>
            <w:pPr>
              <w:pStyle w:val="Compact"/>
              <w:spacing w:after="40" w:before="0"/>
            </w:pPr>
            <w:r>
              <w:rPr>
                <w:rFonts w:ascii="Calibri" w:hAnsi="Calibri"/>
                <w:color w:val="263238"/>
                <w:sz w:val="18"/>
              </w:rPr>
              <w:t xml:space="preserve">PRD-Q8 Reversibility</w:t>
            </w:r>
          </w:p>
        </w:tc>
        <w:tc>
          <w:tcPr>
            <w:tcW w:w="6997" w:type="dxa"/>
            <w:tcMar>
              <w:top w:w="50" w:type="dxa"/>
              <w:start w:w="90" w:type="dxa"/>
              <w:bottom w:w="50" w:type="dxa"/>
              <w:end w:w="90" w:type="dxa"/>
            </w:tcMar>
          </w:tcPr>
          <w:p>
            <w:pPr>
              <w:pStyle w:val="Compact"/>
              <w:spacing w:after="40" w:before="0"/>
            </w:pPr>
            <w:r>
              <w:rPr>
                <w:rFonts w:ascii="Calibri" w:hAnsi="Calibri"/>
                <w:color w:val="263238"/>
                <w:sz w:val="18"/>
              </w:rPr>
              <w:t xml:space="preserve">No prototype or shadow-mode action irreversibly changes consensus or tokenomics policy.</w:t>
            </w:r>
          </w:p>
        </w:tc>
      </w:tr>
    </w:tbl>
    <w:p>
      <w:pPr>
        <w:pStyle w:val="BodyText"/>
      </w:pPr>
      <w:r>
        <w:t xml:space="preserve">Quantitative thresholds for PRD-Q3, PRD-Q5, and PRD-Q7 are acceptance inputs for the Architecture Design and Implementation Roadmap, not requirements invented here.</w:t>
      </w:r>
    </w:p>
    <w:bookmarkEnd w:id="21"/>
    <w:bookmarkStart w:id="22" w:name="Xb4c65d6f48d3b78dc99f6b2a2e08154d7d2dfc1"/>
    <w:p>
      <w:pPr>
        <w:pStyle w:val="Heading1"/>
      </w:pPr>
      <w:r>
        <w:t xml:space="preserve">8. V1 boundary</w:t>
      </w:r>
    </w:p>
    <w:p>
      <w:pPr>
        <w:pStyle w:val="FirstParagraph"/>
      </w:pPr>
      <w:r>
        <w:t xml:space="preserve">V1 includes a permissioned validator-first evidence service, explicit truster authorization, append-only evidence and correction, deterministic periodic projections, query and proof responses, disputes, audit, and one authenticated consumer-import path.</w:t>
      </w:r>
    </w:p>
    <w:p>
      <w:pPr>
        <w:pStyle w:val="BodyText"/>
      </w:pPr>
      <w:r>
        <w:t xml:space="preserve">That import path is consumer-funded pull, not per-claim push: a consuming shard or application pays for its own queries, envelope verification, and local import compute, and should budget for that work as part of integration planning. Q13 fixes the exact retrieval, caching, and funding contract before the consumer-integration milestone.</w:t>
      </w:r>
    </w:p>
    <w:p>
      <w:pPr>
        <w:pStyle w:val="BodyText"/>
      </w:pPr>
      <w:r>
        <w:t xml:space="preserve">The minimum proof-of-concept slice is: import one approved external-chain evidence class; accept distinguishable self- and peer-issued events; finalize canonical evidence; answer the first evidence query with coverage and proof; append a refutation or invalidation; replay deterministically; and publish one simple transparent projection. Consumer import is the next integration slice and is validated separately by RG5.</w:t>
      </w:r>
    </w:p>
    <w:p>
      <w:pPr>
        <w:pStyle w:val="BodyText"/>
      </w:pPr>
      <w:r>
        <w:t xml:space="preserve">The minimum V1 privacy profile classifies payloads before ingress, authenticates restricted payload reads, audits access, keeps verification metadata available where the approved policy permits, and reports withheld or unavailable material without implying completeness. It does not claim protection against traffic analysis, relationship-metadata leakage, proof-tree disclosure, or other guarantees that depend on the advanced Q23 mechanisms.</w:t>
      </w:r>
    </w:p>
    <w:p>
      <w:pPr>
        <w:pStyle w:val="BodyText"/>
      </w:pPr>
      <w:r>
        <w:t xml:space="preserve">V1 does not include reputation-weighted consensus, a universal soulbound score, automatic economic control, independent reputation-provider federation, native trustless foreign-shard finality, recursive ZK scoring, or mandatory TEE/code commitments. Those remain deferred unless the Open Question Register and roadmap explicitly promote them.</w:t>
      </w:r>
    </w:p>
    <w:bookmarkEnd w:id="22"/>
    <w:bookmarkStart w:id="23" w:name="Xdcd8c178dcde1325e9ba3d45e4e396b7786dfec"/>
    <w:p>
      <w:pPr>
        <w:pStyle w:val="Heading1"/>
      </w:pPr>
      <w:r>
        <w:t xml:space="preserve">9. Product acceptance</w:t>
      </w:r>
    </w:p>
    <w:p>
      <w:pPr>
        <w:pStyle w:val="FirstParagraph"/>
      </w:pPr>
      <w:r>
        <w:t xml:space="preserve">The PRD is ready for sign-off when:</w:t>
      </w:r>
    </w:p>
    <w:p>
      <w:pPr>
        <w:pStyle w:val="Compact"/>
        <w:numPr>
          <w:ilvl w:val="0"/>
          <w:numId w:val="1003"/>
        </w:numPr>
      </w:pPr>
      <w:r>
        <w:t xml:space="preserve">Initial actors, UJ-1 through UJ-4, validator types, per-action authorities, and node-native versus attested evidence sources are agreed.</w:t>
      </w:r>
    </w:p>
    <w:p>
      <w:pPr>
        <w:pStyle w:val="Compact"/>
        <w:numPr>
          <w:ilvl w:val="0"/>
          <w:numId w:val="1003"/>
        </w:numPr>
      </w:pPr>
      <w:r>
        <w:t xml:space="preserve">The core object model and first human/machine query responses are accepted.</w:t>
      </w:r>
    </w:p>
    <w:p>
      <w:pPr>
        <w:pStyle w:val="Compact"/>
        <w:numPr>
          <w:ilvl w:val="0"/>
          <w:numId w:val="1003"/>
        </w:numPr>
      </w:pPr>
      <w:r>
        <w:t xml:space="preserve">Evidence handling, projection, audit, dispute, privacy, and consumer interaction requirements are complete enough to test.</w:t>
      </w:r>
    </w:p>
    <w:p>
      <w:pPr>
        <w:pStyle w:val="Compact"/>
        <w:numPr>
          <w:ilvl w:val="0"/>
          <w:numId w:val="1003"/>
        </w:numPr>
      </w:pPr>
      <w:r>
        <w:t xml:space="preserve">Every unresolved decision is present in the Open Question Register rather than hidden in requirement prose.</w:t>
      </w:r>
    </w:p>
    <w:p>
      <w:pPr>
        <w:pStyle w:val="Compact"/>
        <w:numPr>
          <w:ilvl w:val="0"/>
          <w:numId w:val="1003"/>
        </w:numPr>
      </w:pPr>
      <w:r>
        <w:t xml:space="preserve">Architecture-specific choices remain in the Architecture Design.</w:t>
      </w:r>
    </w:p>
    <w:p>
      <w:pPr>
        <w:pStyle w:val="FirstParagraph"/>
      </w:pPr>
      <w:r>
        <w:t xml:space="preserve">The follow-on implementation validates the product thesis when the same committed inputs reproduce the same evidence and projection responses; adverse, conflicting, missing, or unavailable evidence remains visible; correction targets produce traceable, dependency-derived recomputation; no automatic type/scope carry-over occurs; and invalid consumer imports are rejected at RG5. Counter-signals are unexplained node divergence, a favorable subset presented as complete, unknown treated as healthy, an untraceable correction, or a result accepted outside its declared authority.</w:t>
      </w:r>
    </w:p>
    <w:p>
      <w:pPr>
        <w:pStyle w:val="BodyText"/>
      </w:pPr>
      <w:r>
        <w:t xml:space="preserve">Gate 1 questions Q1-Q14 and Q26-Q30 track the remaining sign-off decisions.</w:t>
      </w:r>
    </w:p>
    <w:p>
      <w:pPr>
        <w:pStyle w:val="BodyText"/>
      </w:pPr>
      <w:r>
        <w:t xml:space="preserve">SNet can accept this PRD conditionally while named Gate 1 questions remain open, provided each open question has an owner and a deadline stage. Final sign-off is stricter: every question tied to a</w:t>
      </w:r>
      <w:r>
        <w:t xml:space="preserve"> </w:t>
      </w:r>
      <w:r>
        <w:rPr>
          <w:rStyle w:val="VerbatimChar"/>
        </w:rPr>
        <w:t xml:space="preserve">Blocks PRD sign-off</w:t>
      </w:r>
      <w:r>
        <w:t xml:space="preserve"> </w:t>
      </w:r>
      <w:r>
        <w:t xml:space="preserve">risk must be actually decided, and every other open question must be decided or explicitly dropped from the agreed V1 scope. Registering or deferring a risk-blocking question is not sign-off.</w:t>
      </w:r>
    </w:p>
    <w:bookmarkEnd w:id="23"/>
    <w:bookmarkEnd w:id="24"/>
    <w:sectPr>
      <w:headerReference w:type="default" r:id="rId9"/>
      <w:footerReference w:type="default" r:id="rId10"/>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Calibri" w:hAnsi="Calibri" w:eastAsia="Calibri"/>
        <w:color w:val="667085"/>
        <w:sz w:val="17"/>
      </w:rPr>
      <w:t>Milestone 5 design package  |  5 August 2026</w:t>
    </w:r>
    <w:r>
      <w:tab/>
    </w:r>
    <w:r>
      <w:rPr>
        <w:rFonts w:ascii="Calibri" w:hAnsi="Calibri" w:eastAsia="Calibri"/>
        <w:color w:val="667085"/>
        <w:sz w:val="17"/>
      </w:rPr>
      <w:t xml:space="preserve">Page </w:t>
    </w:r>
    <w:r>
      <w:rPr>
        <w:rFonts w:ascii="Calibri" w:hAnsi="Calibri" w:eastAsia="Calibri"/>
        <w:color w:val="667085"/>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MILESTONE 5  |  PRODUCT REQUIREMENTS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263238"/>
      <w:sz w:val="21"/>
    </w:rPr>
  </w:style>
  <w:style w:styleId="BodyText" w:type="paragraph">
    <w:name w:val="Body Text"/>
    <w:basedOn w:val="Normal"/>
    <w:link w:val="BodyTextChar"/>
    <w:qFormat/>
    <w:pPr>
      <w:spacing w:after="180" w:before="180"/>
    </w:pPr>
    <w:rPr>
      <w:rFonts w:ascii="Calibri" w:hAnsi="Calibri"/>
      <w:color w:val="263238"/>
      <w:sz w:val="21"/>
    </w:rPr>
  </w:style>
  <w:style w:customStyle="1" w:styleId="FirstParagraph" w:type="paragraph">
    <w:name w:val="First Paragraph"/>
    <w:basedOn w:val="BodyText"/>
    <w:next w:val="BodyText"/>
    <w:qFormat/>
    <w:rPr>
      <w:rFonts w:ascii="Calibri" w:hAnsi="Calibri"/>
      <w:color w:val="263238"/>
      <w:sz w:val="21"/>
    </w:rPr>
  </w:style>
  <w:style w:customStyle="1" w:styleId="Compact" w:type="paragraph">
    <w:name w:val="Compact"/>
    <w:basedOn w:val="BodyText"/>
    <w:qFormat/>
    <w:pPr>
      <w:spacing w:after="36" w:before="36"/>
    </w:pPr>
    <w:rPr>
      <w:rFonts w:ascii="Calibri" w:hAnsi="Calibri"/>
      <w:color w:val="263238"/>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Theme="majorHAnsi" w:cstheme="majorBidi" w:eastAsiaTheme="majorEastAsia" w:hAnsiTheme="majorHAnsi" w:ascii="Calibri" w:hAnsi="Calibri"/>
      <w:b/>
      <w:color w:val="2E74B5"/>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Calibri" w:hAnsi="Calibri"/>
      <w:b/>
      <w:color w:val="2E74B5"/>
      <w:sz w:val="25"/>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Calibri" w:hAnsi="Calibri"/>
      <w:b/>
      <w:color w:val="1F4D78"/>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cstheme="majorBidi" w:eastAsiaTheme="majorEastAsia" w:ascii="Calibri" w:hAnsi="Calibri"/>
      <w:b/>
      <w:i/>
      <w:iCs/>
      <w:color w:val="1F4D78"/>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04%20-%20Evidence%20and%20Claims%20Model.md#10-projection-boundary" TargetMode="External"/><Relationship Id="rId19" Type="http://schemas.openxmlformats.org/officeDocument/2006/relationships/hyperlink" Target="05%20-%20Architecture%20Design.md#91-deploy-response-finalization-and-idempotency-contrac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8" Type="http://schemas.openxmlformats.org/officeDocument/2006/relationships/hyperlink" Target="04%20-%20Evidence%20and%20Claims%20Model.md#10-projection-boundary" TargetMode="External"/><Relationship Id="rId19" Type="http://schemas.openxmlformats.org/officeDocument/2006/relationships/hyperlink" Target="05%20-%20Architecture%20Design.md#91-deploy-response-finalization-and-idempotency-con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5: Product Requirements Document</dc:title>
  <dc:creator>SingularityNET</dc:creator>
  <cp:keywords/>
  <dcterms:created xsi:type="dcterms:W3CDTF">2026-08-05T20:25:55Z</dcterms:created>
  <dcterms:modified xsi:type="dcterms:W3CDTF">2026-08-05T20:25:55Z</dcterms:modified>
  <dc:description>Styled edition generated from the Markdown source</dc:description>
</cp:coreProperties>
</file>

<file path=docProps/custom.xml><?xml version="1.0" encoding="utf-8"?>
<Properties xmlns="http://schemas.openxmlformats.org/officeDocument/2006/custom-properties" xmlns:vt="http://schemas.openxmlformats.org/officeDocument/2006/docPropsVTypes"/>
</file>