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ilestone-5-evidence-and-claims-model"/>
    <w:p>
      <w:pPr>
        <w:pStyle w:val="Title"/>
        <w:spacing w:before="1200" w:after="360"/>
      </w:pPr>
      <w:r>
        <w:rPr>
          <w:rFonts w:ascii="Calibri" w:hAnsi="Calibri" w:eastAsia="Calibri"/>
          <w:b/>
          <w:color w:val="2E74B5"/>
          <w:sz w:val="22"/>
        </w:rPr>
        <w:t>MILESTONE 5</w:t>
        <w:br/>
      </w:r>
      <w:r>
        <w:rPr>
          <w:rFonts w:ascii="Calibri" w:hAnsi="Calibri" w:eastAsia="Calibri"/>
          <w:b/>
          <w:color w:val="1F4D78"/>
          <w:sz w:val="50"/>
        </w:rPr>
        <w:t>Evidence and Claims Model</w:t>
      </w:r>
    </w:p>
    <w:p>
      <w:pPr>
        <w:pStyle w:val="FirstParagraph"/>
        <w:spacing w:before="120" w:after="0" w:line="312" w:lineRule="auto"/>
        <w:ind w:left="173"/>
        <w:pBdr>
          <w:left w:val="single" w:sz="20" w:space="12" w:color="2E74B5"/>
        </w:pBdr>
      </w:pPr>
      <w:r>
        <w:rPr>
          <w:rFonts w:ascii="Calibri" w:hAnsi="Calibri" w:eastAsia="Calibri"/>
          <w:b/>
          <w:bCs/>
          <w:color w:val="1F4D78"/>
          <w:sz w:val="21"/>
        </w:rPr>
        <w:t xml:space="preserve">Date:</w:t>
      </w:r>
      <w:r>
        <w:rPr>
          <w:rFonts w:ascii="Calibri" w:hAnsi="Calibri" w:eastAsia="Calibri"/>
          <w:color w:val="263238"/>
          <w:sz w:val="21"/>
        </w:rPr>
        <w:t xml:space="preserve"> </w:t>
      </w:r>
      <w:r>
        <w:rPr>
          <w:rFonts w:ascii="Calibri" w:hAnsi="Calibri" w:eastAsia="Calibri"/>
          <w:color w:val="263238"/>
          <w:sz w:val="21"/>
        </w:rPr>
        <w:t xml:space="preserve">26 July 2026</w:t>
      </w:r>
      <w:r>
        <w:rPr>
          <w:rFonts w:ascii="Calibri" w:hAnsi="Calibri" w:eastAsia="Calibri"/>
          <w:color w:val="263238"/>
          <w:sz w:val="21"/>
        </w:rPr>
        <w:br/>
      </w:r>
      <w:r>
        <w:rPr>
          <w:rFonts w:ascii="Calibri" w:hAnsi="Calibri" w:eastAsia="Calibri"/>
          <w:b/>
          <w:bCs/>
          <w:color w:val="1F4D78"/>
          <w:sz w:val="21"/>
        </w:rPr>
        <w:t xml:space="preserve">Updated:</w:t>
      </w:r>
      <w:r>
        <w:rPr>
          <w:rFonts w:ascii="Calibri" w:hAnsi="Calibri" w:eastAsia="Calibri"/>
          <w:color w:val="263238"/>
          <w:sz w:val="21"/>
        </w:rPr>
        <w:t xml:space="preserve"> </w:t>
      </w:r>
      <w:r>
        <w:rPr>
          <w:rFonts w:ascii="Calibri" w:hAnsi="Calibri" w:eastAsia="Calibri"/>
          <w:color w:val="263238"/>
          <w:sz w:val="21"/>
        </w:rPr>
        <w:t xml:space="preserve">5 August 2026</w:t>
      </w:r>
      <w:r>
        <w:rPr>
          <w:rFonts w:ascii="Calibri" w:hAnsi="Calibri" w:eastAsia="Calibri"/>
          <w:color w:val="263238"/>
          <w:sz w:val="21"/>
        </w:rPr>
        <w:br/>
      </w:r>
      <w:r>
        <w:rPr>
          <w:rFonts w:ascii="Calibri" w:hAnsi="Calibri" w:eastAsia="Calibri"/>
          <w:b/>
          <w:bCs/>
          <w:color w:val="1F4D78"/>
          <w:sz w:val="21"/>
        </w:rPr>
        <w:t xml:space="preserve">Status:</w:t>
      </w:r>
      <w:r>
        <w:rPr>
          <w:rFonts w:ascii="Calibri" w:hAnsi="Calibri" w:eastAsia="Calibri"/>
          <w:color w:val="263238"/>
          <w:sz w:val="21"/>
        </w:rPr>
        <w:t xml:space="preserve"> </w:t>
      </w:r>
      <w:r>
        <w:rPr>
          <w:rFonts w:ascii="Calibri" w:hAnsi="Calibri" w:eastAsia="Calibri"/>
          <w:color w:val="263238"/>
          <w:sz w:val="21"/>
        </w:rPr>
        <w:t xml:space="preserve">For review — field names and encodings depend on the Gate 1 decisions.</w:t>
      </w:r>
      <w:r>
        <w:rPr>
          <w:rFonts w:ascii="Calibri" w:hAnsi="Calibri" w:eastAsia="Calibri"/>
          <w:color w:val="263238"/>
          <w:sz w:val="21"/>
        </w:rPr>
        <w:br/>
      </w:r>
      <w:r>
        <w:rPr>
          <w:rFonts w:ascii="Calibri" w:hAnsi="Calibri" w:eastAsia="Calibri"/>
          <w:b/>
          <w:bCs/>
          <w:color w:val="1F4D78"/>
          <w:sz w:val="21"/>
        </w:rPr>
        <w:t xml:space="preserve">Covers:</w:t>
      </w:r>
      <w:r>
        <w:rPr>
          <w:rFonts w:ascii="Calibri" w:hAnsi="Calibri" w:eastAsia="Calibri"/>
          <w:color w:val="263238"/>
          <w:sz w:val="21"/>
        </w:rPr>
        <w:t xml:space="preserve"> </w:t>
      </w:r>
      <w:r>
        <w:rPr>
          <w:rFonts w:ascii="Calibri" w:hAnsi="Calibri" w:eastAsia="Calibri"/>
          <w:color w:val="263238"/>
          <w:sz w:val="21"/>
        </w:rPr>
        <w:t xml:space="preserve">Claims, counterclaims, attestations, provenance, evidence levels, corrections, and how queries answer. Storage, APIs, transport, projection algorithms, and build order live in the Architecture Design and Implementation Roadmap.</w:t>
      </w:r>
    </w:p>
    <w:p>
      <w:pPr>
        <w:spacing w:before="360"/>
      </w:pPr>
      <w:r>
        <w:rPr>
          <w:rFonts w:ascii="Calibri" w:hAnsi="Calibri" w:eastAsia="Calibri"/>
          <w:color w:val="667085"/>
          <w:sz w:val="19"/>
        </w:rPr>
        <w:t>The canonical information model: events, provenance, evidence levels, corrections, and query semantics.</w:t>
      </w:r>
      <w:r>
        <w:br w:type="page"/>
      </w:r>
    </w:p>
    <w:bookmarkStart w:id="9" w:name="X9f012a1fb4d7fdeb471f3c2929255721cd84d2f"/>
    <w:p>
      <w:pPr>
        <w:pStyle w:val="Heading1"/>
      </w:pPr>
      <w:r>
        <w:t xml:space="preserve">1. Model boundary</w:t>
      </w:r>
    </w:p>
    <w:p>
      <w:pPr>
        <w:pStyle w:val="FirstParagraph"/>
      </w:pPr>
      <w:r>
        <w:t xml:space="preserve">The canonical reputation record is evidence, not a score. Evidence is represented as append-only events about a stable subject identity in a declared type, scope, and time context. A projection policy may derive a consumer-facing result from those events, but it does not replace them.</w:t>
      </w:r>
    </w:p>
    <w:p>
      <w:pPr>
        <w:pStyle w:val="BodyText"/>
      </w:pPr>
      <w:r>
        <w:t xml:space="preserve">The model must support both human and agent issuers, node-native observations, conflicting evidence, partial coverage, late evidence, key rotation, and deterministic correction.</w:t>
      </w:r>
    </w:p>
    <w:p>
      <w:pPr>
        <w:pStyle w:val="BodyText"/>
      </w:pPr>
      <w:r>
        <w:t xml:space="preserve">Identifiers, version numbers, scores, and similar values in the running example are illustrative. Canonical fields, encodings, and algorithms remain open under Q3 and Q11 unless this document explicitly states otherwise.</w:t>
      </w:r>
    </w:p>
    <w:p>
      <w:pPr>
        <w:pStyle w:val="BodyText"/>
      </w:pPr>
      <w:r>
        <w:t xml:space="preserve">The sections below share one</w:t>
      </w:r>
      <w:r>
        <w:t xml:space="preserve"> </w:t>
      </w:r>
      <w:r>
        <w:rPr>
          <w:b/>
          <w:bCs/>
        </w:rPr>
        <w:t xml:space="preserve">running example</w:t>
      </w:r>
      <w:r>
        <w:t xml:space="preserve">, built on the package's recurring cast: truster</w:t>
      </w:r>
      <w:r>
        <w:t xml:space="preserve"> </w:t>
      </w:r>
      <w:r>
        <w:rPr>
          <w:b/>
          <w:bCs/>
        </w:rPr>
        <w:t xml:space="preserve">Alice</w:t>
      </w:r>
      <w:r>
        <w:t xml:space="preserve"> </w:t>
      </w:r>
      <w:r>
        <w:t xml:space="preserve">imports validator</w:t>
      </w:r>
      <w:r>
        <w:t xml:space="preserve"> </w:t>
      </w:r>
      <w:r>
        <w:rPr>
          <w:b/>
          <w:bCs/>
        </w:rPr>
        <w:t xml:space="preserve">Carol</w:t>
      </w:r>
      <w:r>
        <w:t xml:space="preserve">'s slashing event from an approved external chain (call it</w:t>
      </w:r>
      <w:r>
        <w:t xml:space="preserve"> </w:t>
      </w:r>
      <w:r>
        <w:rPr>
          <w:rStyle w:val="VerbatimChar"/>
        </w:rPr>
        <w:t xml:space="preserve">chain-x</w:t>
      </w:r>
      <w:r>
        <w:t xml:space="preserve">, epoch 210); Carol self-claims a completed protocol upgrade (epoch 212); peer</w:t>
      </w:r>
      <w:r>
        <w:t xml:space="preserve"> </w:t>
      </w:r>
      <w:r>
        <w:rPr>
          <w:b/>
          <w:bCs/>
        </w:rPr>
        <w:t xml:space="preserve">Bob</w:t>
      </w:r>
      <w:r>
        <w:t xml:space="preserve"> </w:t>
      </w:r>
      <w:r>
        <w:t xml:space="preserve">refutes that claim with a node-version trace; investigator</w:t>
      </w:r>
      <w:r>
        <w:t xml:space="preserve"> </w:t>
      </w:r>
      <w:r>
        <w:rPr>
          <w:b/>
          <w:bCs/>
        </w:rPr>
        <w:t xml:space="preserve">David</w:t>
      </w:r>
      <w:r>
        <w:t xml:space="preserve"> </w:t>
      </w:r>
      <w:r>
        <w:t xml:space="preserve">asks whether Carol was slashed. Each section shows its machinery applied to this story.</w:t>
      </w:r>
    </w:p>
    <w:bookmarkEnd w:id="9"/>
    <w:bookmarkStart w:id="10" w:name="X06c76b321c91090a20fad024e28f807ee973d9b"/>
    <w:p>
      <w:pPr>
        <w:pStyle w:val="Heading1"/>
      </w:pPr>
      <w:r>
        <w:t xml:space="preserve">2. Identities and roles</w:t>
      </w:r>
    </w:p>
    <w:tbl>
      <w:tblPr>
        <w:tblStyle w:val="Table"/>
        <w:tblLook w:firstRow="1" w:lastRow="0" w:firstColumn="0" w:lastColumn="0" w:noHBand="0" w:noVBand="0" w:val="0020"/>
        <w:tblW w:w="9359"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224"/>
        <w:gridCol w:w="7135"/>
      </w:tblGrid>
      <w:tr>
        <w:trPr>
          <w:tblHeader w:val="on"/>
          <w:tblHeader w:val="true"/>
          <w:cantSplit/>
        </w:trPr>
        <w:tc>
          <w:tcPr>
            <w:tcW w:w="2224"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Concept</w:t>
            </w:r>
          </w:p>
        </w:tc>
        <w:tc>
          <w:tcPr>
            <w:tcW w:w="7135"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Meaning</w:t>
            </w:r>
          </w:p>
        </w:tc>
      </w:tr>
      <w:tr>
        <w:trPr>
          <w:cantSplit/>
        </w:trPr>
        <w:tc>
          <w:tcPr>
            <w:tcW w:w="2224" w:type="dxa"/>
            <w:tcMar>
              <w:top w:w="50" w:type="dxa"/>
              <w:start w:w="90" w:type="dxa"/>
              <w:bottom w:w="50" w:type="dxa"/>
              <w:end w:w="90" w:type="dxa"/>
            </w:tcMar>
          </w:tcPr>
          <w:p>
            <w:pPr>
              <w:pStyle w:val="Compact"/>
              <w:spacing w:after="40" w:before="0"/>
            </w:pPr>
            <w:r>
              <w:rPr>
                <w:rFonts w:ascii="Calibri" w:hAnsi="Calibri"/>
                <w:color w:val="263238"/>
                <w:sz w:val="18"/>
              </w:rPr>
              <w:t xml:space="preserve">Subject identity</w:t>
            </w:r>
          </w:p>
        </w:tc>
        <w:tc>
          <w:tcPr>
            <w:tcW w:w="7135" w:type="dxa"/>
            <w:tcMar>
              <w:top w:w="50" w:type="dxa"/>
              <w:start w:w="90" w:type="dxa"/>
              <w:bottom w:w="50" w:type="dxa"/>
              <w:end w:w="90" w:type="dxa"/>
            </w:tcMar>
          </w:tcPr>
          <w:p>
            <w:pPr>
              <w:pStyle w:val="Compact"/>
              <w:spacing w:after="40" w:before="0"/>
            </w:pPr>
            <w:r>
              <w:rPr>
                <w:rFonts w:ascii="Calibri" w:hAnsi="Calibri"/>
                <w:color w:val="263238"/>
                <w:sz w:val="18"/>
              </w:rPr>
              <w:t xml:space="preserve">Stable, algorithm-neutral identifier for any reputation-bearing entity or artifact; the subject need not itself be a signer</w:t>
            </w:r>
          </w:p>
        </w:tc>
      </w:tr>
      <w:tr>
        <w:trPr>
          <w:cantSplit/>
        </w:trPr>
        <w:tc>
          <w:tcPr>
            <w:tcW w:w="2224" w:type="dxa"/>
            <w:tcMar>
              <w:top w:w="50" w:type="dxa"/>
              <w:start w:w="90" w:type="dxa"/>
              <w:bottom w:w="50" w:type="dxa"/>
              <w:end w:w="90" w:type="dxa"/>
            </w:tcMar>
          </w:tcPr>
          <w:p>
            <w:pPr>
              <w:pStyle w:val="Compact"/>
              <w:spacing w:after="40" w:before="0"/>
            </w:pPr>
            <w:r>
              <w:rPr>
                <w:rFonts w:ascii="Calibri" w:hAnsi="Calibri"/>
                <w:color w:val="263238"/>
                <w:sz w:val="18"/>
              </w:rPr>
              <w:t xml:space="preserve">Identity/controller bundle version</w:t>
            </w:r>
          </w:p>
        </w:tc>
        <w:tc>
          <w:tcPr>
            <w:tcW w:w="7135" w:type="dxa"/>
            <w:tcMar>
              <w:top w:w="50" w:type="dxa"/>
              <w:start w:w="90" w:type="dxa"/>
              <w:bottom w:w="50" w:type="dxa"/>
              <w:end w:w="90" w:type="dxa"/>
            </w:tcMar>
          </w:tcPr>
          <w:p>
            <w:pPr>
              <w:pStyle w:val="Compact"/>
              <w:spacing w:after="40" w:before="0"/>
            </w:pPr>
            <w:r>
              <w:rPr>
                <w:rFonts w:ascii="Calibri" w:hAnsi="Calibri"/>
                <w:color w:val="263238"/>
                <w:sz w:val="18"/>
              </w:rPr>
              <w:t xml:space="preserve">Versioned signing and governance keys, controller claims, and authority relationships effective at an event time, when applicable</w:t>
            </w:r>
          </w:p>
        </w:tc>
      </w:tr>
      <w:tr>
        <w:trPr>
          <w:cantSplit/>
        </w:trPr>
        <w:tc>
          <w:tcPr>
            <w:tcW w:w="2224" w:type="dxa"/>
            <w:tcMar>
              <w:top w:w="50" w:type="dxa"/>
              <w:start w:w="90" w:type="dxa"/>
              <w:bottom w:w="50" w:type="dxa"/>
              <w:end w:w="90" w:type="dxa"/>
            </w:tcMar>
          </w:tcPr>
          <w:p>
            <w:pPr>
              <w:pStyle w:val="Compact"/>
              <w:spacing w:after="40" w:before="0"/>
            </w:pPr>
            <w:r>
              <w:rPr>
                <w:rFonts w:ascii="Calibri" w:hAnsi="Calibri"/>
                <w:color w:val="263238"/>
                <w:sz w:val="18"/>
              </w:rPr>
              <w:t xml:space="preserve">Evidence issuer</w:t>
            </w:r>
          </w:p>
        </w:tc>
        <w:tc>
          <w:tcPr>
            <w:tcW w:w="7135" w:type="dxa"/>
            <w:tcMar>
              <w:top w:w="50" w:type="dxa"/>
              <w:start w:w="90" w:type="dxa"/>
              <w:bottom w:w="50" w:type="dxa"/>
              <w:end w:w="90" w:type="dxa"/>
            </w:tcMar>
          </w:tcPr>
          <w:p>
            <w:pPr>
              <w:pStyle w:val="Compact"/>
              <w:spacing w:after="40" w:before="0"/>
            </w:pPr>
            <w:r>
              <w:rPr>
                <w:rFonts w:ascii="Calibri" w:hAnsi="Calibri"/>
                <w:color w:val="263238"/>
                <w:sz w:val="18"/>
              </w:rPr>
              <w:t xml:space="preserve">Human, agent, node, truster, bridge, or other authority making an attributable statement</w:t>
            </w:r>
          </w:p>
        </w:tc>
      </w:tr>
      <w:tr>
        <w:trPr>
          <w:cantSplit/>
        </w:trPr>
        <w:tc>
          <w:tcPr>
            <w:tcW w:w="2224" w:type="dxa"/>
            <w:tcMar>
              <w:top w:w="50" w:type="dxa"/>
              <w:start w:w="90" w:type="dxa"/>
              <w:bottom w:w="50" w:type="dxa"/>
              <w:end w:w="90" w:type="dxa"/>
            </w:tcMar>
          </w:tcPr>
          <w:p>
            <w:pPr>
              <w:pStyle w:val="Compact"/>
              <w:spacing w:after="40" w:before="0"/>
            </w:pPr>
            <w:r>
              <w:rPr>
                <w:rFonts w:ascii="Calibri" w:hAnsi="Calibri"/>
                <w:color w:val="263238"/>
                <w:sz w:val="18"/>
              </w:rPr>
              <w:t xml:space="preserve">Signing key</w:t>
            </w:r>
          </w:p>
        </w:tc>
        <w:tc>
          <w:tcPr>
            <w:tcW w:w="7135" w:type="dxa"/>
            <w:tcMar>
              <w:top w:w="50" w:type="dxa"/>
              <w:start w:w="90" w:type="dxa"/>
              <w:bottom w:w="50" w:type="dxa"/>
              <w:end w:w="90" w:type="dxa"/>
            </w:tcMar>
          </w:tcPr>
          <w:p>
            <w:pPr>
              <w:pStyle w:val="Compact"/>
              <w:spacing w:after="40" w:before="0"/>
            </w:pPr>
            <w:r>
              <w:rPr>
                <w:rFonts w:ascii="Calibri" w:hAnsi="Calibri"/>
                <w:color w:val="263238"/>
                <w:sz w:val="18"/>
              </w:rPr>
              <w:t xml:space="preserve">Key that authenticated the event; authorship is not proof of truth</w:t>
            </w:r>
          </w:p>
        </w:tc>
      </w:tr>
      <w:tr>
        <w:trPr>
          <w:cantSplit/>
        </w:trPr>
        <w:tc>
          <w:tcPr>
            <w:tcW w:w="2224" w:type="dxa"/>
            <w:tcMar>
              <w:top w:w="50" w:type="dxa"/>
              <w:start w:w="90" w:type="dxa"/>
              <w:bottom w:w="50" w:type="dxa"/>
              <w:end w:w="90" w:type="dxa"/>
            </w:tcMar>
          </w:tcPr>
          <w:p>
            <w:pPr>
              <w:pStyle w:val="Compact"/>
              <w:spacing w:after="40" w:before="0"/>
            </w:pPr>
            <w:r>
              <w:rPr>
                <w:rFonts w:ascii="Calibri" w:hAnsi="Calibri"/>
                <w:color w:val="263238"/>
                <w:sz w:val="18"/>
              </w:rPr>
              <w:t xml:space="preserve">Type</w:t>
            </w:r>
          </w:p>
        </w:tc>
        <w:tc>
          <w:tcPr>
            <w:tcW w:w="7135" w:type="dxa"/>
            <w:tcMar>
              <w:top w:w="50" w:type="dxa"/>
              <w:start w:w="90" w:type="dxa"/>
              <w:bottom w:w="50" w:type="dxa"/>
              <w:end w:w="90" w:type="dxa"/>
            </w:tcMar>
          </w:tcPr>
          <w:p>
            <w:pPr>
              <w:pStyle w:val="Compact"/>
              <w:spacing w:after="40" w:before="0"/>
            </w:pPr>
            <w:r>
              <w:rPr>
                <w:rFonts w:ascii="Calibri" w:hAnsi="Calibri"/>
                <w:color w:val="263238"/>
                <w:sz w:val="18"/>
              </w:rPr>
              <w:t xml:space="preserve">Behavior, capability, or role being judged</w:t>
            </w:r>
          </w:p>
        </w:tc>
      </w:tr>
      <w:tr>
        <w:trPr>
          <w:cantSplit/>
        </w:trPr>
        <w:tc>
          <w:tcPr>
            <w:tcW w:w="2224" w:type="dxa"/>
            <w:tcMar>
              <w:top w:w="50" w:type="dxa"/>
              <w:start w:w="90" w:type="dxa"/>
              <w:bottom w:w="50" w:type="dxa"/>
              <w:end w:w="90" w:type="dxa"/>
            </w:tcMar>
          </w:tcPr>
          <w:p>
            <w:pPr>
              <w:pStyle w:val="Compact"/>
              <w:spacing w:after="40" w:before="0"/>
            </w:pPr>
            <w:r>
              <w:rPr>
                <w:rFonts w:ascii="Calibri" w:hAnsi="Calibri"/>
                <w:color w:val="263238"/>
                <w:sz w:val="18"/>
              </w:rPr>
              <w:t xml:space="preserve">Scope</w:t>
            </w:r>
          </w:p>
        </w:tc>
        <w:tc>
          <w:tcPr>
            <w:tcW w:w="7135" w:type="dxa"/>
            <w:tcMar>
              <w:top w:w="50" w:type="dxa"/>
              <w:start w:w="90" w:type="dxa"/>
              <w:bottom w:w="50" w:type="dxa"/>
              <w:end w:w="90" w:type="dxa"/>
            </w:tcMar>
          </w:tcPr>
          <w:p>
            <w:pPr>
              <w:pStyle w:val="Compact"/>
              <w:spacing w:after="40" w:before="0"/>
            </w:pPr>
            <w:r>
              <w:rPr>
                <w:rFonts w:ascii="Calibri" w:hAnsi="Calibri"/>
                <w:color w:val="263238"/>
                <w:sz w:val="18"/>
              </w:rPr>
              <w:t xml:space="preserve">Community, shard, bridge, network, or policy domain within which the judgment applies</w:t>
            </w:r>
          </w:p>
        </w:tc>
      </w:tr>
      <w:tr>
        <w:trPr>
          <w:cantSplit/>
        </w:trPr>
        <w:tc>
          <w:tcPr>
            <w:tcW w:w="2224" w:type="dxa"/>
            <w:tcMar>
              <w:top w:w="50" w:type="dxa"/>
              <w:start w:w="90" w:type="dxa"/>
              <w:bottom w:w="50" w:type="dxa"/>
              <w:end w:w="90" w:type="dxa"/>
            </w:tcMar>
          </w:tcPr>
          <w:p>
            <w:pPr>
              <w:pStyle w:val="Compact"/>
              <w:spacing w:after="40" w:before="0"/>
            </w:pPr>
            <w:r>
              <w:rPr>
                <w:rFonts w:ascii="Calibri" w:hAnsi="Calibri"/>
                <w:color w:val="263238"/>
                <w:sz w:val="18"/>
              </w:rPr>
              <w:t xml:space="preserve">Epoch/time window</w:t>
            </w:r>
          </w:p>
        </w:tc>
        <w:tc>
          <w:tcPr>
            <w:tcW w:w="7135" w:type="dxa"/>
            <w:tcMar>
              <w:top w:w="50" w:type="dxa"/>
              <w:start w:w="90" w:type="dxa"/>
              <w:bottom w:w="50" w:type="dxa"/>
              <w:end w:w="90" w:type="dxa"/>
            </w:tcMar>
          </w:tcPr>
          <w:p>
            <w:pPr>
              <w:pStyle w:val="Compact"/>
              <w:spacing w:after="40" w:before="0"/>
            </w:pPr>
            <w:r>
              <w:rPr>
                <w:rFonts w:ascii="Calibri" w:hAnsi="Calibri"/>
                <w:color w:val="263238"/>
                <w:sz w:val="18"/>
              </w:rPr>
              <w:t xml:space="preserve">Declared temporal boundary for observation and projection</w:t>
            </w:r>
          </w:p>
        </w:tc>
      </w:tr>
    </w:tbl>
    <w:p>
      <w:pPr>
        <w:pStyle w:val="BodyText"/>
      </w:pPr>
      <w:r>
        <w:t xml:space="preserve">Routine key rotation does not create a new reputation subject. Each event records the signing key and identity/controller-bundle version effective when it was issued. For non-signing subjects, controller and authority history preserves who could act for or make claims about the subject at the event time. Recovery, revocation, historical verification, and threshold rules remain Q28.</w:t>
      </w:r>
    </w:p>
    <w:p>
      <w:pPr>
        <w:pStyle w:val="BodyText"/>
      </w:pPr>
      <w:r>
        <w:t xml:space="preserve">Roles are action-specific. A subject may make a self-claim, a validator may witness another validator, and a truster may import an external observation only when the effective capability permits that event classification, type, scope, source, and payload class. Role membership never changes the evidence level automatically.</w:t>
      </w:r>
    </w:p>
    <w:p>
      <w:pPr>
        <w:pStyle w:val="BodyText"/>
      </w:pPr>
      <w:r>
        <w:rPr>
          <w:b/>
          <w:bCs/>
        </w:rPr>
        <w:t xml:space="preserve">Running example.</w:t>
      </w:r>
    </w:p>
    <w:p>
      <w:pPr>
        <w:pStyle w:val="Compact"/>
        <w:numPr>
          <w:ilvl w:val="0"/>
          <w:numId w:val="1001"/>
        </w:numPr>
      </w:pPr>
      <w:r>
        <w:rPr>
          <w:b/>
          <w:bCs/>
        </w:rPr>
        <w:t xml:space="preserve">Epoch 210 —</w:t>
      </w:r>
      <w:r>
        <w:rPr>
          <w:b/>
          <w:bCs/>
        </w:rPr>
        <w:t xml:space="preserve"> </w:t>
      </w:r>
      <w:r>
        <w:rPr>
          <w:rStyle w:val="VerbatimChar"/>
          <w:b/>
          <w:bCs/>
        </w:rPr>
        <w:t xml:space="preserve">chain-x</w:t>
      </w:r>
      <w:r>
        <w:rPr>
          <w:b/>
          <w:bCs/>
        </w:rPr>
        <w:t xml:space="preserve"> </w:t>
      </w:r>
      <w:r>
        <w:rPr>
          <w:b/>
          <w:bCs/>
        </w:rPr>
        <w:t xml:space="preserve">slashes Carol.</w:t>
      </w:r>
      <w:r>
        <w:t xml:space="preserve"> </w:t>
      </w:r>
      <w:r>
        <w:t xml:space="preserve">Alice imports the event under her truster capability, which covers exactly this action: slashing observations from</w:t>
      </w:r>
      <w:r>
        <w:t xml:space="preserve"> </w:t>
      </w:r>
      <w:r>
        <w:rPr>
          <w:rStyle w:val="VerbatimChar"/>
        </w:rPr>
        <w:t xml:space="preserve">chain-x</w:t>
      </w:r>
      <w:r>
        <w:t xml:space="preserve">. The same capability would not let her witness peer behavior or submit anything on Carol's behalf.</w:t>
      </w:r>
    </w:p>
    <w:p>
      <w:pPr>
        <w:pStyle w:val="Compact"/>
        <w:numPr>
          <w:ilvl w:val="0"/>
          <w:numId w:val="1001"/>
        </w:numPr>
      </w:pPr>
      <w:r>
        <w:rPr>
          <w:b/>
          <w:bCs/>
        </w:rPr>
        <w:t xml:space="preserve">Epoch 211 — Carol rotates her signing keys</w:t>
      </w:r>
      <w:r>
        <w:t xml:space="preserve">, moving her identity bundle from version 3 to version 4. Her subject identity is unchanged: the slash and everything before it stay attached to the same record. Rotation changed her keys, not her history.</w:t>
      </w:r>
    </w:p>
    <w:p>
      <w:pPr>
        <w:pStyle w:val="Compact"/>
        <w:numPr>
          <w:ilvl w:val="0"/>
          <w:numId w:val="1001"/>
        </w:numPr>
      </w:pPr>
      <w:r>
        <w:rPr>
          <w:b/>
          <w:bCs/>
        </w:rPr>
        <w:t xml:space="preserve">Epoch 212 — Carol signs her upgrade self-claim under version 4.</w:t>
      </w:r>
      <w:r>
        <w:t xml:space="preserve"> </w:t>
      </w:r>
      <w:r>
        <w:t xml:space="preserve">The event records that version, so verifiers check it against the v4 keys — while her older events still verify against v3, because each event names the bundle version in effect when it was signed. One subject, one history, across the rotation.</w:t>
      </w:r>
    </w:p>
    <w:p>
      <w:pPr>
        <w:pStyle w:val="Compact"/>
        <w:numPr>
          <w:ilvl w:val="0"/>
          <w:numId w:val="1001"/>
        </w:numPr>
      </w:pPr>
      <w:r>
        <w:rPr>
          <w:b/>
          <w:bCs/>
        </w:rPr>
        <w:t xml:space="preserve">Epoch 212 — Bob oversteps.</w:t>
      </w:r>
      <w:r>
        <w:t xml:space="preserve"> </w:t>
      </w:r>
      <w:r>
        <w:t xml:space="preserve">Bob's capability covers protocol-version observations and claim/refutation submissions based on them in the shared shard. It does not cover external slashing imports. When he tries to submit a</w:t>
      </w:r>
      <w:r>
        <w:t xml:space="preserve"> </w:t>
      </w:r>
      <w:r>
        <w:rPr>
          <w:rStyle w:val="VerbatimChar"/>
        </w:rPr>
        <w:t xml:space="preserve">chain-x</w:t>
      </w:r>
      <w:r>
        <w:t xml:space="preserve"> </w:t>
      </w:r>
      <w:r>
        <w:t xml:space="preserve">slashing import anyway, the contract rejects it for missing capability — his signature is perfectly valid, and irrelevant: authorization is evaluated per action, not per role membership.</w:t>
      </w:r>
    </w:p>
    <w:bookmarkEnd w:id="10"/>
    <w:bookmarkStart w:id="12" w:name="X1e6e0e2ee0bd5189555d8f857f5427c1bcb222a"/>
    <w:p>
      <w:pPr>
        <w:pStyle w:val="Heading1"/>
      </w:pPr>
      <w:r>
        <w:t xml:space="preserve">3. Evidence event envelope</w:t>
      </w:r>
    </w:p>
    <w:tbl>
      <w:tblPr>
        <w:tblStyle w:val="Table"/>
        <w:tblLook w:firstRow="1" w:lastRow="0" w:firstColumn="0" w:lastColumn="0" w:noHBand="0" w:noVBand="0" w:val="0020"/>
        <w:tblW w:w="9360"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610"/>
        <w:gridCol w:w="5829"/>
        <w:gridCol w:w="1921"/>
      </w:tblGrid>
      <w:tr>
        <w:trPr>
          <w:tblHeader w:val="on"/>
          <w:tblHeader w:val="true"/>
          <w:cantSplit/>
        </w:trPr>
        <w:tc>
          <w:tcPr>
            <w:tcW w:w="1610"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Field group</w:t>
            </w:r>
          </w:p>
        </w:tc>
        <w:tc>
          <w:tcPr>
            <w:tcW w:w="5829"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Minimum contents</w:t>
            </w:r>
          </w:p>
        </w:tc>
        <w:tc>
          <w:tcPr>
            <w:tcW w:w="1921"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Requirement</w:t>
            </w:r>
          </w:p>
        </w:tc>
      </w:tr>
      <w:tr>
        <w:trPr>
          <w:cantSplit/>
        </w:trPr>
        <w:tc>
          <w:tcPr>
            <w:tcW w:w="1610" w:type="dxa"/>
            <w:tcMar>
              <w:top w:w="50" w:type="dxa"/>
              <w:start w:w="90" w:type="dxa"/>
              <w:bottom w:w="50" w:type="dxa"/>
              <w:end w:w="90" w:type="dxa"/>
            </w:tcMar>
          </w:tcPr>
          <w:p>
            <w:pPr>
              <w:pStyle w:val="Compact"/>
              <w:spacing w:after="40" w:before="0"/>
            </w:pPr>
            <w:r>
              <w:rPr>
                <w:rFonts w:ascii="Calibri" w:hAnsi="Calibri"/>
                <w:color w:val="263238"/>
                <w:sz w:val="18"/>
              </w:rPr>
              <w:t xml:space="preserve">Identity</w:t>
            </w:r>
          </w:p>
        </w:tc>
        <w:tc>
          <w:tcPr>
            <w:tcW w:w="5829" w:type="dxa"/>
            <w:tcMar>
              <w:top w:w="50" w:type="dxa"/>
              <w:start w:w="90" w:type="dxa"/>
              <w:bottom w:w="50" w:type="dxa"/>
              <w:end w:w="90" w:type="dxa"/>
            </w:tcMar>
          </w:tcPr>
          <w:p>
            <w:pPr>
              <w:pStyle w:val="Compact"/>
              <w:spacing w:after="40" w:before="0"/>
            </w:pPr>
            <w:r>
              <w:rPr>
                <w:rFonts w:ascii="Calibri" w:hAnsi="Calibri"/>
                <w:color w:val="263238"/>
                <w:sz w:val="18"/>
              </w:rPr>
              <w:t xml:space="preserve">Event ID; subject identity; issuer identity; signing-key ID; identity/controller-bundle version</w:t>
            </w:r>
          </w:p>
        </w:tc>
        <w:tc>
          <w:tcPr>
            <w:tcW w:w="1921" w:type="dxa"/>
            <w:tcMar>
              <w:top w:w="50" w:type="dxa"/>
              <w:start w:w="90" w:type="dxa"/>
              <w:bottom w:w="50" w:type="dxa"/>
              <w:end w:w="90" w:type="dxa"/>
            </w:tcMar>
          </w:tcPr>
          <w:p>
            <w:pPr>
              <w:pStyle w:val="Compact"/>
              <w:spacing w:after="40" w:before="0"/>
            </w:pPr>
            <w:r>
              <w:rPr>
                <w:rFonts w:ascii="Calibri" w:hAnsi="Calibri"/>
                <w:color w:val="263238"/>
                <w:sz w:val="18"/>
              </w:rPr>
              <w:t xml:space="preserve">Required</w:t>
            </w:r>
          </w:p>
        </w:tc>
      </w:tr>
      <w:tr>
        <w:trPr>
          <w:cantSplit/>
        </w:trPr>
        <w:tc>
          <w:tcPr>
            <w:tcW w:w="1610" w:type="dxa"/>
            <w:tcMar>
              <w:top w:w="50" w:type="dxa"/>
              <w:start w:w="90" w:type="dxa"/>
              <w:bottom w:w="50" w:type="dxa"/>
              <w:end w:w="90" w:type="dxa"/>
            </w:tcMar>
          </w:tcPr>
          <w:p>
            <w:pPr>
              <w:pStyle w:val="Compact"/>
              <w:spacing w:after="40" w:before="0"/>
            </w:pPr>
            <w:r>
              <w:rPr>
                <w:rFonts w:ascii="Calibri" w:hAnsi="Calibri"/>
                <w:color w:val="263238"/>
                <w:sz w:val="18"/>
              </w:rPr>
              <w:t xml:space="preserve">Classification</w:t>
            </w:r>
          </w:p>
        </w:tc>
        <w:tc>
          <w:tcPr>
            <w:tcW w:w="5829" w:type="dxa"/>
            <w:tcMar>
              <w:top w:w="50" w:type="dxa"/>
              <w:start w:w="90" w:type="dxa"/>
              <w:bottom w:w="50" w:type="dxa"/>
              <w:end w:w="90" w:type="dxa"/>
            </w:tcMar>
          </w:tcPr>
          <w:p>
            <w:pPr>
              <w:pStyle w:val="Compact"/>
              <w:spacing w:after="40" w:before="0"/>
            </w:pPr>
            <w:r>
              <w:rPr>
                <w:rFonts w:ascii="Calibri" w:hAnsi="Calibri"/>
                <w:color w:val="263238"/>
                <w:sz w:val="18"/>
              </w:rPr>
              <w:t xml:space="preserve">Assertion or lifecycle class; assertion form, relation, and target, or lifecycle kind; reputation type; scope; schema version</w:t>
            </w:r>
          </w:p>
        </w:tc>
        <w:tc>
          <w:tcPr>
            <w:tcW w:w="1921" w:type="dxa"/>
            <w:tcMar>
              <w:top w:w="50" w:type="dxa"/>
              <w:start w:w="90" w:type="dxa"/>
              <w:bottom w:w="50" w:type="dxa"/>
              <w:end w:w="90" w:type="dxa"/>
            </w:tcMar>
          </w:tcPr>
          <w:p>
            <w:pPr>
              <w:pStyle w:val="Compact"/>
              <w:spacing w:after="40" w:before="0"/>
            </w:pPr>
            <w:r>
              <w:rPr>
                <w:rFonts w:ascii="Calibri" w:hAnsi="Calibri"/>
                <w:color w:val="263238"/>
                <w:sz w:val="18"/>
              </w:rPr>
              <w:t xml:space="preserve">Required</w:t>
            </w:r>
          </w:p>
        </w:tc>
      </w:tr>
      <w:tr>
        <w:trPr>
          <w:cantSplit/>
        </w:trPr>
        <w:tc>
          <w:tcPr>
            <w:tcW w:w="1610" w:type="dxa"/>
            <w:tcMar>
              <w:top w:w="50" w:type="dxa"/>
              <w:start w:w="90" w:type="dxa"/>
              <w:bottom w:w="50" w:type="dxa"/>
              <w:end w:w="90" w:type="dxa"/>
            </w:tcMar>
          </w:tcPr>
          <w:p>
            <w:pPr>
              <w:pStyle w:val="Compact"/>
              <w:spacing w:after="40" w:before="0"/>
            </w:pPr>
            <w:r>
              <w:rPr>
                <w:rFonts w:ascii="Calibri" w:hAnsi="Calibri"/>
                <w:color w:val="263238"/>
                <w:sz w:val="18"/>
              </w:rPr>
              <w:t xml:space="preserve">Time</w:t>
            </w:r>
          </w:p>
        </w:tc>
        <w:tc>
          <w:tcPr>
            <w:tcW w:w="5829" w:type="dxa"/>
            <w:tcMar>
              <w:top w:w="50" w:type="dxa"/>
              <w:start w:w="90" w:type="dxa"/>
              <w:bottom w:w="50" w:type="dxa"/>
              <w:end w:w="90" w:type="dxa"/>
            </w:tcMar>
          </w:tcPr>
          <w:p>
            <w:pPr>
              <w:pStyle w:val="Compact"/>
              <w:spacing w:after="40" w:before="0"/>
            </w:pPr>
            <w:r>
              <w:rPr>
                <w:rFonts w:ascii="Calibri" w:hAnsi="Calibri"/>
                <w:color w:val="263238"/>
                <w:sz w:val="18"/>
              </w:rPr>
              <w:t xml:space="preserve">Event time; observation interval; ingestion time; source finality/checkpoint time where applicable</w:t>
            </w:r>
          </w:p>
        </w:tc>
        <w:tc>
          <w:tcPr>
            <w:tcW w:w="1921" w:type="dxa"/>
            <w:tcMar>
              <w:top w:w="50" w:type="dxa"/>
              <w:start w:w="90" w:type="dxa"/>
              <w:bottom w:w="50" w:type="dxa"/>
              <w:end w:w="90" w:type="dxa"/>
            </w:tcMar>
          </w:tcPr>
          <w:p>
            <w:pPr>
              <w:pStyle w:val="Compact"/>
              <w:spacing w:after="40" w:before="0"/>
            </w:pPr>
            <w:r>
              <w:rPr>
                <w:rFonts w:ascii="Calibri" w:hAnsi="Calibri"/>
                <w:color w:val="263238"/>
                <w:sz w:val="18"/>
              </w:rPr>
              <w:t xml:space="preserve">Required as applicable</w:t>
            </w:r>
          </w:p>
        </w:tc>
      </w:tr>
      <w:tr>
        <w:trPr>
          <w:cantSplit/>
        </w:trPr>
        <w:tc>
          <w:tcPr>
            <w:tcW w:w="1610" w:type="dxa"/>
            <w:tcMar>
              <w:top w:w="50" w:type="dxa"/>
              <w:start w:w="90" w:type="dxa"/>
              <w:bottom w:w="50" w:type="dxa"/>
              <w:end w:w="90" w:type="dxa"/>
            </w:tcMar>
          </w:tcPr>
          <w:p>
            <w:pPr>
              <w:pStyle w:val="Compact"/>
              <w:spacing w:after="40" w:before="0"/>
            </w:pPr>
            <w:r>
              <w:rPr>
                <w:rFonts w:ascii="Calibri" w:hAnsi="Calibri"/>
                <w:color w:val="263238"/>
                <w:sz w:val="18"/>
              </w:rPr>
              <w:t xml:space="preserve">Statement</w:t>
            </w:r>
          </w:p>
        </w:tc>
        <w:tc>
          <w:tcPr>
            <w:tcW w:w="5829" w:type="dxa"/>
            <w:tcMar>
              <w:top w:w="50" w:type="dxa"/>
              <w:start w:w="90" w:type="dxa"/>
              <w:bottom w:w="50" w:type="dxa"/>
              <w:end w:w="90" w:type="dxa"/>
            </w:tcMar>
          </w:tcPr>
          <w:p>
            <w:pPr>
              <w:pStyle w:val="Compact"/>
              <w:spacing w:after="40" w:before="0"/>
            </w:pPr>
            <w:r>
              <w:rPr>
                <w:rFonts w:ascii="Calibri" w:hAnsi="Calibri"/>
                <w:color w:val="263238"/>
                <w:sz w:val="18"/>
              </w:rPr>
              <w:t xml:space="preserve">Typed statement; polarity/status; subject role</w:t>
            </w:r>
          </w:p>
        </w:tc>
        <w:tc>
          <w:tcPr>
            <w:tcW w:w="1921" w:type="dxa"/>
            <w:tcMar>
              <w:top w:w="50" w:type="dxa"/>
              <w:start w:w="90" w:type="dxa"/>
              <w:bottom w:w="50" w:type="dxa"/>
              <w:end w:w="90" w:type="dxa"/>
            </w:tcMar>
          </w:tcPr>
          <w:p>
            <w:pPr>
              <w:pStyle w:val="Compact"/>
              <w:spacing w:after="40" w:before="0"/>
            </w:pPr>
            <w:r>
              <w:rPr>
                <w:rFonts w:ascii="Calibri" w:hAnsi="Calibri"/>
                <w:color w:val="263238"/>
                <w:sz w:val="18"/>
              </w:rPr>
              <w:t xml:space="preserve">Required</w:t>
            </w:r>
          </w:p>
        </w:tc>
      </w:tr>
      <w:tr>
        <w:trPr>
          <w:cantSplit/>
        </w:trPr>
        <w:tc>
          <w:tcPr>
            <w:tcW w:w="1610" w:type="dxa"/>
            <w:tcMar>
              <w:top w:w="50" w:type="dxa"/>
              <w:start w:w="90" w:type="dxa"/>
              <w:bottom w:w="50" w:type="dxa"/>
              <w:end w:w="90" w:type="dxa"/>
            </w:tcMar>
          </w:tcPr>
          <w:p>
            <w:pPr>
              <w:pStyle w:val="Compact"/>
              <w:spacing w:after="40" w:before="0"/>
            </w:pPr>
            <w:r>
              <w:rPr>
                <w:rFonts w:ascii="Calibri" w:hAnsi="Calibri"/>
                <w:color w:val="263238"/>
                <w:sz w:val="18"/>
              </w:rPr>
              <w:t xml:space="preserve">Provenance</w:t>
            </w:r>
          </w:p>
        </w:tc>
        <w:tc>
          <w:tcPr>
            <w:tcW w:w="5829" w:type="dxa"/>
            <w:tcMar>
              <w:top w:w="50" w:type="dxa"/>
              <w:start w:w="90" w:type="dxa"/>
              <w:bottom w:w="50" w:type="dxa"/>
              <w:end w:w="90" w:type="dxa"/>
            </w:tcMar>
          </w:tcPr>
          <w:p>
            <w:pPr>
              <w:pStyle w:val="Compact"/>
              <w:spacing w:after="40" w:before="0"/>
            </w:pPr>
            <w:r>
              <w:rPr>
                <w:rFonts w:ascii="Calibri" w:hAnsi="Calibri"/>
                <w:color w:val="263238"/>
                <w:sz w:val="18"/>
              </w:rPr>
              <w:t xml:space="preserve">Source event IDs; supporting and refuting dependencies; evidence level; derivation lineage</w:t>
            </w:r>
          </w:p>
        </w:tc>
        <w:tc>
          <w:tcPr>
            <w:tcW w:w="1921" w:type="dxa"/>
            <w:tcMar>
              <w:top w:w="50" w:type="dxa"/>
              <w:start w:w="90" w:type="dxa"/>
              <w:bottom w:w="50" w:type="dxa"/>
              <w:end w:w="90" w:type="dxa"/>
            </w:tcMar>
          </w:tcPr>
          <w:p>
            <w:pPr>
              <w:pStyle w:val="Compact"/>
              <w:spacing w:after="40" w:before="0"/>
            </w:pPr>
            <w:r>
              <w:rPr>
                <w:rFonts w:ascii="Calibri" w:hAnsi="Calibri"/>
                <w:color w:val="263238"/>
                <w:sz w:val="18"/>
              </w:rPr>
              <w:t xml:space="preserve">Required</w:t>
            </w:r>
          </w:p>
        </w:tc>
      </w:tr>
      <w:tr>
        <w:trPr>
          <w:cantSplit/>
        </w:trPr>
        <w:tc>
          <w:tcPr>
            <w:tcW w:w="1610" w:type="dxa"/>
            <w:tcMar>
              <w:top w:w="50" w:type="dxa"/>
              <w:start w:w="90" w:type="dxa"/>
              <w:bottom w:w="50" w:type="dxa"/>
              <w:end w:w="90" w:type="dxa"/>
            </w:tcMar>
          </w:tcPr>
          <w:p>
            <w:pPr>
              <w:pStyle w:val="Compact"/>
              <w:spacing w:after="40" w:before="0"/>
            </w:pPr>
            <w:r>
              <w:rPr>
                <w:rFonts w:ascii="Calibri" w:hAnsi="Calibri"/>
                <w:color w:val="263238"/>
                <w:sz w:val="18"/>
              </w:rPr>
              <w:t xml:space="preserve">Payload</w:t>
            </w:r>
          </w:p>
        </w:tc>
        <w:tc>
          <w:tcPr>
            <w:tcW w:w="5829" w:type="dxa"/>
            <w:tcMar>
              <w:top w:w="50" w:type="dxa"/>
              <w:start w:w="90" w:type="dxa"/>
              <w:bottom w:w="50" w:type="dxa"/>
              <w:end w:w="90" w:type="dxa"/>
            </w:tcMar>
          </w:tcPr>
          <w:p>
            <w:pPr>
              <w:pStyle w:val="Compact"/>
              <w:spacing w:after="40" w:before="0"/>
            </w:pPr>
            <w:r>
              <w:rPr>
                <w:rFonts w:ascii="Calibri" w:hAnsi="Calibri"/>
                <w:color w:val="263238"/>
                <w:sz w:val="18"/>
              </w:rPr>
              <w:t xml:space="preserve">Signed payload or content commitment; availability reference; privacy class</w:t>
            </w:r>
          </w:p>
        </w:tc>
        <w:tc>
          <w:tcPr>
            <w:tcW w:w="1921" w:type="dxa"/>
            <w:tcMar>
              <w:top w:w="50" w:type="dxa"/>
              <w:start w:w="90" w:type="dxa"/>
              <w:bottom w:w="50" w:type="dxa"/>
              <w:end w:w="90" w:type="dxa"/>
            </w:tcMar>
          </w:tcPr>
          <w:p>
            <w:pPr>
              <w:pStyle w:val="Compact"/>
              <w:spacing w:after="40" w:before="0"/>
            </w:pPr>
            <w:r>
              <w:rPr>
                <w:rFonts w:ascii="Calibri" w:hAnsi="Calibri"/>
                <w:color w:val="263238"/>
                <w:sz w:val="18"/>
              </w:rPr>
              <w:t xml:space="preserve">One representation required</w:t>
            </w:r>
          </w:p>
        </w:tc>
      </w:tr>
      <w:tr>
        <w:trPr>
          <w:cantSplit/>
        </w:trPr>
        <w:tc>
          <w:tcPr>
            <w:tcW w:w="1610" w:type="dxa"/>
            <w:tcMar>
              <w:top w:w="50" w:type="dxa"/>
              <w:start w:w="90" w:type="dxa"/>
              <w:bottom w:w="50" w:type="dxa"/>
              <w:end w:w="90" w:type="dxa"/>
            </w:tcMar>
          </w:tcPr>
          <w:p>
            <w:pPr>
              <w:pStyle w:val="Compact"/>
              <w:spacing w:after="40" w:before="0"/>
            </w:pPr>
            <w:r>
              <w:rPr>
                <w:rFonts w:ascii="Calibri" w:hAnsi="Calibri"/>
                <w:color w:val="263238"/>
                <w:sz w:val="18"/>
              </w:rPr>
              <w:t xml:space="preserve">Authority</w:t>
            </w:r>
          </w:p>
        </w:tc>
        <w:tc>
          <w:tcPr>
            <w:tcW w:w="5829" w:type="dxa"/>
            <w:tcMar>
              <w:top w:w="50" w:type="dxa"/>
              <w:start w:w="90" w:type="dxa"/>
              <w:bottom w:w="50" w:type="dxa"/>
              <w:end w:w="90" w:type="dxa"/>
            </w:tcMar>
          </w:tcPr>
          <w:p>
            <w:pPr>
              <w:pStyle w:val="Compact"/>
              <w:spacing w:after="40" w:before="0"/>
            </w:pPr>
            <w:r>
              <w:rPr>
                <w:rFonts w:ascii="Calibri" w:hAnsi="Calibri"/>
                <w:color w:val="263238"/>
                <w:sz w:val="18"/>
              </w:rPr>
              <w:t xml:space="preserve">Issuer capability/role; authorization version; signature(s)</w:t>
            </w:r>
          </w:p>
        </w:tc>
        <w:tc>
          <w:tcPr>
            <w:tcW w:w="1921" w:type="dxa"/>
            <w:tcMar>
              <w:top w:w="50" w:type="dxa"/>
              <w:start w:w="90" w:type="dxa"/>
              <w:bottom w:w="50" w:type="dxa"/>
              <w:end w:w="90" w:type="dxa"/>
            </w:tcMar>
          </w:tcPr>
          <w:p>
            <w:pPr>
              <w:pStyle w:val="Compact"/>
              <w:spacing w:after="40" w:before="0"/>
            </w:pPr>
            <w:r>
              <w:rPr>
                <w:rFonts w:ascii="Calibri" w:hAnsi="Calibri"/>
                <w:color w:val="263238"/>
                <w:sz w:val="18"/>
              </w:rPr>
              <w:t xml:space="preserve">Required for non-node-native events</w:t>
            </w:r>
          </w:p>
        </w:tc>
      </w:tr>
      <w:tr>
        <w:trPr>
          <w:cantSplit/>
        </w:trPr>
        <w:tc>
          <w:tcPr>
            <w:tcW w:w="1610" w:type="dxa"/>
            <w:tcMar>
              <w:top w:w="50" w:type="dxa"/>
              <w:start w:w="90" w:type="dxa"/>
              <w:bottom w:w="50" w:type="dxa"/>
              <w:end w:w="90" w:type="dxa"/>
            </w:tcMar>
          </w:tcPr>
          <w:p>
            <w:pPr>
              <w:pStyle w:val="Compact"/>
              <w:spacing w:after="40" w:before="0"/>
            </w:pPr>
            <w:r>
              <w:rPr>
                <w:rFonts w:ascii="Calibri" w:hAnsi="Calibri"/>
                <w:color w:val="263238"/>
                <w:sz w:val="18"/>
              </w:rPr>
              <w:t xml:space="preserve">Lifecycle</w:t>
            </w:r>
          </w:p>
        </w:tc>
        <w:tc>
          <w:tcPr>
            <w:tcW w:w="5829" w:type="dxa"/>
            <w:tcMar>
              <w:top w:w="50" w:type="dxa"/>
              <w:start w:w="90" w:type="dxa"/>
              <w:bottom w:w="50" w:type="dxa"/>
              <w:end w:w="90" w:type="dxa"/>
            </w:tcMar>
          </w:tcPr>
          <w:p>
            <w:pPr>
              <w:pStyle w:val="Compact"/>
              <w:spacing w:after="40" w:before="0"/>
            </w:pPr>
            <w:r>
              <w:rPr>
                <w:rFonts w:ascii="Calibri" w:hAnsi="Calibri"/>
                <w:color w:val="263238"/>
                <w:sz w:val="18"/>
              </w:rPr>
              <w:t xml:space="preserve">Validity state; supersedes/revokes/invalidates target; correction-policy version resolved from the target context and bound by the consensus-visible contract</w:t>
            </w:r>
          </w:p>
        </w:tc>
        <w:tc>
          <w:tcPr>
            <w:tcW w:w="1921" w:type="dxa"/>
            <w:tcMar>
              <w:top w:w="50" w:type="dxa"/>
              <w:start w:w="90" w:type="dxa"/>
              <w:bottom w:w="50" w:type="dxa"/>
              <w:end w:w="90" w:type="dxa"/>
            </w:tcMar>
          </w:tcPr>
          <w:p>
            <w:pPr>
              <w:pStyle w:val="Compact"/>
              <w:spacing w:after="40" w:before="0"/>
            </w:pPr>
            <w:r>
              <w:rPr>
                <w:rFonts w:ascii="Calibri" w:hAnsi="Calibri"/>
                <w:color w:val="263238"/>
                <w:sz w:val="18"/>
              </w:rPr>
              <w:t xml:space="preserve">Required for lifecycle events</w:t>
            </w:r>
          </w:p>
        </w:tc>
      </w:tr>
      <w:tr>
        <w:trPr>
          <w:cantSplit/>
        </w:trPr>
        <w:tc>
          <w:tcPr>
            <w:tcW w:w="1610" w:type="dxa"/>
            <w:tcMar>
              <w:top w:w="50" w:type="dxa"/>
              <w:start w:w="90" w:type="dxa"/>
              <w:bottom w:w="50" w:type="dxa"/>
              <w:end w:w="90" w:type="dxa"/>
            </w:tcMar>
          </w:tcPr>
          <w:p>
            <w:pPr>
              <w:pStyle w:val="Compact"/>
              <w:spacing w:after="40" w:before="0"/>
            </w:pPr>
            <w:r>
              <w:rPr>
                <w:rFonts w:ascii="Calibri" w:hAnsi="Calibri"/>
                <w:color w:val="263238"/>
                <w:sz w:val="18"/>
              </w:rPr>
              <w:t xml:space="preserve">Finality</w:t>
            </w:r>
          </w:p>
        </w:tc>
        <w:tc>
          <w:tcPr>
            <w:tcW w:w="5829" w:type="dxa"/>
            <w:tcMar>
              <w:top w:w="50" w:type="dxa"/>
              <w:start w:w="90" w:type="dxa"/>
              <w:bottom w:w="50" w:type="dxa"/>
              <w:end w:w="90" w:type="dxa"/>
            </w:tcMar>
          </w:tcPr>
          <w:p>
            <w:pPr>
              <w:pStyle w:val="Compact"/>
              <w:spacing w:after="40" w:before="0"/>
            </w:pPr>
            <w:r>
              <w:rPr>
                <w:rFonts w:ascii="Calibri" w:hAnsi="Calibri"/>
                <w:color w:val="263238"/>
                <w:sz w:val="18"/>
              </w:rPr>
              <w:t xml:space="preserve">Source domain/shard; checkpoint assertion; reorg/finality status</w:t>
            </w:r>
          </w:p>
        </w:tc>
        <w:tc>
          <w:tcPr>
            <w:tcW w:w="1921" w:type="dxa"/>
            <w:tcMar>
              <w:top w:w="50" w:type="dxa"/>
              <w:start w:w="90" w:type="dxa"/>
              <w:bottom w:w="50" w:type="dxa"/>
              <w:end w:w="90" w:type="dxa"/>
            </w:tcMar>
          </w:tcPr>
          <w:p>
            <w:pPr>
              <w:pStyle w:val="Compact"/>
              <w:spacing w:after="40" w:before="0"/>
            </w:pPr>
            <w:r>
              <w:rPr>
                <w:rFonts w:ascii="Calibri" w:hAnsi="Calibri"/>
                <w:color w:val="263238"/>
                <w:sz w:val="18"/>
              </w:rPr>
              <w:t xml:space="preserve">Required for chain-derived events</w:t>
            </w:r>
          </w:p>
        </w:tc>
      </w:tr>
    </w:tbl>
    <w:p>
      <w:pPr>
        <w:pStyle w:val="BodyText"/>
      </w:pPr>
      <w:r>
        <w:t xml:space="preserve">Canonical serialization, exact field names, algorithms, and privacy classes remain Q3, Q11, Q23, and Q28.</w:t>
      </w:r>
    </w:p>
    <w:p>
      <w:pPr>
        <w:pStyle w:val="BodyText"/>
      </w:pPr>
      <w:r>
        <w:t xml:space="preserve">Event IDs use one declared shard-wide uniqueness/idempotency domain across every evidence and lifecycle contract family and state partition. The physical registry or content-derived mechanism remains Q26, but submitting the same logical event through another contract or partition must not create a second canonical event.</w:t>
      </w:r>
    </w:p>
    <w:p>
      <w:pPr>
        <w:pStyle w:val="BodyText"/>
      </w:pPr>
      <w:r>
        <w:rPr>
          <w:b/>
          <w:bCs/>
        </w:rPr>
        <w:t xml:space="preserve">Running example — Alice's import, envelope by envelope.</w:t>
      </w:r>
      <w:r>
        <w:t xml:space="preserve"> </w:t>
      </w:r>
      <w:r>
        <w:t xml:space="preserve">The values below are illustrative only (canonical field names and encodings are the Q3/Q11 decisions); they show what one real event carries.</w:t>
      </w:r>
    </w:p>
    <w:tbl>
      <w:tblPr>
        <w:tblStyle w:val="Table"/>
        <w:tblLook w:firstRow="1" w:lastRow="0" w:firstColumn="0" w:lastColumn="0" w:noHBand="0" w:noVBand="0" w:val="0020"/>
        <w:tblW w:w="9360"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610"/>
        <w:gridCol w:w="7750"/>
      </w:tblGrid>
      <w:tr>
        <w:trPr>
          <w:tblHeader w:val="on"/>
          <w:tblHeader w:val="true"/>
          <w:cantSplit/>
        </w:trPr>
        <w:tc>
          <w:tcPr>
            <w:tcW w:w="1610"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Field group</w:t>
            </w:r>
          </w:p>
        </w:tc>
        <w:tc>
          <w:tcPr>
            <w:tcW w:w="7750"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In the example</w:t>
            </w:r>
          </w:p>
        </w:tc>
      </w:tr>
      <w:tr>
        <w:trPr>
          <w:cantSplit/>
        </w:trPr>
        <w:tc>
          <w:tcPr>
            <w:tcW w:w="1610" w:type="dxa"/>
            <w:tcMar>
              <w:top w:w="50" w:type="dxa"/>
              <w:start w:w="90" w:type="dxa"/>
              <w:bottom w:w="50" w:type="dxa"/>
              <w:end w:w="90" w:type="dxa"/>
            </w:tcMar>
          </w:tcPr>
          <w:p>
            <w:pPr>
              <w:pStyle w:val="Compact"/>
              <w:spacing w:after="40" w:before="0"/>
            </w:pPr>
            <w:r>
              <w:rPr>
                <w:rFonts w:ascii="Calibri" w:hAnsi="Calibri"/>
                <w:color w:val="263238"/>
                <w:sz w:val="18"/>
              </w:rPr>
              <w:t xml:space="preserve">Identity</w:t>
            </w:r>
          </w:p>
        </w:tc>
        <w:tc>
          <w:tcPr>
            <w:tcW w:w="7750" w:type="dxa"/>
            <w:tcMar>
              <w:top w:w="50" w:type="dxa"/>
              <w:start w:w="90" w:type="dxa"/>
              <w:bottom w:w="50" w:type="dxa"/>
              <w:end w:w="90" w:type="dxa"/>
            </w:tcMar>
          </w:tcPr>
          <w:p>
            <w:pPr>
              <w:pStyle w:val="Compact"/>
              <w:spacing w:after="40" w:before="0"/>
            </w:pPr>
            <w:r>
              <w:rPr>
                <w:rFonts w:ascii="Calibri" w:hAnsi="Calibri"/>
                <w:color w:val="263238"/>
                <w:sz w:val="18"/>
              </w:rPr>
              <w:t xml:space="preserve">Event</w:t>
            </w:r>
            <w:r>
              <w:rPr>
                <w:rFonts w:ascii="Calibri" w:hAnsi="Calibri"/>
                <w:color w:val="263238"/>
                <w:sz w:val="18"/>
              </w:rPr>
              <w:t xml:space="preserve"> </w:t>
            </w:r>
            <w:r>
              <w:rPr>
                <w:rStyle w:val="VerbatimChar"/>
                <w:rFonts w:ascii="Calibri" w:hAnsi="Calibri"/>
                <w:color w:val="263238"/>
                <w:sz w:val="18"/>
              </w:rPr>
              <w:t xml:space="preserve">evt-7f3a…</w:t>
            </w:r>
            <w:r>
              <w:rPr>
                <w:rFonts w:ascii="Calibri" w:hAnsi="Calibri"/>
                <w:color w:val="263238"/>
                <w:sz w:val="18"/>
              </w:rPr>
              <w:t xml:space="preserve">; subject: Carol's stable identity; issuer: Alice's truster identity; signing key</w:t>
            </w:r>
            <w:r>
              <w:rPr>
                <w:rFonts w:ascii="Calibri" w:hAnsi="Calibri"/>
                <w:color w:val="263238"/>
                <w:sz w:val="18"/>
              </w:rPr>
              <w:t xml:space="preserve"> </w:t>
            </w:r>
            <w:r>
              <w:rPr>
                <w:rStyle w:val="VerbatimChar"/>
                <w:rFonts w:ascii="Calibri" w:hAnsi="Calibri"/>
                <w:color w:val="263238"/>
                <w:sz w:val="18"/>
              </w:rPr>
              <w:t xml:space="preserve">alice-k2</w:t>
            </w:r>
            <w:r>
              <w:rPr>
                <w:rFonts w:ascii="Calibri" w:hAnsi="Calibri"/>
                <w:color w:val="263238"/>
                <w:sz w:val="18"/>
              </w:rPr>
              <w:t xml:space="preserve">, bundle version 2</w:t>
            </w:r>
          </w:p>
        </w:tc>
      </w:tr>
      <w:tr>
        <w:trPr>
          <w:cantSplit/>
        </w:trPr>
        <w:tc>
          <w:tcPr>
            <w:tcW w:w="1610" w:type="dxa"/>
            <w:tcMar>
              <w:top w:w="50" w:type="dxa"/>
              <w:start w:w="90" w:type="dxa"/>
              <w:bottom w:w="50" w:type="dxa"/>
              <w:end w:w="90" w:type="dxa"/>
            </w:tcMar>
          </w:tcPr>
          <w:p>
            <w:pPr>
              <w:pStyle w:val="Compact"/>
              <w:spacing w:after="40" w:before="0"/>
            </w:pPr>
            <w:r>
              <w:rPr>
                <w:rFonts w:ascii="Calibri" w:hAnsi="Calibri"/>
                <w:color w:val="263238"/>
                <w:sz w:val="18"/>
              </w:rPr>
              <w:t xml:space="preserve">Classification</w:t>
            </w:r>
          </w:p>
        </w:tc>
        <w:tc>
          <w:tcPr>
            <w:tcW w:w="7750" w:type="dxa"/>
            <w:tcMar>
              <w:top w:w="50" w:type="dxa"/>
              <w:start w:w="90" w:type="dxa"/>
              <w:bottom w:w="50" w:type="dxa"/>
              <w:end w:w="90" w:type="dxa"/>
            </w:tcMar>
          </w:tcPr>
          <w:p>
            <w:pPr>
              <w:pStyle w:val="Compact"/>
              <w:spacing w:after="40" w:before="0"/>
            </w:pPr>
            <w:r>
              <w:rPr>
                <w:rFonts w:ascii="Calibri" w:hAnsi="Calibri"/>
                <w:color w:val="263238"/>
                <w:sz w:val="18"/>
              </w:rPr>
              <w:t xml:space="preserve">Class: assertion; form: observation (externally attested); relation: refutes; target: the typed judgment that Carol validates without equivocation; type: equivocation/slashing; scope:</w:t>
            </w:r>
            <w:r>
              <w:rPr>
                <w:rFonts w:ascii="Calibri" w:hAnsi="Calibri"/>
                <w:color w:val="263238"/>
                <w:sz w:val="18"/>
              </w:rPr>
              <w:t xml:space="preserve"> </w:t>
            </w:r>
            <w:r>
              <w:rPr>
                <w:rStyle w:val="VerbatimChar"/>
                <w:rFonts w:ascii="Calibri" w:hAnsi="Calibri"/>
                <w:color w:val="263238"/>
                <w:sz w:val="18"/>
              </w:rPr>
              <w:t xml:space="preserve">chain-x</w:t>
            </w:r>
            <w:r>
              <w:rPr>
                <w:rFonts w:ascii="Calibri" w:hAnsi="Calibri"/>
                <w:color w:val="263238"/>
                <w:sz w:val="18"/>
              </w:rPr>
              <w:t xml:space="preserve"> </w:t>
            </w:r>
            <w:r>
              <w:rPr>
                <w:rFonts w:ascii="Calibri" w:hAnsi="Calibri"/>
                <w:color w:val="263238"/>
                <w:sz w:val="18"/>
              </w:rPr>
              <w:t xml:space="preserve">mainnet; event-schema version 1</w:t>
            </w:r>
          </w:p>
        </w:tc>
      </w:tr>
      <w:tr>
        <w:trPr>
          <w:cantSplit/>
        </w:trPr>
        <w:tc>
          <w:tcPr>
            <w:tcW w:w="1610" w:type="dxa"/>
            <w:tcMar>
              <w:top w:w="50" w:type="dxa"/>
              <w:start w:w="90" w:type="dxa"/>
              <w:bottom w:w="50" w:type="dxa"/>
              <w:end w:w="90" w:type="dxa"/>
            </w:tcMar>
          </w:tcPr>
          <w:p>
            <w:pPr>
              <w:pStyle w:val="Compact"/>
              <w:spacing w:after="40" w:before="0"/>
            </w:pPr>
            <w:r>
              <w:rPr>
                <w:rFonts w:ascii="Calibri" w:hAnsi="Calibri"/>
                <w:color w:val="263238"/>
                <w:sz w:val="18"/>
              </w:rPr>
              <w:t xml:space="preserve">Time</w:t>
            </w:r>
          </w:p>
        </w:tc>
        <w:tc>
          <w:tcPr>
            <w:tcW w:w="7750" w:type="dxa"/>
            <w:tcMar>
              <w:top w:w="50" w:type="dxa"/>
              <w:start w:w="90" w:type="dxa"/>
              <w:bottom w:w="50" w:type="dxa"/>
              <w:end w:w="90" w:type="dxa"/>
            </w:tcMar>
          </w:tcPr>
          <w:p>
            <w:pPr>
              <w:pStyle w:val="Compact"/>
              <w:spacing w:after="40" w:before="0"/>
            </w:pPr>
            <w:r>
              <w:rPr>
                <w:rFonts w:ascii="Calibri" w:hAnsi="Calibri"/>
                <w:color w:val="263238"/>
                <w:sz w:val="18"/>
              </w:rPr>
              <w:t xml:space="preserve">Event time: the slash's block timestamp (epoch 210); observation interval: the block range Alice checked; ingestion time: when the reputation shard finalized her article</w:t>
            </w:r>
          </w:p>
        </w:tc>
      </w:tr>
      <w:tr>
        <w:trPr>
          <w:cantSplit/>
        </w:trPr>
        <w:tc>
          <w:tcPr>
            <w:tcW w:w="1610" w:type="dxa"/>
            <w:tcMar>
              <w:top w:w="50" w:type="dxa"/>
              <w:start w:w="90" w:type="dxa"/>
              <w:bottom w:w="50" w:type="dxa"/>
              <w:end w:w="90" w:type="dxa"/>
            </w:tcMar>
          </w:tcPr>
          <w:p>
            <w:pPr>
              <w:pStyle w:val="Compact"/>
              <w:spacing w:after="40" w:before="0"/>
            </w:pPr>
            <w:r>
              <w:rPr>
                <w:rFonts w:ascii="Calibri" w:hAnsi="Calibri"/>
                <w:color w:val="263238"/>
                <w:sz w:val="18"/>
              </w:rPr>
              <w:t xml:space="preserve">Statement</w:t>
            </w:r>
          </w:p>
        </w:tc>
        <w:tc>
          <w:tcPr>
            <w:tcW w:w="7750" w:type="dxa"/>
            <w:tcMar>
              <w:top w:w="50" w:type="dxa"/>
              <w:start w:w="90" w:type="dxa"/>
              <w:bottom w:w="50" w:type="dxa"/>
              <w:end w:w="90" w:type="dxa"/>
            </w:tcMar>
          </w:tcPr>
          <w:p>
            <w:pPr>
              <w:pStyle w:val="Compact"/>
              <w:spacing w:after="40" w:before="0"/>
            </w:pPr>
            <w:r>
              <w:rPr>
                <w:rFonts w:ascii="Calibri" w:hAnsi="Calibri"/>
                <w:color w:val="263238"/>
                <w:sz w:val="18"/>
              </w:rPr>
              <w:t xml:space="preserve">"Subject was slashed for double-signing at height 8,214,566"; polarity: negative; subject role: validator</w:t>
            </w:r>
          </w:p>
        </w:tc>
      </w:tr>
      <w:tr>
        <w:trPr>
          <w:cantSplit/>
        </w:trPr>
        <w:tc>
          <w:tcPr>
            <w:tcW w:w="1610" w:type="dxa"/>
            <w:tcMar>
              <w:top w:w="50" w:type="dxa"/>
              <w:start w:w="90" w:type="dxa"/>
              <w:bottom w:w="50" w:type="dxa"/>
              <w:end w:w="90" w:type="dxa"/>
            </w:tcMar>
          </w:tcPr>
          <w:p>
            <w:pPr>
              <w:pStyle w:val="Compact"/>
              <w:spacing w:after="40" w:before="0"/>
            </w:pPr>
            <w:r>
              <w:rPr>
                <w:rFonts w:ascii="Calibri" w:hAnsi="Calibri"/>
                <w:color w:val="263238"/>
                <w:sz w:val="18"/>
              </w:rPr>
              <w:t xml:space="preserve">Provenance</w:t>
            </w:r>
          </w:p>
        </w:tc>
        <w:tc>
          <w:tcPr>
            <w:tcW w:w="7750" w:type="dxa"/>
            <w:tcMar>
              <w:top w:w="50" w:type="dxa"/>
              <w:start w:w="90" w:type="dxa"/>
              <w:bottom w:w="50" w:type="dxa"/>
              <w:end w:w="90" w:type="dxa"/>
            </w:tcMar>
          </w:tcPr>
          <w:p>
            <w:pPr>
              <w:pStyle w:val="Compact"/>
              <w:spacing w:after="40" w:before="0"/>
            </w:pPr>
            <w:r>
              <w:rPr>
                <w:rFonts w:ascii="Calibri" w:hAnsi="Calibri"/>
                <w:color w:val="263238"/>
                <w:sz w:val="18"/>
              </w:rPr>
              <w:t xml:space="preserve">Source:</w:t>
            </w:r>
            <w:r>
              <w:rPr>
                <w:rFonts w:ascii="Calibri" w:hAnsi="Calibri"/>
                <w:color w:val="263238"/>
                <w:sz w:val="18"/>
              </w:rPr>
              <w:t xml:space="preserve"> </w:t>
            </w:r>
            <w:r>
              <w:rPr>
                <w:rStyle w:val="VerbatimChar"/>
                <w:rFonts w:ascii="Calibri" w:hAnsi="Calibri"/>
                <w:color w:val="263238"/>
                <w:sz w:val="18"/>
              </w:rPr>
              <w:t xml:space="preserve">chain-x</w:t>
            </w:r>
            <w:r>
              <w:rPr>
                <w:rFonts w:ascii="Calibri" w:hAnsi="Calibri"/>
                <w:color w:val="263238"/>
                <w:sz w:val="18"/>
              </w:rPr>
              <w:t xml:space="preserve"> </w:t>
            </w:r>
            <w:r>
              <w:rPr>
                <w:rFonts w:ascii="Calibri" w:hAnsi="Calibri"/>
                <w:color w:val="263238"/>
                <w:sz w:val="18"/>
              </w:rPr>
              <w:t xml:space="preserve">transaction</w:t>
            </w:r>
            <w:r>
              <w:rPr>
                <w:rFonts w:ascii="Calibri" w:hAnsi="Calibri"/>
                <w:color w:val="263238"/>
                <w:sz w:val="18"/>
              </w:rPr>
              <w:t xml:space="preserve"> </w:t>
            </w:r>
            <w:r>
              <w:rPr>
                <w:rStyle w:val="VerbatimChar"/>
                <w:rFonts w:ascii="Calibri" w:hAnsi="Calibri"/>
                <w:color w:val="263238"/>
                <w:sz w:val="18"/>
              </w:rPr>
              <w:t xml:space="preserve">0x51c9…</w:t>
            </w:r>
            <w:r>
              <w:rPr>
                <w:rFonts w:ascii="Calibri" w:hAnsi="Calibri"/>
                <w:color w:val="263238"/>
                <w:sz w:val="18"/>
              </w:rPr>
              <w:t xml:space="preserve">; evidence level: witnessed; lineage: direct import, not relayed; no supporting/refuting dependencies</w:t>
            </w:r>
          </w:p>
        </w:tc>
      </w:tr>
      <w:tr>
        <w:trPr>
          <w:cantSplit/>
        </w:trPr>
        <w:tc>
          <w:tcPr>
            <w:tcW w:w="1610" w:type="dxa"/>
            <w:tcMar>
              <w:top w:w="50" w:type="dxa"/>
              <w:start w:w="90" w:type="dxa"/>
              <w:bottom w:w="50" w:type="dxa"/>
              <w:end w:w="90" w:type="dxa"/>
            </w:tcMar>
          </w:tcPr>
          <w:p>
            <w:pPr>
              <w:pStyle w:val="Compact"/>
              <w:spacing w:after="40" w:before="0"/>
            </w:pPr>
            <w:r>
              <w:rPr>
                <w:rFonts w:ascii="Calibri" w:hAnsi="Calibri"/>
                <w:color w:val="263238"/>
                <w:sz w:val="18"/>
              </w:rPr>
              <w:t xml:space="preserve">Payload</w:t>
            </w:r>
          </w:p>
        </w:tc>
        <w:tc>
          <w:tcPr>
            <w:tcW w:w="7750" w:type="dxa"/>
            <w:tcMar>
              <w:top w:w="50" w:type="dxa"/>
              <w:start w:w="90" w:type="dxa"/>
              <w:bottom w:w="50" w:type="dxa"/>
              <w:end w:w="90" w:type="dxa"/>
            </w:tcMar>
          </w:tcPr>
          <w:p>
            <w:pPr>
              <w:pStyle w:val="Compact"/>
              <w:spacing w:after="40" w:before="0"/>
            </w:pPr>
            <w:r>
              <w:rPr>
                <w:rFonts w:ascii="Calibri" w:hAnsi="Calibri"/>
                <w:color w:val="263238"/>
                <w:sz w:val="18"/>
              </w:rPr>
              <w:t xml:space="preserve">Signed copy of the slashing record plus its content commitment; availability: stored; privacy class: public</w:t>
            </w:r>
          </w:p>
        </w:tc>
      </w:tr>
      <w:tr>
        <w:trPr>
          <w:cantSplit/>
        </w:trPr>
        <w:tc>
          <w:tcPr>
            <w:tcW w:w="1610" w:type="dxa"/>
            <w:tcMar>
              <w:top w:w="50" w:type="dxa"/>
              <w:start w:w="90" w:type="dxa"/>
              <w:bottom w:w="50" w:type="dxa"/>
              <w:end w:w="90" w:type="dxa"/>
            </w:tcMar>
          </w:tcPr>
          <w:p>
            <w:pPr>
              <w:pStyle w:val="Compact"/>
              <w:spacing w:after="40" w:before="0"/>
            </w:pPr>
            <w:r>
              <w:rPr>
                <w:rFonts w:ascii="Calibri" w:hAnsi="Calibri"/>
                <w:color w:val="263238"/>
                <w:sz w:val="18"/>
              </w:rPr>
              <w:t xml:space="preserve">Authority</w:t>
            </w:r>
          </w:p>
        </w:tc>
        <w:tc>
          <w:tcPr>
            <w:tcW w:w="7750" w:type="dxa"/>
            <w:tcMar>
              <w:top w:w="50" w:type="dxa"/>
              <w:start w:w="90" w:type="dxa"/>
              <w:bottom w:w="50" w:type="dxa"/>
              <w:end w:w="90" w:type="dxa"/>
            </w:tcMar>
          </w:tcPr>
          <w:p>
            <w:pPr>
              <w:pStyle w:val="Compact"/>
              <w:spacing w:after="40" w:before="0"/>
            </w:pPr>
            <w:r>
              <w:rPr>
                <w:rFonts w:ascii="Calibri" w:hAnsi="Calibri"/>
                <w:color w:val="263238"/>
                <w:sz w:val="18"/>
              </w:rPr>
              <w:t xml:space="preserve">Alice's slashing-import capability for</w:t>
            </w:r>
            <w:r>
              <w:rPr>
                <w:rFonts w:ascii="Calibri" w:hAnsi="Calibri"/>
                <w:color w:val="263238"/>
                <w:sz w:val="18"/>
              </w:rPr>
              <w:t xml:space="preserve"> </w:t>
            </w:r>
            <w:r>
              <w:rPr>
                <w:rStyle w:val="VerbatimChar"/>
                <w:rFonts w:ascii="Calibri" w:hAnsi="Calibri"/>
                <w:color w:val="263238"/>
                <w:sz w:val="18"/>
              </w:rPr>
              <w:t xml:space="preserve">chain-x</w:t>
            </w:r>
            <w:r>
              <w:rPr>
                <w:rFonts w:ascii="Calibri" w:hAnsi="Calibri"/>
                <w:color w:val="263238"/>
                <w:sz w:val="18"/>
              </w:rPr>
              <w:t xml:space="preserve">, authorization version 2, her signature</w:t>
            </w:r>
          </w:p>
        </w:tc>
      </w:tr>
      <w:tr>
        <w:trPr>
          <w:cantSplit/>
        </w:trPr>
        <w:tc>
          <w:tcPr>
            <w:tcW w:w="1610" w:type="dxa"/>
            <w:tcMar>
              <w:top w:w="50" w:type="dxa"/>
              <w:start w:w="90" w:type="dxa"/>
              <w:bottom w:w="50" w:type="dxa"/>
              <w:end w:w="90" w:type="dxa"/>
            </w:tcMar>
          </w:tcPr>
          <w:p>
            <w:pPr>
              <w:pStyle w:val="Compact"/>
              <w:spacing w:after="40" w:before="0"/>
            </w:pPr>
            <w:r>
              <w:rPr>
                <w:rFonts w:ascii="Calibri" w:hAnsi="Calibri"/>
                <w:color w:val="263238"/>
                <w:sz w:val="18"/>
              </w:rPr>
              <w:t xml:space="preserve">Lifecycle</w:t>
            </w:r>
          </w:p>
        </w:tc>
        <w:tc>
          <w:tcPr>
            <w:tcW w:w="7750" w:type="dxa"/>
            <w:tcMar>
              <w:top w:w="50" w:type="dxa"/>
              <w:start w:w="90" w:type="dxa"/>
              <w:bottom w:w="50" w:type="dxa"/>
              <w:end w:w="90" w:type="dxa"/>
            </w:tcMar>
          </w:tcPr>
          <w:p>
            <w:pPr>
              <w:pStyle w:val="Compact"/>
              <w:spacing w:after="40" w:before="0"/>
            </w:pPr>
            <w:r>
              <w:rPr>
                <w:rFonts w:ascii="Calibri" w:hAnsi="Calibri"/>
                <w:color w:val="263238"/>
                <w:sz w:val="18"/>
              </w:rPr>
              <w:t xml:space="preserve">Not applicable — this is an assertion event; validity state: active</w:t>
            </w:r>
          </w:p>
        </w:tc>
      </w:tr>
      <w:tr>
        <w:trPr>
          <w:cantSplit/>
        </w:trPr>
        <w:tc>
          <w:tcPr>
            <w:tcW w:w="1610" w:type="dxa"/>
            <w:tcMar>
              <w:top w:w="50" w:type="dxa"/>
              <w:start w:w="90" w:type="dxa"/>
              <w:bottom w:w="50" w:type="dxa"/>
              <w:end w:w="90" w:type="dxa"/>
            </w:tcMar>
          </w:tcPr>
          <w:p>
            <w:pPr>
              <w:pStyle w:val="Compact"/>
              <w:spacing w:after="40" w:before="0"/>
            </w:pPr>
            <w:r>
              <w:rPr>
                <w:rFonts w:ascii="Calibri" w:hAnsi="Calibri"/>
                <w:color w:val="263238"/>
                <w:sz w:val="18"/>
              </w:rPr>
              <w:t xml:space="preserve">Finality</w:t>
            </w:r>
          </w:p>
        </w:tc>
        <w:tc>
          <w:tcPr>
            <w:tcW w:w="7750" w:type="dxa"/>
            <w:tcMar>
              <w:top w:w="50" w:type="dxa"/>
              <w:start w:w="90" w:type="dxa"/>
              <w:bottom w:w="50" w:type="dxa"/>
              <w:end w:w="90" w:type="dxa"/>
            </w:tcMar>
          </w:tcPr>
          <w:p>
            <w:pPr>
              <w:pStyle w:val="Compact"/>
              <w:spacing w:after="40" w:before="0"/>
            </w:pPr>
            <w:r>
              <w:rPr>
                <w:rFonts w:ascii="Calibri" w:hAnsi="Calibri"/>
                <w:color w:val="263238"/>
                <w:sz w:val="18"/>
              </w:rPr>
              <w:t xml:space="preserve">Source domain:</w:t>
            </w:r>
            <w:r>
              <w:rPr>
                <w:rFonts w:ascii="Calibri" w:hAnsi="Calibri"/>
                <w:color w:val="263238"/>
                <w:sz w:val="18"/>
              </w:rPr>
              <w:t xml:space="preserve"> </w:t>
            </w:r>
            <w:r>
              <w:rPr>
                <w:rStyle w:val="VerbatimChar"/>
                <w:rFonts w:ascii="Calibri" w:hAnsi="Calibri"/>
                <w:color w:val="263238"/>
                <w:sz w:val="18"/>
              </w:rPr>
              <w:t xml:space="preserve">chain-x</w:t>
            </w:r>
            <w:r>
              <w:rPr>
                <w:rFonts w:ascii="Calibri" w:hAnsi="Calibri"/>
                <w:color w:val="263238"/>
                <w:sz w:val="18"/>
              </w:rPr>
              <w:t xml:space="preserve">; checkpoint assertion: block finalized at height 8,214,566 + confirmation depth; reorg status: final as observed</w:t>
            </w:r>
          </w:p>
        </w:tc>
      </w:tr>
    </w:tbl>
    <w:p>
      <w:pPr>
        <w:pStyle w:val="BodyText"/>
      </w:pPr>
      <w:r>
        <w:t xml:space="preserve">If Alice's service retries the submission, or the same slash arrives through a second contract family, the uniqueness domain maps both to this one canonical event — the record gains no second copy.</w:t>
      </w:r>
    </w:p>
    <w:bookmarkStart w:id="11" w:name="X3ba75ca6ed83758f16305265c42b9a59c667d34"/>
    <w:p>
      <w:pPr>
        <w:pStyle w:val="Heading2"/>
      </w:pPr>
      <w:r>
        <w:t xml:space="preserve">3.1 Reputation article</w:t>
      </w:r>
    </w:p>
    <w:p>
      <w:pPr>
        <w:pStyle w:val="FirstParagraph"/>
      </w:pPr>
      <w:r>
        <w:t xml:space="preserve">A reputation article is the ingress bundle for one submitted evidence event. It binds the event to its source commitment or proof, issuer signature, and authorization context. The canonical semantic unit remains the evidence event: implementations may retain the complete article or unpack it into canonical state plus referenced payload material, provided the original article can be authenticated and its provenance reconstructed.</w:t>
      </w:r>
    </w:p>
    <w:p>
      <w:pPr>
        <w:pStyle w:val="BodyText"/>
      </w:pPr>
      <w:r>
        <w:t xml:space="preserve">For an external-chain import, the article must additionally identify the source domain, source event or transaction, asserted checkpoint/finality state, observation interval, and whether the issuer directly verified the source or relayed another attestation. A truster signature authenticates the submitter; it does not make the external fact node-native or prove that the submitted interval is complete.</w:t>
      </w:r>
    </w:p>
    <w:bookmarkEnd w:id="11"/>
    <w:bookmarkEnd w:id="12"/>
    <w:bookmarkStart w:id="15" w:name="X7029179ec76065e2ff5e3badc716ded8b8c22e0"/>
    <w:p>
      <w:pPr>
        <w:pStyle w:val="Heading1"/>
      </w:pPr>
      <w:r>
        <w:t xml:space="preserve">4. Assertion and lifecycle events</w:t>
      </w:r>
    </w:p>
    <w:p>
      <w:pPr>
        <w:pStyle w:val="FirstParagraph"/>
      </w:pPr>
      <w:r>
        <w:t xml:space="preserve">Every canonical event is broadly an</w:t>
      </w:r>
      <w:r>
        <w:t xml:space="preserve"> </w:t>
      </w:r>
      <w:r>
        <w:rPr>
          <w:b/>
          <w:bCs/>
        </w:rPr>
        <w:t xml:space="preserve">assertion event</w:t>
      </w:r>
      <w:r>
        <w:t xml:space="preserve"> </w:t>
      </w:r>
      <w:r>
        <w:t xml:space="preserve">or a</w:t>
      </w:r>
      <w:r>
        <w:t xml:space="preserve"> </w:t>
      </w:r>
      <w:r>
        <w:rPr>
          <w:b/>
          <w:bCs/>
        </w:rPr>
        <w:t xml:space="preserve">lifecycle event</w:t>
      </w:r>
      <w:r>
        <w:t xml:space="preserve">. Assertion events place material on one side or the other of a typed judgment; lifecycle events manage the record itself. The familiar terms</w:t>
      </w:r>
      <w:r>
        <w:t xml:space="preserve"> </w:t>
      </w:r>
      <w:r>
        <w:rPr>
          <w:i/>
          <w:iCs/>
        </w:rPr>
        <w:t xml:space="preserve">claim</w:t>
      </w:r>
      <w:r>
        <w:t xml:space="preserve">,</w:t>
      </w:r>
      <w:r>
        <w:t xml:space="preserve"> </w:t>
      </w:r>
      <w:r>
        <w:rPr>
          <w:i/>
          <w:iCs/>
        </w:rPr>
        <w:t xml:space="preserve">counterclaim</w:t>
      </w:r>
      <w:r>
        <w:t xml:space="preserve">,</w:t>
      </w:r>
      <w:r>
        <w:t xml:space="preserve"> </w:t>
      </w:r>
      <w:r>
        <w:rPr>
          <w:i/>
          <w:iCs/>
        </w:rPr>
        <w:t xml:space="preserve">observation</w:t>
      </w:r>
      <w:r>
        <w:t xml:space="preserve">,</w:t>
      </w:r>
      <w:r>
        <w:t xml:space="preserve"> </w:t>
      </w:r>
      <w:r>
        <w:rPr>
          <w:i/>
          <w:iCs/>
        </w:rPr>
        <w:t xml:space="preserve">attestation</w:t>
      </w:r>
      <w:r>
        <w:t xml:space="preserve">, and</w:t>
      </w:r>
      <w:r>
        <w:t xml:space="preserve"> </w:t>
      </w:r>
      <w:r>
        <w:rPr>
          <w:i/>
          <w:iCs/>
        </w:rPr>
        <w:t xml:space="preserve">refutation</w:t>
      </w:r>
      <w:r>
        <w:t xml:space="preserve"> </w:t>
      </w:r>
      <w:r>
        <w:t xml:space="preserve">describe combinations of assertion properties rather than necessarily being mutually exclusive wire-level event kinds.</w:t>
      </w:r>
    </w:p>
    <w:bookmarkStart w:id="13" w:name="Xb260827c2a5339d889b196e2782ba04d26cf922"/>
    <w:p>
      <w:pPr>
        <w:pStyle w:val="Heading2"/>
      </w:pPr>
      <w:r>
        <w:t xml:space="preserve">4.1 Assertion events</w:t>
      </w:r>
    </w:p>
    <w:p>
      <w:pPr>
        <w:pStyle w:val="FirstParagraph"/>
      </w:pPr>
      <w:r>
        <w:t xml:space="preserve">Assertion semantics have three independent dimensions:</w:t>
      </w:r>
    </w:p>
    <w:tbl>
      <w:tblPr>
        <w:tblStyle w:val="Table"/>
        <w:tblLook w:firstRow="1" w:lastRow="0" w:firstColumn="0" w:lastColumn="0" w:noHBand="0" w:noVBand="0" w:val="0020"/>
        <w:tblW w:w="9358"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217"/>
        <w:gridCol w:w="2696"/>
        <w:gridCol w:w="5445"/>
      </w:tblGrid>
      <w:tr>
        <w:trPr>
          <w:tblHeader w:val="on"/>
          <w:tblHeader w:val="true"/>
          <w:cantSplit/>
        </w:trPr>
        <w:tc>
          <w:tcPr>
            <w:tcW w:w="1217"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Dimension</w:t>
            </w:r>
          </w:p>
        </w:tc>
        <w:tc>
          <w:tcPr>
            <w:tcW w:w="2696"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Values</w:t>
            </w:r>
          </w:p>
        </w:tc>
        <w:tc>
          <w:tcPr>
            <w:tcW w:w="5445"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Meaning</w:t>
            </w:r>
          </w:p>
        </w:tc>
      </w:tr>
      <w:tr>
        <w:trPr>
          <w:cantSplit/>
        </w:trPr>
        <w:tc>
          <w:tcPr>
            <w:tcW w:w="1217" w:type="dxa"/>
            <w:tcMar>
              <w:top w:w="50" w:type="dxa"/>
              <w:start w:w="90" w:type="dxa"/>
              <w:bottom w:w="50" w:type="dxa"/>
              <w:end w:w="90" w:type="dxa"/>
            </w:tcMar>
          </w:tcPr>
          <w:p>
            <w:pPr>
              <w:pStyle w:val="Compact"/>
              <w:spacing w:after="40" w:before="0"/>
            </w:pPr>
            <w:r>
              <w:rPr>
                <w:rFonts w:ascii="Calibri" w:hAnsi="Calibri"/>
                <w:color w:val="263238"/>
                <w:sz w:val="18"/>
              </w:rPr>
              <w:t xml:space="preserve">Statement form</w:t>
            </w:r>
          </w:p>
        </w:tc>
        <w:tc>
          <w:tcPr>
            <w:tcW w:w="2696" w:type="dxa"/>
            <w:tcMar>
              <w:top w:w="50" w:type="dxa"/>
              <w:start w:w="90" w:type="dxa"/>
              <w:bottom w:w="50" w:type="dxa"/>
              <w:end w:w="90" w:type="dxa"/>
            </w:tcMar>
          </w:tcPr>
          <w:p>
            <w:pPr>
              <w:pStyle w:val="Compact"/>
              <w:spacing w:after="40" w:before="0"/>
            </w:pPr>
            <w:r>
              <w:rPr>
                <w:rFonts w:ascii="Calibri" w:hAnsi="Calibri"/>
                <w:color w:val="263238"/>
                <w:sz w:val="18"/>
              </w:rPr>
              <w:t xml:space="preserve">Claim, observation, or attestation</w:t>
            </w:r>
          </w:p>
        </w:tc>
        <w:tc>
          <w:tcPr>
            <w:tcW w:w="5445" w:type="dxa"/>
            <w:tcMar>
              <w:top w:w="50" w:type="dxa"/>
              <w:start w:w="90" w:type="dxa"/>
              <w:bottom w:w="50" w:type="dxa"/>
              <w:end w:w="90" w:type="dxa"/>
            </w:tcMar>
          </w:tcPr>
          <w:p>
            <w:pPr>
              <w:pStyle w:val="Compact"/>
              <w:spacing w:after="40" w:before="0"/>
            </w:pPr>
            <w:r>
              <w:rPr>
                <w:rFonts w:ascii="Calibri" w:hAnsi="Calibri"/>
                <w:color w:val="263238"/>
                <w:sz w:val="18"/>
              </w:rPr>
              <w:t xml:space="preserve">Whether the event is an attributable proposition, a recorded behavior/state/outcome, or an assertion about another event or verification result</w:t>
            </w:r>
          </w:p>
        </w:tc>
      </w:tr>
      <w:tr>
        <w:trPr>
          <w:cantSplit/>
        </w:trPr>
        <w:tc>
          <w:tcPr>
            <w:tcW w:w="1217" w:type="dxa"/>
            <w:tcMar>
              <w:top w:w="50" w:type="dxa"/>
              <w:start w:w="90" w:type="dxa"/>
              <w:bottom w:w="50" w:type="dxa"/>
              <w:end w:w="90" w:type="dxa"/>
            </w:tcMar>
          </w:tcPr>
          <w:p>
            <w:pPr>
              <w:pStyle w:val="Compact"/>
              <w:spacing w:after="40" w:before="0"/>
            </w:pPr>
            <w:r>
              <w:rPr>
                <w:rFonts w:ascii="Calibri" w:hAnsi="Calibri"/>
                <w:color w:val="263238"/>
                <w:sz w:val="18"/>
              </w:rPr>
              <w:t xml:space="preserve">Relation</w:t>
            </w:r>
          </w:p>
        </w:tc>
        <w:tc>
          <w:tcPr>
            <w:tcW w:w="2696" w:type="dxa"/>
            <w:tcMar>
              <w:top w:w="50" w:type="dxa"/>
              <w:start w:w="90" w:type="dxa"/>
              <w:bottom w:w="50" w:type="dxa"/>
              <w:end w:w="90" w:type="dxa"/>
            </w:tcMar>
          </w:tcPr>
          <w:p>
            <w:pPr>
              <w:pStyle w:val="Compact"/>
              <w:spacing w:after="40" w:before="0"/>
            </w:pPr>
            <w:r>
              <w:rPr>
                <w:rFonts w:ascii="Calibri" w:hAnsi="Calibri"/>
                <w:color w:val="263238"/>
                <w:sz w:val="18"/>
              </w:rPr>
              <w:t xml:space="preserve">Supports, refutes, or neutral</w:t>
            </w:r>
          </w:p>
        </w:tc>
        <w:tc>
          <w:tcPr>
            <w:tcW w:w="5445" w:type="dxa"/>
            <w:tcMar>
              <w:top w:w="50" w:type="dxa"/>
              <w:start w:w="90" w:type="dxa"/>
              <w:bottom w:w="50" w:type="dxa"/>
              <w:end w:w="90" w:type="dxa"/>
            </w:tcMar>
          </w:tcPr>
          <w:p>
            <w:pPr>
              <w:pStyle w:val="Compact"/>
              <w:spacing w:after="40" w:before="0"/>
            </w:pPr>
            <w:r>
              <w:rPr>
                <w:rFonts w:ascii="Calibri" w:hAnsi="Calibri"/>
                <w:color w:val="263238"/>
                <w:sz w:val="18"/>
              </w:rPr>
              <w:t xml:space="preserve">Which side of the target judgment the statement enters, if any</w:t>
            </w:r>
          </w:p>
        </w:tc>
      </w:tr>
      <w:tr>
        <w:trPr>
          <w:cantSplit/>
        </w:trPr>
        <w:tc>
          <w:tcPr>
            <w:tcW w:w="1217" w:type="dxa"/>
            <w:tcMar>
              <w:top w:w="50" w:type="dxa"/>
              <w:start w:w="90" w:type="dxa"/>
              <w:bottom w:w="50" w:type="dxa"/>
              <w:end w:w="90" w:type="dxa"/>
            </w:tcMar>
          </w:tcPr>
          <w:p>
            <w:pPr>
              <w:pStyle w:val="Compact"/>
              <w:spacing w:after="40" w:before="0"/>
            </w:pPr>
            <w:r>
              <w:rPr>
                <w:rFonts w:ascii="Calibri" w:hAnsi="Calibri"/>
                <w:color w:val="263238"/>
                <w:sz w:val="18"/>
              </w:rPr>
              <w:t xml:space="preserve">Target</w:t>
            </w:r>
          </w:p>
        </w:tc>
        <w:tc>
          <w:tcPr>
            <w:tcW w:w="2696" w:type="dxa"/>
            <w:tcMar>
              <w:top w:w="50" w:type="dxa"/>
              <w:start w:w="90" w:type="dxa"/>
              <w:bottom w:w="50" w:type="dxa"/>
              <w:end w:w="90" w:type="dxa"/>
            </w:tcMar>
          </w:tcPr>
          <w:p>
            <w:pPr>
              <w:pStyle w:val="Compact"/>
              <w:spacing w:after="40" w:before="0"/>
            </w:pPr>
            <w:r>
              <w:rPr>
                <w:rFonts w:ascii="Calibri" w:hAnsi="Calibri"/>
                <w:color w:val="263238"/>
                <w:sz w:val="18"/>
              </w:rPr>
              <w:t xml:space="preserve">Another evidence event or a typed judgment identified by subject, type, and scope</w:t>
            </w:r>
          </w:p>
        </w:tc>
        <w:tc>
          <w:tcPr>
            <w:tcW w:w="5445" w:type="dxa"/>
            <w:tcMar>
              <w:top w:w="50" w:type="dxa"/>
              <w:start w:w="90" w:type="dxa"/>
              <w:bottom w:w="50" w:type="dxa"/>
              <w:end w:w="90" w:type="dxa"/>
            </w:tcMar>
          </w:tcPr>
          <w:p>
            <w:pPr>
              <w:pStyle w:val="Compact"/>
              <w:spacing w:after="40" w:before="0"/>
            </w:pPr>
            <w:r>
              <w:rPr>
                <w:rFonts w:ascii="Calibri" w:hAnsi="Calibri"/>
                <w:color w:val="263238"/>
                <w:sz w:val="18"/>
              </w:rPr>
              <w:t xml:space="preserve">What the statement supports, opposes, or describes; targeting a typed judgment permits evidence against a capability even when no prior claim exists</w:t>
            </w:r>
          </w:p>
        </w:tc>
      </w:tr>
    </w:tbl>
    <w:p>
      <w:pPr>
        <w:pStyle w:val="BodyText"/>
      </w:pPr>
      <w:r>
        <w:t xml:space="preserve">The package keeps five familiar names as shorthand for common combinations:</w:t>
      </w:r>
    </w:p>
    <w:tbl>
      <w:tblPr>
        <w:tblStyle w:val="Table"/>
        <w:tblLook w:firstRow="1" w:lastRow="0" w:firstColumn="0" w:lastColumn="0" w:noHBand="0" w:noVBand="0" w:val="0020"/>
        <w:tblW w:w="9359"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14"/>
        <w:gridCol w:w="6945"/>
      </w:tblGrid>
      <w:tr>
        <w:trPr>
          <w:tblHeader w:val="on"/>
          <w:tblHeader w:val="true"/>
          <w:cantSplit/>
        </w:trPr>
        <w:tc>
          <w:tcPr>
            <w:tcW w:w="2414"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Familiar name</w:t>
            </w:r>
          </w:p>
        </w:tc>
        <w:tc>
          <w:tcPr>
            <w:tcW w:w="6945"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Conceptual combination</w:t>
            </w:r>
          </w:p>
        </w:tc>
      </w:tr>
      <w:tr>
        <w:trPr>
          <w:cantSplit/>
        </w:trPr>
        <w:tc>
          <w:tcPr>
            <w:tcW w:w="2414" w:type="dxa"/>
            <w:tcMar>
              <w:top w:w="50" w:type="dxa"/>
              <w:start w:w="90" w:type="dxa"/>
              <w:bottom w:w="50" w:type="dxa"/>
              <w:end w:w="90" w:type="dxa"/>
            </w:tcMar>
          </w:tcPr>
          <w:p>
            <w:pPr>
              <w:pStyle w:val="Compact"/>
              <w:spacing w:after="40" w:before="0"/>
            </w:pPr>
            <w:r>
              <w:rPr>
                <w:rFonts w:ascii="Calibri" w:hAnsi="Calibri"/>
                <w:color w:val="263238"/>
                <w:sz w:val="18"/>
              </w:rPr>
              <w:t xml:space="preserve">Claim</w:t>
            </w:r>
          </w:p>
        </w:tc>
        <w:tc>
          <w:tcPr>
            <w:tcW w:w="6945" w:type="dxa"/>
            <w:tcMar>
              <w:top w:w="50" w:type="dxa"/>
              <w:start w:w="90" w:type="dxa"/>
              <w:bottom w:w="50" w:type="dxa"/>
              <w:end w:w="90" w:type="dxa"/>
            </w:tcMar>
          </w:tcPr>
          <w:p>
            <w:pPr>
              <w:pStyle w:val="Compact"/>
              <w:spacing w:after="40" w:before="0"/>
            </w:pPr>
            <w:r>
              <w:rPr>
                <w:rFonts w:ascii="Calibri" w:hAnsi="Calibri"/>
                <w:color w:val="263238"/>
                <w:sz w:val="18"/>
              </w:rPr>
              <w:t xml:space="preserve">Claim form that supports a typed judgment</w:t>
            </w:r>
          </w:p>
        </w:tc>
      </w:tr>
      <w:tr>
        <w:trPr>
          <w:cantSplit/>
        </w:trPr>
        <w:tc>
          <w:tcPr>
            <w:tcW w:w="2414" w:type="dxa"/>
            <w:tcMar>
              <w:top w:w="50" w:type="dxa"/>
              <w:start w:w="90" w:type="dxa"/>
              <w:bottom w:w="50" w:type="dxa"/>
              <w:end w:w="90" w:type="dxa"/>
            </w:tcMar>
          </w:tcPr>
          <w:p>
            <w:pPr>
              <w:pStyle w:val="Compact"/>
              <w:spacing w:after="40" w:before="0"/>
            </w:pPr>
            <w:r>
              <w:rPr>
                <w:rFonts w:ascii="Calibri" w:hAnsi="Calibri"/>
                <w:color w:val="263238"/>
                <w:sz w:val="18"/>
              </w:rPr>
              <w:t xml:space="preserve">Counterclaim</w:t>
            </w:r>
          </w:p>
        </w:tc>
        <w:tc>
          <w:tcPr>
            <w:tcW w:w="6945" w:type="dxa"/>
            <w:tcMar>
              <w:top w:w="50" w:type="dxa"/>
              <w:start w:w="90" w:type="dxa"/>
              <w:bottom w:w="50" w:type="dxa"/>
              <w:end w:w="90" w:type="dxa"/>
            </w:tcMar>
          </w:tcPr>
          <w:p>
            <w:pPr>
              <w:pStyle w:val="Compact"/>
              <w:spacing w:after="40" w:before="0"/>
            </w:pPr>
            <w:r>
              <w:rPr>
                <w:rFonts w:ascii="Calibri" w:hAnsi="Calibri"/>
                <w:color w:val="263238"/>
                <w:sz w:val="18"/>
              </w:rPr>
              <w:t xml:space="preserve">Claim form that refutes another event or typed judgment</w:t>
            </w:r>
          </w:p>
        </w:tc>
      </w:tr>
      <w:tr>
        <w:trPr>
          <w:cantSplit/>
        </w:trPr>
        <w:tc>
          <w:tcPr>
            <w:tcW w:w="2414" w:type="dxa"/>
            <w:tcMar>
              <w:top w:w="50" w:type="dxa"/>
              <w:start w:w="90" w:type="dxa"/>
              <w:bottom w:w="50" w:type="dxa"/>
              <w:end w:w="90" w:type="dxa"/>
            </w:tcMar>
          </w:tcPr>
          <w:p>
            <w:pPr>
              <w:pStyle w:val="Compact"/>
              <w:spacing w:after="40" w:before="0"/>
            </w:pPr>
            <w:r>
              <w:rPr>
                <w:rFonts w:ascii="Calibri" w:hAnsi="Calibri"/>
                <w:color w:val="263238"/>
                <w:sz w:val="18"/>
              </w:rPr>
              <w:t xml:space="preserve">Observation</w:t>
            </w:r>
          </w:p>
        </w:tc>
        <w:tc>
          <w:tcPr>
            <w:tcW w:w="6945" w:type="dxa"/>
            <w:tcMar>
              <w:top w:w="50" w:type="dxa"/>
              <w:start w:w="90" w:type="dxa"/>
              <w:bottom w:w="50" w:type="dxa"/>
              <w:end w:w="90" w:type="dxa"/>
            </w:tcMar>
          </w:tcPr>
          <w:p>
            <w:pPr>
              <w:pStyle w:val="Compact"/>
              <w:spacing w:after="40" w:before="0"/>
            </w:pPr>
            <w:r>
              <w:rPr>
                <w:rFonts w:ascii="Calibri" w:hAnsi="Calibri"/>
                <w:color w:val="263238"/>
                <w:sz w:val="18"/>
              </w:rPr>
              <w:t xml:space="preserve">Observation form with a supporting, refuting, or neutral relation</w:t>
            </w:r>
          </w:p>
        </w:tc>
      </w:tr>
      <w:tr>
        <w:trPr>
          <w:cantSplit/>
        </w:trPr>
        <w:tc>
          <w:tcPr>
            <w:tcW w:w="2414" w:type="dxa"/>
            <w:tcMar>
              <w:top w:w="50" w:type="dxa"/>
              <w:start w:w="90" w:type="dxa"/>
              <w:bottom w:w="50" w:type="dxa"/>
              <w:end w:w="90" w:type="dxa"/>
            </w:tcMar>
          </w:tcPr>
          <w:p>
            <w:pPr>
              <w:pStyle w:val="Compact"/>
              <w:spacing w:after="40" w:before="0"/>
            </w:pPr>
            <w:r>
              <w:rPr>
                <w:rFonts w:ascii="Calibri" w:hAnsi="Calibri"/>
                <w:color w:val="263238"/>
                <w:sz w:val="18"/>
              </w:rPr>
              <w:t xml:space="preserve">Attestation</w:t>
            </w:r>
          </w:p>
        </w:tc>
        <w:tc>
          <w:tcPr>
            <w:tcW w:w="6945" w:type="dxa"/>
            <w:tcMar>
              <w:top w:w="50" w:type="dxa"/>
              <w:start w:w="90" w:type="dxa"/>
              <w:bottom w:w="50" w:type="dxa"/>
              <w:end w:w="90" w:type="dxa"/>
            </w:tcMar>
          </w:tcPr>
          <w:p>
            <w:pPr>
              <w:pStyle w:val="Compact"/>
              <w:spacing w:after="40" w:before="0"/>
            </w:pPr>
            <w:r>
              <w:rPr>
                <w:rFonts w:ascii="Calibri" w:hAnsi="Calibri"/>
                <w:color w:val="263238"/>
                <w:sz w:val="18"/>
              </w:rPr>
              <w:t xml:space="preserve">Attestation form with a supporting, refuting, or neutral relation</w:t>
            </w:r>
          </w:p>
        </w:tc>
      </w:tr>
      <w:tr>
        <w:trPr>
          <w:cantSplit/>
        </w:trPr>
        <w:tc>
          <w:tcPr>
            <w:tcW w:w="2414" w:type="dxa"/>
            <w:tcMar>
              <w:top w:w="50" w:type="dxa"/>
              <w:start w:w="90" w:type="dxa"/>
              <w:bottom w:w="50" w:type="dxa"/>
              <w:end w:w="90" w:type="dxa"/>
            </w:tcMar>
          </w:tcPr>
          <w:p>
            <w:pPr>
              <w:pStyle w:val="Compact"/>
              <w:spacing w:after="40" w:before="0"/>
            </w:pPr>
            <w:r>
              <w:rPr>
                <w:rFonts w:ascii="Calibri" w:hAnsi="Calibri"/>
                <w:color w:val="263238"/>
                <w:sz w:val="18"/>
              </w:rPr>
              <w:t xml:space="preserve">Refutation</w:t>
            </w:r>
          </w:p>
        </w:tc>
        <w:tc>
          <w:tcPr>
            <w:tcW w:w="6945" w:type="dxa"/>
            <w:tcMar>
              <w:top w:w="50" w:type="dxa"/>
              <w:start w:w="90" w:type="dxa"/>
              <w:bottom w:w="50" w:type="dxa"/>
              <w:end w:w="90" w:type="dxa"/>
            </w:tcMar>
          </w:tcPr>
          <w:p>
            <w:pPr>
              <w:pStyle w:val="Compact"/>
              <w:spacing w:after="40" w:before="0"/>
            </w:pPr>
            <w:r>
              <w:rPr>
                <w:rFonts w:ascii="Calibri" w:hAnsi="Calibri"/>
                <w:color w:val="263238"/>
                <w:sz w:val="18"/>
              </w:rPr>
              <w:t xml:space="preserve">Evidence-bearing observation or attestation that refutes another event or typed judgment</w:t>
            </w:r>
          </w:p>
        </w:tc>
      </w:tr>
    </w:tbl>
    <w:p>
      <w:pPr>
        <w:pStyle w:val="BodyText"/>
      </w:pPr>
      <w:r>
        <w:t xml:space="preserve">A</w:t>
      </w:r>
      <w:r>
        <w:t xml:space="preserve"> </w:t>
      </w:r>
      <w:r>
        <w:rPr>
          <w:b/>
          <w:bCs/>
        </w:rPr>
        <w:t xml:space="preserve">counterclaim</w:t>
      </w:r>
      <w:r>
        <w:t xml:space="preserve"> </w:t>
      </w:r>
      <w:r>
        <w:t xml:space="preserve">therefore supplies the contrary proposition, while a</w:t>
      </w:r>
      <w:r>
        <w:t xml:space="preserve"> </w:t>
      </w:r>
      <w:r>
        <w:rPr>
          <w:b/>
          <w:bCs/>
        </w:rPr>
        <w:t xml:space="preserve">refutation</w:t>
      </w:r>
      <w:r>
        <w:t xml:space="preserve"> </w:t>
      </w:r>
      <w:r>
        <w:t xml:space="preserve">supplies evidence against a claim or judgment. Bob may submit both: his counterclaim that Carol did not complete the upgrade cites the node-version observation through the envelope's existing supporting dependencies, and that observation has a refuting relation to Carol's claim. A double-signing trace needs no prior claim: it is an observation refuting the typed judgment that the validator validates honestly.</w:t>
      </w:r>
    </w:p>
    <w:p>
      <w:pPr>
        <w:pStyle w:val="BodyText"/>
      </w:pPr>
      <w:r>
        <w:t xml:space="preserve">This factoring is the recommended starting point under Q3. Q3 still decides the exact fields, encoding, and whether a submission records one composite event or linked events; the model does not introduce a second dependency mechanism alongside the existing supporting and refuting provenance links.</w:t>
      </w:r>
    </w:p>
    <w:p>
      <w:pPr>
        <w:pStyle w:val="BodyText"/>
      </w:pPr>
      <w:r>
        <w:t xml:space="preserve">Attestations can strengthen either side. A third party attesting that Bob's trace was correctly extracted from finalized blocks strengthens the refutation without adding a new accusation; attesting a key-rotation event supports whatever later evidence depends on it.</w:t>
      </w:r>
    </w:p>
    <w:p>
      <w:pPr>
        <w:pStyle w:val="BodyText"/>
      </w:pPr>
      <w:r>
        <w:t xml:space="preserve">This is the structure a typed judgment accumulates: supporting proofs and refuting traces, held simultaneously and never collapsed early. Using the shorthand above, claims, corroborating observations, and supporting attestations build one side; counterclaims and refutations build the other.</w:t>
      </w:r>
    </w:p>
    <w:bookmarkEnd w:id="13"/>
    <w:bookmarkStart w:id="14" w:name="X71a499c5881e5dbce6b4cafc1f4f868bd1ec9cc"/>
    <w:p>
      <w:pPr>
        <w:pStyle w:val="Heading2"/>
      </w:pPr>
      <w:r>
        <w:t xml:space="preserve">4.2 Lifecycle events</w:t>
      </w:r>
    </w:p>
    <w:tbl>
      <w:tblPr>
        <w:tblStyle w:val="Table"/>
        <w:tblLook w:firstRow="1" w:lastRow="0" w:firstColumn="0" w:lastColumn="0" w:noHBand="0" w:noVBand="0" w:val="0020"/>
        <w:tblW w:w="9359"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87"/>
        <w:gridCol w:w="6972"/>
      </w:tblGrid>
      <w:tr>
        <w:trPr>
          <w:tblHeader w:val="on"/>
          <w:tblHeader w:val="true"/>
          <w:cantSplit/>
        </w:trPr>
        <w:tc>
          <w:tcPr>
            <w:tcW w:w="2387"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Event kind</w:t>
            </w:r>
          </w:p>
        </w:tc>
        <w:tc>
          <w:tcPr>
            <w:tcW w:w="6972"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Meaning</w:t>
            </w:r>
          </w:p>
        </w:tc>
      </w:tr>
      <w:tr>
        <w:trPr>
          <w:cantSplit/>
        </w:trPr>
        <w:tc>
          <w:tcPr>
            <w:tcW w:w="2387" w:type="dxa"/>
            <w:tcMar>
              <w:top w:w="50" w:type="dxa"/>
              <w:start w:w="90" w:type="dxa"/>
              <w:bottom w:w="50" w:type="dxa"/>
              <w:end w:w="90" w:type="dxa"/>
            </w:tcMar>
          </w:tcPr>
          <w:p>
            <w:pPr>
              <w:pStyle w:val="Compact"/>
              <w:spacing w:after="40" w:before="0"/>
            </w:pPr>
            <w:r>
              <w:rPr>
                <w:rFonts w:ascii="Calibri" w:hAnsi="Calibri"/>
                <w:color w:val="263238"/>
                <w:sz w:val="18"/>
              </w:rPr>
              <w:t xml:space="preserve">Supersession</w:t>
            </w:r>
          </w:p>
        </w:tc>
        <w:tc>
          <w:tcPr>
            <w:tcW w:w="6972" w:type="dxa"/>
            <w:tcMar>
              <w:top w:w="50" w:type="dxa"/>
              <w:start w:w="90" w:type="dxa"/>
              <w:bottom w:w="50" w:type="dxa"/>
              <w:end w:w="90" w:type="dxa"/>
            </w:tcMar>
          </w:tcPr>
          <w:p>
            <w:pPr>
              <w:pStyle w:val="Compact"/>
              <w:spacing w:after="40" w:before="0"/>
            </w:pPr>
            <w:r>
              <w:rPr>
                <w:rFonts w:ascii="Calibri" w:hAnsi="Calibri"/>
                <w:color w:val="263238"/>
                <w:sz w:val="18"/>
              </w:rPr>
              <w:t xml:space="preserve">New event replaces an earlier representation without deleting it</w:t>
            </w:r>
          </w:p>
        </w:tc>
      </w:tr>
      <w:tr>
        <w:trPr>
          <w:cantSplit/>
        </w:trPr>
        <w:tc>
          <w:tcPr>
            <w:tcW w:w="2387" w:type="dxa"/>
            <w:tcMar>
              <w:top w:w="50" w:type="dxa"/>
              <w:start w:w="90" w:type="dxa"/>
              <w:bottom w:w="50" w:type="dxa"/>
              <w:end w:w="90" w:type="dxa"/>
            </w:tcMar>
          </w:tcPr>
          <w:p>
            <w:pPr>
              <w:pStyle w:val="Compact"/>
              <w:spacing w:after="40" w:before="0"/>
            </w:pPr>
            <w:r>
              <w:rPr>
                <w:rFonts w:ascii="Calibri" w:hAnsi="Calibri"/>
                <w:color w:val="263238"/>
                <w:sz w:val="18"/>
              </w:rPr>
              <w:t xml:space="preserve">Revocation</w:t>
            </w:r>
          </w:p>
        </w:tc>
        <w:tc>
          <w:tcPr>
            <w:tcW w:w="6972" w:type="dxa"/>
            <w:tcMar>
              <w:top w:w="50" w:type="dxa"/>
              <w:start w:w="90" w:type="dxa"/>
              <w:bottom w:w="50" w:type="dxa"/>
              <w:end w:w="90" w:type="dxa"/>
            </w:tcMar>
          </w:tcPr>
          <w:p>
            <w:pPr>
              <w:pStyle w:val="Compact"/>
              <w:spacing w:after="40" w:before="0"/>
            </w:pPr>
            <w:r>
              <w:rPr>
                <w:rFonts w:ascii="Calibri" w:hAnsi="Calibri"/>
                <w:color w:val="263238"/>
                <w:sz w:val="18"/>
              </w:rPr>
              <w:t xml:space="preserve">Authorized withdrawal of a credential, key, permission, or prior statement</w:t>
            </w:r>
          </w:p>
        </w:tc>
      </w:tr>
      <w:tr>
        <w:trPr>
          <w:cantSplit/>
        </w:trPr>
        <w:tc>
          <w:tcPr>
            <w:tcW w:w="2387" w:type="dxa"/>
            <w:tcMar>
              <w:top w:w="50" w:type="dxa"/>
              <w:start w:w="90" w:type="dxa"/>
              <w:bottom w:w="50" w:type="dxa"/>
              <w:end w:w="90" w:type="dxa"/>
            </w:tcMar>
          </w:tcPr>
          <w:p>
            <w:pPr>
              <w:pStyle w:val="Compact"/>
              <w:spacing w:after="40" w:before="0"/>
            </w:pPr>
            <w:r>
              <w:rPr>
                <w:rFonts w:ascii="Calibri" w:hAnsi="Calibri"/>
                <w:color w:val="263238"/>
                <w:sz w:val="18"/>
              </w:rPr>
              <w:t xml:space="preserve">Invalidation</w:t>
            </w:r>
          </w:p>
        </w:tc>
        <w:tc>
          <w:tcPr>
            <w:tcW w:w="6972" w:type="dxa"/>
            <w:tcMar>
              <w:top w:w="50" w:type="dxa"/>
              <w:start w:w="90" w:type="dxa"/>
              <w:bottom w:w="50" w:type="dxa"/>
              <w:end w:w="90" w:type="dxa"/>
            </w:tcMar>
          </w:tcPr>
          <w:p>
            <w:pPr>
              <w:pStyle w:val="Compact"/>
              <w:spacing w:after="40" w:before="0"/>
            </w:pPr>
            <w:r>
              <w:rPr>
                <w:rFonts w:ascii="Calibri" w:hAnsi="Calibri"/>
                <w:color w:val="263238"/>
                <w:sz w:val="18"/>
              </w:rPr>
              <w:t xml:space="preserve">Event declares an input unusable under a stated policy and triggers dependent recomputation</w:t>
            </w:r>
          </w:p>
        </w:tc>
      </w:tr>
    </w:tbl>
    <w:p>
      <w:pPr>
        <w:pStyle w:val="BodyText"/>
      </w:pPr>
      <w:r>
        <w:t xml:space="preserve">An event can be signature-valid and still false, incomplete, disputed, or outside the issuer's authority. A structured reputation object preserves supporting proofs and refuting traces rather than collapsing that state prematurely.</w:t>
      </w:r>
    </w:p>
    <w:bookmarkEnd w:id="14"/>
    <w:bookmarkEnd w:id="15"/>
    <w:bookmarkStart w:id="16" w:name="X575da06bcb2af6c1d3f7af649ea7572f66f1639"/>
    <w:p>
      <w:pPr>
        <w:pStyle w:val="Heading1"/>
      </w:pPr>
      <w:r>
        <w:t xml:space="preserve">5. Evidence levels and independence</w:t>
      </w:r>
    </w:p>
    <w:tbl>
      <w:tblPr>
        <w:tblStyle w:val="Table"/>
        <w:tblLook w:firstRow="1" w:lastRow="0" w:firstColumn="0" w:lastColumn="0" w:noHBand="0" w:noVBand="0" w:val="0020"/>
        <w:tblW w:w="9358"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490"/>
        <w:gridCol w:w="3942"/>
        <w:gridCol w:w="3926"/>
      </w:tblGrid>
      <w:tr>
        <w:trPr>
          <w:tblHeader w:val="on"/>
          <w:tblHeader w:val="true"/>
          <w:cantSplit/>
        </w:trPr>
        <w:tc>
          <w:tcPr>
            <w:tcW w:w="1490"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Level</w:t>
            </w:r>
          </w:p>
        </w:tc>
        <w:tc>
          <w:tcPr>
            <w:tcW w:w="3942"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Definition</w:t>
            </w:r>
          </w:p>
        </w:tc>
        <w:tc>
          <w:tcPr>
            <w:tcW w:w="3926"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Constraint</w:t>
            </w:r>
          </w:p>
        </w:tc>
      </w:tr>
      <w:tr>
        <w:trPr>
          <w:cantSplit/>
        </w:trPr>
        <w:tc>
          <w:tcPr>
            <w:tcW w:w="1490" w:type="dxa"/>
            <w:tcMar>
              <w:top w:w="50" w:type="dxa"/>
              <w:start w:w="90" w:type="dxa"/>
              <w:bottom w:w="50" w:type="dxa"/>
              <w:end w:w="90" w:type="dxa"/>
            </w:tcMar>
          </w:tcPr>
          <w:p>
            <w:pPr>
              <w:pStyle w:val="Compact"/>
              <w:spacing w:after="40" w:before="0"/>
            </w:pPr>
            <w:r>
              <w:rPr>
                <w:rFonts w:ascii="Calibri" w:hAnsi="Calibri"/>
                <w:color w:val="263238"/>
                <w:sz w:val="18"/>
              </w:rPr>
              <w:t xml:space="preserve">Direct</w:t>
            </w:r>
          </w:p>
        </w:tc>
        <w:tc>
          <w:tcPr>
            <w:tcW w:w="3942" w:type="dxa"/>
            <w:tcMar>
              <w:top w:w="50" w:type="dxa"/>
              <w:start w:w="90" w:type="dxa"/>
              <w:bottom w:w="50" w:type="dxa"/>
              <w:end w:w="90" w:type="dxa"/>
            </w:tcMar>
          </w:tcPr>
          <w:p>
            <w:pPr>
              <w:pStyle w:val="Compact"/>
              <w:spacing w:after="40" w:before="0"/>
            </w:pPr>
            <w:r>
              <w:rPr>
                <w:rFonts w:ascii="Calibri" w:hAnsi="Calibri"/>
                <w:color w:val="263238"/>
                <w:sz w:val="18"/>
              </w:rPr>
              <w:t xml:space="preserve">Subject or system directly participated in or produced the event</w:t>
            </w:r>
          </w:p>
        </w:tc>
        <w:tc>
          <w:tcPr>
            <w:tcW w:w="3926" w:type="dxa"/>
            <w:tcMar>
              <w:top w:w="50" w:type="dxa"/>
              <w:start w:w="90" w:type="dxa"/>
              <w:bottom w:w="50" w:type="dxa"/>
              <w:end w:w="90" w:type="dxa"/>
            </w:tcMar>
          </w:tcPr>
          <w:p>
            <w:pPr>
              <w:pStyle w:val="Compact"/>
              <w:spacing w:after="40" w:before="0"/>
            </w:pPr>
            <w:r>
              <w:rPr>
                <w:rFonts w:ascii="Calibri" w:hAnsi="Calibri"/>
                <w:color w:val="263238"/>
                <w:sz w:val="18"/>
              </w:rPr>
              <w:t xml:space="preserve">Strongest relationship, but still requires authenticity and context</w:t>
            </w:r>
          </w:p>
        </w:tc>
      </w:tr>
      <w:tr>
        <w:trPr>
          <w:cantSplit/>
        </w:trPr>
        <w:tc>
          <w:tcPr>
            <w:tcW w:w="1490" w:type="dxa"/>
            <w:tcMar>
              <w:top w:w="50" w:type="dxa"/>
              <w:start w:w="90" w:type="dxa"/>
              <w:bottom w:w="50" w:type="dxa"/>
              <w:end w:w="90" w:type="dxa"/>
            </w:tcMar>
          </w:tcPr>
          <w:p>
            <w:pPr>
              <w:pStyle w:val="Compact"/>
              <w:spacing w:after="40" w:before="0"/>
            </w:pPr>
            <w:r>
              <w:rPr>
                <w:rFonts w:ascii="Calibri" w:hAnsi="Calibri"/>
                <w:color w:val="263238"/>
                <w:sz w:val="18"/>
              </w:rPr>
              <w:t xml:space="preserve">Witnessed</w:t>
            </w:r>
          </w:p>
        </w:tc>
        <w:tc>
          <w:tcPr>
            <w:tcW w:w="3942" w:type="dxa"/>
            <w:tcMar>
              <w:top w:w="50" w:type="dxa"/>
              <w:start w:w="90" w:type="dxa"/>
              <w:bottom w:w="50" w:type="dxa"/>
              <w:end w:w="90" w:type="dxa"/>
            </w:tcMar>
          </w:tcPr>
          <w:p>
            <w:pPr>
              <w:pStyle w:val="Compact"/>
              <w:spacing w:after="40" w:before="0"/>
            </w:pPr>
            <w:r>
              <w:rPr>
                <w:rFonts w:ascii="Calibri" w:hAnsi="Calibri"/>
                <w:color w:val="263238"/>
                <w:sz w:val="18"/>
              </w:rPr>
              <w:t xml:space="preserve">Issuer independently observed the event or verified an authoritative record</w:t>
            </w:r>
          </w:p>
        </w:tc>
        <w:tc>
          <w:tcPr>
            <w:tcW w:w="3926" w:type="dxa"/>
            <w:tcMar>
              <w:top w:w="50" w:type="dxa"/>
              <w:start w:w="90" w:type="dxa"/>
              <w:bottom w:w="50" w:type="dxa"/>
              <w:end w:w="90" w:type="dxa"/>
            </w:tcMar>
          </w:tcPr>
          <w:p>
            <w:pPr>
              <w:pStyle w:val="Compact"/>
              <w:spacing w:after="40" w:before="0"/>
            </w:pPr>
            <w:r>
              <w:rPr>
                <w:rFonts w:ascii="Calibri" w:hAnsi="Calibri"/>
                <w:color w:val="263238"/>
                <w:sz w:val="18"/>
              </w:rPr>
              <w:t xml:space="preserve">Must identify observation method and source</w:t>
            </w:r>
          </w:p>
        </w:tc>
      </w:tr>
      <w:tr>
        <w:trPr>
          <w:cantSplit/>
        </w:trPr>
        <w:tc>
          <w:tcPr>
            <w:tcW w:w="1490" w:type="dxa"/>
            <w:tcMar>
              <w:top w:w="50" w:type="dxa"/>
              <w:start w:w="90" w:type="dxa"/>
              <w:bottom w:w="50" w:type="dxa"/>
              <w:end w:w="90" w:type="dxa"/>
            </w:tcMar>
          </w:tcPr>
          <w:p>
            <w:pPr>
              <w:pStyle w:val="Compact"/>
              <w:spacing w:after="40" w:before="0"/>
            </w:pPr>
            <w:r>
              <w:rPr>
                <w:rFonts w:ascii="Calibri" w:hAnsi="Calibri"/>
                <w:color w:val="263238"/>
                <w:sz w:val="18"/>
              </w:rPr>
              <w:t xml:space="preserve">Hearsay / relayed</w:t>
            </w:r>
          </w:p>
        </w:tc>
        <w:tc>
          <w:tcPr>
            <w:tcW w:w="3942" w:type="dxa"/>
            <w:tcMar>
              <w:top w:w="50" w:type="dxa"/>
              <w:start w:w="90" w:type="dxa"/>
              <w:bottom w:w="50" w:type="dxa"/>
              <w:end w:w="90" w:type="dxa"/>
            </w:tcMar>
          </w:tcPr>
          <w:p>
            <w:pPr>
              <w:pStyle w:val="Compact"/>
              <w:spacing w:after="40" w:before="0"/>
            </w:pPr>
            <w:r>
              <w:rPr>
                <w:rFonts w:ascii="Calibri" w:hAnsi="Calibri"/>
                <w:color w:val="263238"/>
                <w:sz w:val="18"/>
              </w:rPr>
              <w:t xml:space="preserve">Issuer reports another source's statement</w:t>
            </w:r>
          </w:p>
        </w:tc>
        <w:tc>
          <w:tcPr>
            <w:tcW w:w="3926" w:type="dxa"/>
            <w:tcMar>
              <w:top w:w="50" w:type="dxa"/>
              <w:start w:w="90" w:type="dxa"/>
              <w:bottom w:w="50" w:type="dxa"/>
              <w:end w:w="90" w:type="dxa"/>
            </w:tcMar>
          </w:tcPr>
          <w:p>
            <w:pPr>
              <w:pStyle w:val="Compact"/>
              <w:spacing w:after="40" w:before="0"/>
            </w:pPr>
            <w:r>
              <w:rPr>
                <w:rFonts w:ascii="Calibri" w:hAnsi="Calibri"/>
                <w:color w:val="263238"/>
                <w:sz w:val="18"/>
              </w:rPr>
              <w:t xml:space="preserve">Must retain full lineage and must not multiply the source's influence</w:t>
            </w:r>
          </w:p>
        </w:tc>
      </w:tr>
    </w:tbl>
    <w:p>
      <w:pPr>
        <w:pStyle w:val="BodyText"/>
      </w:pPr>
      <w:r>
        <w:t xml:space="preserve">Signatures add attribution and non-repudiation; they do not promote evidence to a stronger level. Multiple wrappers around one source event do not create independent corroboration. Evidence independence and weighting remain projection-policy concerns (Q10), while provenance needed to detect dependence belongs to this model.</w:t>
      </w:r>
    </w:p>
    <w:p>
      <w:pPr>
        <w:pStyle w:val="BodyText"/>
      </w:pPr>
      <w:r>
        <w:rPr>
          <w:b/>
          <w:bCs/>
        </w:rPr>
        <w:t xml:space="preserve">Running example.</w:t>
      </w:r>
    </w:p>
    <w:tbl>
      <w:tblPr>
        <w:tblStyle w:val="Table"/>
        <w:tblLook w:firstRow="1" w:lastRow="0" w:firstColumn="0" w:lastColumn="0" w:noHBand="0" w:noVBand="0" w:val="0020"/>
        <w:tblW w:w="9359"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73"/>
        <w:gridCol w:w="1806"/>
        <w:gridCol w:w="4680"/>
      </w:tblGrid>
      <w:tr>
        <w:trPr>
          <w:tblHeader w:val="on"/>
          <w:tblHeader w:val="true"/>
          <w:cantSplit/>
        </w:trPr>
        <w:tc>
          <w:tcPr>
            <w:tcW w:w="2873"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Evidence</w:t>
            </w:r>
          </w:p>
        </w:tc>
        <w:tc>
          <w:tcPr>
            <w:tcW w:w="1806"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Level</w:t>
            </w:r>
          </w:p>
        </w:tc>
        <w:tc>
          <w:tcPr>
            <w:tcW w:w="4680"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Why</w:t>
            </w:r>
          </w:p>
        </w:tc>
      </w:tr>
      <w:tr>
        <w:trPr>
          <w:cantSplit/>
        </w:trPr>
        <w:tc>
          <w:tcPr>
            <w:tcW w:w="2873" w:type="dxa"/>
            <w:tcMar>
              <w:top w:w="50" w:type="dxa"/>
              <w:start w:w="90" w:type="dxa"/>
              <w:bottom w:w="50" w:type="dxa"/>
              <w:end w:w="90" w:type="dxa"/>
            </w:tcMar>
          </w:tcPr>
          <w:p>
            <w:pPr>
              <w:pStyle w:val="Compact"/>
              <w:spacing w:after="40" w:before="0"/>
            </w:pPr>
            <w:r>
              <w:rPr>
                <w:rFonts w:ascii="Calibri" w:hAnsi="Calibri"/>
                <w:color w:val="263238"/>
                <w:sz w:val="18"/>
              </w:rPr>
              <w:t xml:space="preserve">The slashing record as it exists on</w:t>
            </w:r>
            <w:r>
              <w:rPr>
                <w:rFonts w:ascii="Calibri" w:hAnsi="Calibri"/>
                <w:color w:val="263238"/>
                <w:sz w:val="18"/>
              </w:rPr>
              <w:t xml:space="preserve"> </w:t>
            </w:r>
            <w:r>
              <w:rPr>
                <w:rStyle w:val="VerbatimChar"/>
                <w:rFonts w:ascii="Calibri" w:hAnsi="Calibri"/>
                <w:color w:val="263238"/>
                <w:sz w:val="18"/>
              </w:rPr>
              <w:t xml:space="preserve">chain-x</w:t>
            </w:r>
          </w:p>
        </w:tc>
        <w:tc>
          <w:tcPr>
            <w:tcW w:w="1806" w:type="dxa"/>
            <w:tcMar>
              <w:top w:w="50" w:type="dxa"/>
              <w:start w:w="90" w:type="dxa"/>
              <w:bottom w:w="50" w:type="dxa"/>
              <w:end w:w="90" w:type="dxa"/>
            </w:tcMar>
          </w:tcPr>
          <w:p>
            <w:pPr>
              <w:pStyle w:val="Compact"/>
              <w:spacing w:after="40" w:before="0"/>
            </w:pPr>
            <w:r>
              <w:rPr>
                <w:rFonts w:ascii="Calibri" w:hAnsi="Calibri"/>
                <w:color w:val="263238"/>
                <w:sz w:val="18"/>
              </w:rPr>
              <w:t xml:space="preserve">Direct — within</w:t>
            </w:r>
            <w:r>
              <w:rPr>
                <w:rFonts w:ascii="Calibri" w:hAnsi="Calibri"/>
                <w:color w:val="263238"/>
                <w:sz w:val="18"/>
              </w:rPr>
              <w:t xml:space="preserve"> </w:t>
            </w:r>
            <w:r>
              <w:rPr>
                <w:rStyle w:val="VerbatimChar"/>
                <w:rFonts w:ascii="Calibri" w:hAnsi="Calibri"/>
                <w:color w:val="263238"/>
                <w:sz w:val="18"/>
              </w:rPr>
              <w:t xml:space="preserve">chain-x</w:t>
            </w:r>
          </w:p>
        </w:tc>
        <w:tc>
          <w:tcPr>
            <w:tcW w:w="4680" w:type="dxa"/>
            <w:tcMar>
              <w:top w:w="50" w:type="dxa"/>
              <w:start w:w="90" w:type="dxa"/>
              <w:bottom w:w="50" w:type="dxa"/>
              <w:end w:w="90" w:type="dxa"/>
            </w:tcMar>
          </w:tcPr>
          <w:p>
            <w:pPr>
              <w:pStyle w:val="Compact"/>
              <w:spacing w:after="40" w:before="0"/>
            </w:pPr>
            <w:r>
              <w:rPr>
                <w:rFonts w:ascii="Calibri" w:hAnsi="Calibri"/>
                <w:color w:val="263238"/>
                <w:sz w:val="18"/>
              </w:rPr>
              <w:t xml:space="preserve">That chain produced the event itself</w:t>
            </w:r>
          </w:p>
        </w:tc>
      </w:tr>
      <w:tr>
        <w:trPr>
          <w:cantSplit/>
        </w:trPr>
        <w:tc>
          <w:tcPr>
            <w:tcW w:w="2873" w:type="dxa"/>
            <w:tcMar>
              <w:top w:w="50" w:type="dxa"/>
              <w:start w:w="90" w:type="dxa"/>
              <w:bottom w:w="50" w:type="dxa"/>
              <w:end w:w="90" w:type="dxa"/>
            </w:tcMar>
          </w:tcPr>
          <w:p>
            <w:pPr>
              <w:pStyle w:val="Compact"/>
              <w:spacing w:after="40" w:before="0"/>
            </w:pPr>
            <w:r>
              <w:rPr>
                <w:rFonts w:ascii="Calibri" w:hAnsi="Calibri"/>
                <w:color w:val="263238"/>
                <w:sz w:val="18"/>
              </w:rPr>
              <w:t xml:space="preserve">Alice's import of it</w:t>
            </w:r>
          </w:p>
        </w:tc>
        <w:tc>
          <w:tcPr>
            <w:tcW w:w="1806" w:type="dxa"/>
            <w:tcMar>
              <w:top w:w="50" w:type="dxa"/>
              <w:start w:w="90" w:type="dxa"/>
              <w:bottom w:w="50" w:type="dxa"/>
              <w:end w:w="90" w:type="dxa"/>
            </w:tcMar>
          </w:tcPr>
          <w:p>
            <w:pPr>
              <w:pStyle w:val="Compact"/>
              <w:spacing w:after="40" w:before="0"/>
            </w:pPr>
            <w:r>
              <w:rPr>
                <w:rFonts w:ascii="Calibri" w:hAnsi="Calibri"/>
                <w:color w:val="263238"/>
                <w:sz w:val="18"/>
              </w:rPr>
              <w:t xml:space="preserve">Witnessed</w:t>
            </w:r>
          </w:p>
        </w:tc>
        <w:tc>
          <w:tcPr>
            <w:tcW w:w="4680" w:type="dxa"/>
            <w:tcMar>
              <w:top w:w="50" w:type="dxa"/>
              <w:start w:w="90" w:type="dxa"/>
              <w:bottom w:w="50" w:type="dxa"/>
              <w:end w:w="90" w:type="dxa"/>
            </w:tcMar>
          </w:tcPr>
          <w:p>
            <w:pPr>
              <w:pStyle w:val="Compact"/>
              <w:spacing w:after="40" w:before="0"/>
            </w:pPr>
            <w:r>
              <w:rPr>
                <w:rFonts w:ascii="Calibri" w:hAnsi="Calibri"/>
                <w:color w:val="263238"/>
                <w:sz w:val="18"/>
              </w:rPr>
              <w:t xml:space="preserve">She verified the finalized record herself, and her article says how: the block range and confirmation depth she checked</w:t>
            </w:r>
          </w:p>
        </w:tc>
      </w:tr>
      <w:tr>
        <w:trPr>
          <w:cantSplit/>
        </w:trPr>
        <w:tc>
          <w:tcPr>
            <w:tcW w:w="2873" w:type="dxa"/>
            <w:tcMar>
              <w:top w:w="50" w:type="dxa"/>
              <w:start w:w="90" w:type="dxa"/>
              <w:bottom w:w="50" w:type="dxa"/>
              <w:end w:w="90" w:type="dxa"/>
            </w:tcMar>
          </w:tcPr>
          <w:p>
            <w:pPr>
              <w:pStyle w:val="Compact"/>
              <w:spacing w:after="40" w:before="0"/>
            </w:pPr>
            <w:r>
              <w:rPr>
                <w:rFonts w:ascii="Calibri" w:hAnsi="Calibri"/>
                <w:color w:val="263238"/>
                <w:sz w:val="18"/>
              </w:rPr>
              <w:t xml:space="preserve">The same import, had she relayed a monitoring service's report without checking the chain</w:t>
            </w:r>
          </w:p>
        </w:tc>
        <w:tc>
          <w:tcPr>
            <w:tcW w:w="1806" w:type="dxa"/>
            <w:tcMar>
              <w:top w:w="50" w:type="dxa"/>
              <w:start w:w="90" w:type="dxa"/>
              <w:bottom w:w="50" w:type="dxa"/>
              <w:end w:w="90" w:type="dxa"/>
            </w:tcMar>
          </w:tcPr>
          <w:p>
            <w:pPr>
              <w:pStyle w:val="Compact"/>
              <w:spacing w:after="40" w:before="0"/>
            </w:pPr>
            <w:r>
              <w:rPr>
                <w:rFonts w:ascii="Calibri" w:hAnsi="Calibri"/>
                <w:color w:val="263238"/>
                <w:sz w:val="18"/>
              </w:rPr>
              <w:t xml:space="preserve">Hearsay / relayed</w:t>
            </w:r>
          </w:p>
        </w:tc>
        <w:tc>
          <w:tcPr>
            <w:tcW w:w="4680" w:type="dxa"/>
            <w:tcMar>
              <w:top w:w="50" w:type="dxa"/>
              <w:start w:w="90" w:type="dxa"/>
              <w:bottom w:w="50" w:type="dxa"/>
              <w:end w:w="90" w:type="dxa"/>
            </w:tcMar>
          </w:tcPr>
          <w:p>
            <w:pPr>
              <w:pStyle w:val="Compact"/>
              <w:spacing w:after="40" w:before="0"/>
            </w:pPr>
            <w:r>
              <w:rPr>
                <w:rFonts w:ascii="Calibri" w:hAnsi="Calibri"/>
                <w:color w:val="263238"/>
                <w:sz w:val="18"/>
              </w:rPr>
              <w:t xml:space="preserve">The article must carry the service's lineage; Alice's signature adds attribution, not strength</w:t>
            </w:r>
          </w:p>
        </w:tc>
      </w:tr>
      <w:tr>
        <w:trPr>
          <w:cantSplit/>
        </w:trPr>
        <w:tc>
          <w:tcPr>
            <w:tcW w:w="2873" w:type="dxa"/>
            <w:tcMar>
              <w:top w:w="50" w:type="dxa"/>
              <w:start w:w="90" w:type="dxa"/>
              <w:bottom w:w="50" w:type="dxa"/>
              <w:end w:w="90" w:type="dxa"/>
            </w:tcMar>
          </w:tcPr>
          <w:p>
            <w:pPr>
              <w:pStyle w:val="Compact"/>
              <w:spacing w:after="40" w:before="0"/>
            </w:pPr>
            <w:r>
              <w:rPr>
                <w:rFonts w:ascii="Calibri" w:hAnsi="Calibri"/>
                <w:color w:val="263238"/>
                <w:sz w:val="18"/>
              </w:rPr>
              <w:t xml:space="preserve">Carol's upgrade self-claim</w:t>
            </w:r>
          </w:p>
        </w:tc>
        <w:tc>
          <w:tcPr>
            <w:tcW w:w="1806" w:type="dxa"/>
            <w:tcMar>
              <w:top w:w="50" w:type="dxa"/>
              <w:start w:w="90" w:type="dxa"/>
              <w:bottom w:w="50" w:type="dxa"/>
              <w:end w:w="90" w:type="dxa"/>
            </w:tcMar>
          </w:tcPr>
          <w:p>
            <w:pPr>
              <w:pStyle w:val="Compact"/>
              <w:spacing w:after="40" w:before="0"/>
            </w:pPr>
            <w:r>
              <w:rPr>
                <w:rFonts w:ascii="Calibri" w:hAnsi="Calibri"/>
                <w:color w:val="263238"/>
                <w:sz w:val="18"/>
              </w:rPr>
              <w:t xml:space="preserve">Direct, labeled issuer-equals-subject</w:t>
            </w:r>
          </w:p>
        </w:tc>
        <w:tc>
          <w:tcPr>
            <w:tcW w:w="4680" w:type="dxa"/>
            <w:tcMar>
              <w:top w:w="50" w:type="dxa"/>
              <w:start w:w="90" w:type="dxa"/>
              <w:bottom w:w="50" w:type="dxa"/>
              <w:end w:w="90" w:type="dxa"/>
            </w:tcMar>
          </w:tcPr>
          <w:p>
            <w:pPr>
              <w:pStyle w:val="Compact"/>
              <w:spacing w:after="40" w:before="0"/>
            </w:pPr>
            <w:r>
              <w:rPr>
                <w:rFonts w:ascii="Calibri" w:hAnsi="Calibri"/>
                <w:color w:val="263238"/>
                <w:sz w:val="18"/>
              </w:rPr>
              <w:t xml:space="preserve">She produced the event; the self-issued label is permanent and no signature can launder it away</w:t>
            </w:r>
          </w:p>
        </w:tc>
      </w:tr>
    </w:tbl>
    <w:p>
      <w:pPr>
        <w:pStyle w:val="BodyText"/>
      </w:pPr>
      <w:r>
        <w:t xml:space="preserve">The multiplication rule in one line: if three different trusters each relay that same monitoring-service report, the record holds three articles but the provenance shows one source — a projection policy must count one slashing event, not three.</w:t>
      </w:r>
    </w:p>
    <w:bookmarkEnd w:id="16"/>
    <w:bookmarkStart w:id="17" w:name="X86b8c65279cae586e986cde8c3d245bf0507ec5"/>
    <w:p>
      <w:pPr>
        <w:pStyle w:val="Heading1"/>
      </w:pPr>
      <w:r>
        <w:t xml:space="preserve">6. Provenance and dependencies</w:t>
      </w:r>
    </w:p>
    <w:p>
      <w:pPr>
        <w:pStyle w:val="FirstParagraph"/>
      </w:pPr>
      <w:r>
        <w:t xml:space="preserve">Canonical evidence retains a directed derivation relationship:</w:t>
      </w:r>
    </w:p>
    <w:p>
      <w:pPr>
        <w:pStyle w:val="SourceCode"/>
        <w:shd w:val="clear" w:fill="F5F6F8"/>
        <w:ind w:left="360"/>
      </w:pPr>
      <w:r>
        <w:rPr>
          <w:rStyle w:val="VerbatimChar"/>
          <w:rFonts w:ascii="Consolas" w:hAnsi="Consolas" w:eastAsia="Consolas"/>
          <w:color w:val="263238"/>
          <w:sz w:val="17"/>
        </w:rPr>
        <w:t xml:space="preserve">source event(s) -&gt; reputation article / evidence event</w:t>
      </w:r>
      <w:r>
        <w:rPr>
          <w:rFonts w:ascii="Consolas" w:hAnsi="Consolas" w:eastAsia="Consolas"/>
          <w:color w:val="263238"/>
          <w:sz w:val="17"/>
        </w:rPr>
        <w:br/>
      </w:r>
      <w:r>
        <w:rPr>
          <w:rStyle w:val="VerbatimChar"/>
          <w:rFonts w:ascii="Consolas" w:hAnsi="Consolas" w:eastAsia="Consolas"/>
          <w:color w:val="263238"/>
          <w:sz w:val="17"/>
        </w:rPr>
        <w:t xml:space="preserve">                -&gt; structured reputation object</w:t>
      </w:r>
      <w:r>
        <w:rPr>
          <w:rFonts w:ascii="Consolas" w:hAnsi="Consolas" w:eastAsia="Consolas"/>
          <w:color w:val="263238"/>
          <w:sz w:val="17"/>
        </w:rPr>
        <w:br/>
      </w:r>
      <w:r>
        <w:rPr>
          <w:rStyle w:val="VerbatimChar"/>
          <w:rFonts w:ascii="Consolas" w:hAnsi="Consolas" w:eastAsia="Consolas"/>
          <w:color w:val="263238"/>
          <w:sz w:val="17"/>
        </w:rPr>
        <w:t xml:space="preserve">                -&gt; projection result</w:t>
      </w:r>
    </w:p>
    <w:p>
      <w:pPr>
        <w:pStyle w:val="FirstParagraph"/>
      </w:pPr>
      <w:r>
        <w:t xml:space="preserve">Evidence events and their committed roots are canonical. A structured reputation object is an evidence-query assembly over a declared subject/type/scope/time context and evidence root; it is not a separately authoritative scalar or unversioned derived truth. A projection result is a policy-derived output and must remain distinguishable from that object.</w:t>
      </w:r>
    </w:p>
    <w:p>
      <w:pPr>
        <w:pStyle w:val="BodyText"/>
      </w:pPr>
      <w:r>
        <w:t xml:space="preserve">The model requires:</w:t>
      </w:r>
    </w:p>
    <w:p>
      <w:pPr>
        <w:pStyle w:val="Compact"/>
        <w:numPr>
          <w:ilvl w:val="0"/>
          <w:numId w:val="1002"/>
        </w:numPr>
      </w:pPr>
      <w:r>
        <w:t xml:space="preserve">Stable source-event identifiers bound to source domain and finality context.</w:t>
      </w:r>
    </w:p>
    <w:p>
      <w:pPr>
        <w:pStyle w:val="Compact"/>
        <w:numPr>
          <w:ilvl w:val="0"/>
          <w:numId w:val="1002"/>
        </w:numPr>
      </w:pPr>
      <w:r>
        <w:t xml:space="preserve">Forward links from derived events and results to every material input.</w:t>
      </w:r>
    </w:p>
    <w:p>
      <w:pPr>
        <w:pStyle w:val="Compact"/>
        <w:numPr>
          <w:ilvl w:val="0"/>
          <w:numId w:val="1002"/>
        </w:numPr>
      </w:pPr>
      <w:r>
        <w:t xml:space="preserve">Reverse dependency lookup sufficient to locate affected derivatives.</w:t>
      </w:r>
    </w:p>
    <w:p>
      <w:pPr>
        <w:pStyle w:val="Compact"/>
        <w:numPr>
          <w:ilvl w:val="0"/>
          <w:numId w:val="1002"/>
        </w:numPr>
      </w:pPr>
      <w:r>
        <w:t xml:space="preserve">Equivalence or lineage information for relayed, wrapped, or cross-shard copies.</w:t>
      </w:r>
    </w:p>
    <w:p>
      <w:pPr>
        <w:pStyle w:val="Compact"/>
        <w:numPr>
          <w:ilvl w:val="0"/>
          <w:numId w:val="1002"/>
        </w:numPr>
      </w:pPr>
      <w:r>
        <w:t xml:space="preserve">Coverage information describing the observation boundary, observed portion, and gaps, not merely article count.</w:t>
      </w:r>
    </w:p>
    <w:p>
      <w:pPr>
        <w:pStyle w:val="FirstParagraph"/>
      </w:pPr>
      <w:r>
        <w:t xml:space="preserve">Coverage must identify the evidence type's observation boundary: enumerable duties where they exist, or otherwise the sources and chain, time, or epoch ranges expected to be observed. It states the observed portion, known gaps, source and payload availability, and any material excluded by authorization or privacy policy. Statistical performance expectations are not completeness denominators, and a cryptographically valid subset is not evidence of completeness.</w:t>
      </w:r>
    </w:p>
    <w:p>
      <w:pPr>
        <w:pStyle w:val="BodyText"/>
      </w:pPr>
      <w:r>
        <w:t xml:space="preserve">The physical representation and performance bounds belong to the Architecture Design (Q26).</w:t>
      </w:r>
    </w:p>
    <w:p>
      <w:pPr>
        <w:pStyle w:val="BodyText"/>
      </w:pPr>
      <w:r>
        <w:rPr>
          <w:b/>
          <w:bCs/>
        </w:rPr>
        <w:t xml:space="preserve">Running example.</w:t>
      </w:r>
      <w:r>
        <w:t xml:space="preserve"> </w:t>
      </w:r>
      <w:r>
        <w:t xml:space="preserve">The general chain above, instantiated:</w:t>
      </w:r>
    </w:p>
    <w:p>
      <w:pPr>
        <w:pStyle w:val="SourceCode"/>
        <w:shd w:val="clear" w:fill="F5F6F8"/>
        <w:ind w:left="360"/>
      </w:pPr>
      <w:r>
        <w:rPr>
          <w:rStyle w:val="VerbatimChar"/>
          <w:rFonts w:ascii="Consolas" w:hAnsi="Consolas" w:eastAsia="Consolas"/>
          <w:color w:val="263238"/>
          <w:sz w:val="17"/>
        </w:rPr>
        <w:t xml:space="preserve">chain-x tx 0x51c9…                      (source event)</w:t>
      </w:r>
      <w:r>
        <w:rPr>
          <w:rFonts w:ascii="Consolas" w:hAnsi="Consolas" w:eastAsia="Consolas"/>
          <w:color w:val="263238"/>
          <w:sz w:val="17"/>
        </w:rPr>
        <w:br/>
      </w:r>
      <w:r>
        <w:rPr>
          <w:rStyle w:val="VerbatimChar"/>
          <w:rFonts w:ascii="Consolas" w:hAnsi="Consolas" w:eastAsia="Consolas"/>
          <w:color w:val="263238"/>
          <w:sz w:val="17"/>
        </w:rPr>
        <w:t xml:space="preserve">  -&gt; Alice's evidence event evt-7f3a…   (reputation article)</w:t>
      </w:r>
      <w:r>
        <w:rPr>
          <w:rFonts w:ascii="Consolas" w:hAnsi="Consolas" w:eastAsia="Consolas"/>
          <w:color w:val="263238"/>
          <w:sz w:val="17"/>
        </w:rPr>
        <w:br/>
      </w:r>
      <w:r>
        <w:rPr>
          <w:rStyle w:val="VerbatimChar"/>
          <w:rFonts w:ascii="Consolas" w:hAnsi="Consolas" w:eastAsia="Consolas"/>
          <w:color w:val="263238"/>
          <w:sz w:val="17"/>
        </w:rPr>
        <w:t xml:space="preserve">  -&gt; structured reputation object       (answers David's slashing query)</w:t>
      </w:r>
      <w:r>
        <w:rPr>
          <w:rFonts w:ascii="Consolas" w:hAnsi="Consolas" w:eastAsia="Consolas"/>
          <w:color w:val="263238"/>
          <w:sz w:val="17"/>
        </w:rPr>
        <w:br/>
      </w:r>
      <w:r>
        <w:rPr>
          <w:rStyle w:val="VerbatimChar"/>
          <w:rFonts w:ascii="Consolas" w:hAnsi="Consolas" w:eastAsia="Consolas"/>
          <w:color w:val="263238"/>
          <w:sz w:val="17"/>
        </w:rPr>
        <w:t xml:space="preserve">  -&gt; epoch-210 health snapshot          (projection result including Carol)</w:t>
      </w:r>
    </w:p>
    <w:p>
      <w:pPr>
        <w:pStyle w:val="Compact"/>
        <w:numPr>
          <w:ilvl w:val="0"/>
          <w:numId w:val="1003"/>
        </w:numPr>
      </w:pPr>
      <w:r>
        <w:rPr>
          <w:b/>
          <w:bCs/>
        </w:rPr>
        <w:t xml:space="preserve">Forward links</w:t>
      </w:r>
      <w:r>
        <w:t xml:space="preserve"> </w:t>
      </w:r>
      <w:r>
        <w:t xml:space="preserve">are what David inspects: every hop above names its inputs.</w:t>
      </w:r>
    </w:p>
    <w:p>
      <w:pPr>
        <w:pStyle w:val="Compact"/>
        <w:numPr>
          <w:ilvl w:val="0"/>
          <w:numId w:val="1003"/>
        </w:numPr>
      </w:pPr>
      <w:r>
        <w:rPr>
          <w:b/>
          <w:bCs/>
        </w:rPr>
        <w:t xml:space="preserve">Reverse lookup</w:t>
      </w:r>
      <w:r>
        <w:t xml:space="preserve"> </w:t>
      </w:r>
      <w:r>
        <w:t xml:space="preserve">answers the correction question: if</w:t>
      </w:r>
      <w:r>
        <w:t xml:space="preserve"> </w:t>
      </w:r>
      <w:r>
        <w:rPr>
          <w:rStyle w:val="VerbatimChar"/>
        </w:rPr>
        <w:t xml:space="preserve">chain-x</w:t>
      </w:r>
      <w:r>
        <w:t xml:space="preserve"> </w:t>
      </w:r>
      <w:r>
        <w:t xml:space="preserve">later reorganizes and that transaction vanishes, traversal starts from Alice's invalidated event and derives the dependent evidence objects and result contexts that may require policy-governed recomputation.</w:t>
      </w:r>
    </w:p>
    <w:p>
      <w:pPr>
        <w:pStyle w:val="Compact"/>
        <w:numPr>
          <w:ilvl w:val="0"/>
          <w:numId w:val="1003"/>
        </w:numPr>
      </w:pPr>
      <w:r>
        <w:rPr>
          <w:b/>
          <w:bCs/>
        </w:rPr>
        <w:t xml:space="preserve">Coverage</w:t>
      </w:r>
      <w:r>
        <w:t xml:space="preserve"> </w:t>
      </w:r>
      <w:r>
        <w:t xml:space="preserve">states the applicable observation boundary and any gaps: "epoch 210's full observation window for</w:t>
      </w:r>
      <w:r>
        <w:t xml:space="preserve"> </w:t>
      </w:r>
      <w:r>
        <w:rPr>
          <w:rStyle w:val="VerbatimChar"/>
        </w:rPr>
        <w:t xml:space="preserve">chain-x</w:t>
      </w:r>
      <w:r>
        <w:t xml:space="preserve"> </w:t>
      </w:r>
      <w:r>
        <w:t xml:space="preserve">slashing, checked blocks 8,210,000-8,220,000, no gaps" — not "one article exists," which says nothing about what wasn't watched.</w:t>
      </w:r>
    </w:p>
    <w:bookmarkEnd w:id="17"/>
    <w:bookmarkStart w:id="18" w:name="X4127b52d84d88790d677ccaa79b6c427c9073c0"/>
    <w:p>
      <w:pPr>
        <w:pStyle w:val="Heading1"/>
      </w:pPr>
      <w:r>
        <w:t xml:space="preserve">7. Correction and dispute semantics</w:t>
      </w:r>
    </w:p>
    <w:p>
      <w:pPr>
        <w:pStyle w:val="FirstParagraph"/>
      </w:pPr>
      <w:r>
        <w:t xml:space="preserve">History is append-only. Correction creates a new signed event that identifies its target evidence; it never erases the original or enumerates downstream derivatives.</w:t>
      </w:r>
    </w:p>
    <w:p>
      <w:pPr>
        <w:pStyle w:val="BodyText"/>
      </w:pPr>
      <w:r>
        <w:t xml:space="preserve">The consensus-visible contract resolves and records the applicable correction-policy version from the target's community, type, and scope. Reverse-dependency processing later derives affected result contexts. The correction policy governs how an accepted correction affects validity and published results; a projection policy separately governs how results are computed from the resulting evidence set.</w:t>
      </w:r>
    </w:p>
    <w:p>
      <w:pPr>
        <w:pStyle w:val="BodyText"/>
      </w:pPr>
      <w:r>
        <w:t xml:space="preserve">A versioned community/type/scope correction policy selects one of three effects:</w:t>
      </w:r>
    </w:p>
    <w:p>
      <w:pPr>
        <w:pStyle w:val="Compact"/>
        <w:numPr>
          <w:ilvl w:val="0"/>
          <w:numId w:val="1004"/>
        </w:numPr>
      </w:pPr>
      <w:r>
        <w:t xml:space="preserve">Prospective: future projections use the correction; published history remains unchanged.</w:t>
      </w:r>
    </w:p>
    <w:p>
      <w:pPr>
        <w:pStyle w:val="Compact"/>
        <w:numPr>
          <w:ilvl w:val="0"/>
          <w:numId w:val="1004"/>
        </w:numPr>
      </w:pPr>
      <w:r>
        <w:t xml:space="preserve">Bounded lookback: projections inside a declared correction horizon may be restated.</w:t>
      </w:r>
    </w:p>
    <w:p>
      <w:pPr>
        <w:pStyle w:val="Compact"/>
        <w:numPr>
          <w:ilvl w:val="0"/>
          <w:numId w:val="1004"/>
        </w:numPr>
      </w:pPr>
      <w:r>
        <w:t xml:space="preserve">Retrospective: retained evidence is replayed back to the affected dependency boundary.</w:t>
      </w:r>
    </w:p>
    <w:p>
      <w:pPr>
        <w:pStyle w:val="FirstParagraph"/>
      </w:pPr>
      <w:r>
        <w:t xml:space="preserve">Published snapshots remain immutable artifacts. A correction may create a newer snapshot or a labeled restatement, but must not silently mutate a previously committed result. Dispute states, appeal authority, deadlines, and default outcomes remain Q9 and Q14.</w:t>
      </w:r>
    </w:p>
    <w:p>
      <w:pPr>
        <w:pStyle w:val="BodyText"/>
      </w:pPr>
      <w:r>
        <w:rPr>
          <w:b/>
          <w:bCs/>
        </w:rPr>
        <w:t xml:space="preserve">Running example.</w:t>
      </w:r>
      <w:r>
        <w:t xml:space="preserve"> </w:t>
      </w:r>
      <w:r>
        <w:t xml:space="preserve">Suppose</w:t>
      </w:r>
      <w:r>
        <w:t xml:space="preserve"> </w:t>
      </w:r>
      <w:r>
        <w:rPr>
          <w:rStyle w:val="VerbatimChar"/>
        </w:rPr>
        <w:t xml:space="preserve">chain-x</w:t>
      </w:r>
      <w:r>
        <w:t xml:space="preserve"> </w:t>
      </w:r>
      <w:r>
        <w:t xml:space="preserve">reorganizes and the slashing transaction turns out never to have finalized. An invalidation event is appended against Alice's import — her original event stays in history, now marked unusable, with the reorg evidence attached. What happens next depends on the applicable versioned correction policy for that type and scope:</w:t>
      </w:r>
    </w:p>
    <w:p>
      <w:pPr>
        <w:pStyle w:val="Compact"/>
        <w:numPr>
          <w:ilvl w:val="0"/>
          <w:numId w:val="1005"/>
        </w:numPr>
      </w:pPr>
      <w:r>
        <w:rPr>
          <w:b/>
          <w:bCs/>
        </w:rPr>
        <w:t xml:space="preserve">Prospective:</w:t>
      </w:r>
      <w:r>
        <w:t xml:space="preserve"> </w:t>
      </w:r>
      <w:r>
        <w:t xml:space="preserve">projections from epoch 213 onward drop the slash; the published epoch-210 snapshot stands as the immutable record of what was believed then.</w:t>
      </w:r>
    </w:p>
    <w:p>
      <w:pPr>
        <w:pStyle w:val="Compact"/>
        <w:numPr>
          <w:ilvl w:val="0"/>
          <w:numId w:val="1005"/>
        </w:numPr>
      </w:pPr>
      <w:r>
        <w:rPr>
          <w:b/>
          <w:bCs/>
        </w:rPr>
        <w:t xml:space="preserve">Bounded lookback</w:t>
      </w:r>
      <w:r>
        <w:t xml:space="preserve"> </w:t>
      </w:r>
      <w:r>
        <w:t xml:space="preserve">(say, a two-epoch horizon): the epoch-210 and 211 snapshots are restated as new, labeled artifacts alongside the originals.</w:t>
      </w:r>
    </w:p>
    <w:p>
      <w:pPr>
        <w:pStyle w:val="Compact"/>
        <w:numPr>
          <w:ilvl w:val="0"/>
          <w:numId w:val="1005"/>
        </w:numPr>
      </w:pPr>
      <w:r>
        <w:rPr>
          <w:b/>
          <w:bCs/>
        </w:rPr>
        <w:t xml:space="preserve">Retrospective:</w:t>
      </w:r>
      <w:r>
        <w:t xml:space="preserve"> </w:t>
      </w:r>
      <w:r>
        <w:t xml:space="preserve">every result inside the policy-bounded affected dependency set — derived through the Section 6 reverse lookup — is replayed.</w:t>
      </w:r>
    </w:p>
    <w:p>
      <w:pPr>
        <w:pStyle w:val="FirstParagraph"/>
      </w:pPr>
      <w:r>
        <w:t xml:space="preserve">Under all three, nothing is deleted: David can always reconstruct both what the record said before the correction and why it changed.</w:t>
      </w:r>
    </w:p>
    <w:bookmarkEnd w:id="18"/>
    <w:bookmarkStart w:id="19" w:name="X2ef7f520548f61104b052a00fcf61666d3e517b"/>
    <w:p>
      <w:pPr>
        <w:pStyle w:val="Heading1"/>
      </w:pPr>
      <w:r>
        <w:t xml:space="preserve">8. Query semantics</w:t>
      </w:r>
    </w:p>
    <w:p>
      <w:pPr>
        <w:pStyle w:val="FirstParagraph"/>
      </w:pPr>
      <w:r>
        <w:t xml:space="preserve">The first required example is:</w:t>
      </w:r>
    </w:p>
    <w:p>
      <w:pPr>
        <w:pStyle w:val="BlockText"/>
        <w:shd w:val="clear" w:fill="EAF2F8"/>
        <w:pBdr>
          <w:left w:val="single" w:sz="18" w:space="10" w:color="2E74B5"/>
        </w:pBdr>
        <w:ind w:left="432" w:right="216"/>
      </w:pPr>
      <w:r>
        <w:rPr>
          <w:rFonts w:ascii="Calibri" w:hAnsi="Calibri" w:eastAsia="Calibri"/>
          <w:i/>
          <w:color w:val="1F4D78"/>
          <w:sz w:val="20"/>
        </w:rPr>
        <w:t xml:space="preserve">Was validator V slashed in epoch E within scope S?</w:t>
      </w:r>
    </w:p>
    <w:p>
      <w:pPr>
        <w:pStyle w:val="FirstParagraph"/>
      </w:pPr>
      <w:r>
        <w:t xml:space="preserve">A conforming</w:t>
      </w:r>
      <w:r>
        <w:t xml:space="preserve"> </w:t>
      </w:r>
      <w:r>
        <w:rPr>
          <w:b/>
          <w:bCs/>
        </w:rPr>
        <w:t xml:space="preserve">evidence-query response</w:t>
      </w:r>
      <w:r>
        <w:t xml:space="preserve"> </w:t>
      </w:r>
      <w:r>
        <w:t xml:space="preserve">returns a structured reputation object containing:</w:t>
      </w:r>
    </w:p>
    <w:tbl>
      <w:tblPr>
        <w:tblStyle w:val="Table"/>
        <w:tblLook w:firstRow="1" w:lastRow="0" w:firstColumn="0" w:lastColumn="0" w:noHBand="0" w:noVBand="0" w:val="0020"/>
        <w:tblW w:w="9359"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426"/>
        <w:gridCol w:w="5933"/>
      </w:tblGrid>
      <w:tr>
        <w:trPr>
          <w:tblHeader w:val="on"/>
          <w:tblHeader w:val="true"/>
          <w:cantSplit/>
        </w:trPr>
        <w:tc>
          <w:tcPr>
            <w:tcW w:w="3426"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Response element</w:t>
            </w:r>
          </w:p>
        </w:tc>
        <w:tc>
          <w:tcPr>
            <w:tcW w:w="5933"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Purpose</w:t>
            </w:r>
          </w:p>
        </w:tc>
      </w:tr>
      <w:tr>
        <w:trPr>
          <w:cantSplit/>
        </w:trPr>
        <w:tc>
          <w:tcPr>
            <w:tcW w:w="3426" w:type="dxa"/>
            <w:tcMar>
              <w:top w:w="50" w:type="dxa"/>
              <w:start w:w="90" w:type="dxa"/>
              <w:bottom w:w="50" w:type="dxa"/>
              <w:end w:w="90" w:type="dxa"/>
            </w:tcMar>
          </w:tcPr>
          <w:p>
            <w:pPr>
              <w:pStyle w:val="Compact"/>
              <w:spacing w:after="40" w:before="0"/>
            </w:pPr>
            <w:r>
              <w:rPr>
                <w:rFonts w:ascii="Calibri" w:hAnsi="Calibri"/>
                <w:color w:val="263238"/>
                <w:sz w:val="18"/>
              </w:rPr>
              <w:t xml:space="preserve">Answer state</w:t>
            </w:r>
          </w:p>
        </w:tc>
        <w:tc>
          <w:tcPr>
            <w:tcW w:w="5933" w:type="dxa"/>
            <w:tcMar>
              <w:top w:w="50" w:type="dxa"/>
              <w:start w:w="90" w:type="dxa"/>
              <w:bottom w:w="50" w:type="dxa"/>
              <w:end w:w="90" w:type="dxa"/>
            </w:tcMar>
          </w:tcPr>
          <w:p>
            <w:pPr>
              <w:pStyle w:val="Compact"/>
              <w:spacing w:after="40" w:before="0"/>
            </w:pPr>
            <w:r>
              <w:rPr>
                <w:rFonts w:ascii="Calibri" w:hAnsi="Calibri"/>
                <w:color w:val="263238"/>
                <w:sz w:val="18"/>
              </w:rPr>
              <w:t xml:space="preserve">Yes, no, disputed, or insufficient evidence</w:t>
            </w:r>
          </w:p>
        </w:tc>
      </w:tr>
      <w:tr>
        <w:trPr>
          <w:cantSplit/>
        </w:trPr>
        <w:tc>
          <w:tcPr>
            <w:tcW w:w="3426" w:type="dxa"/>
            <w:tcMar>
              <w:top w:w="50" w:type="dxa"/>
              <w:start w:w="90" w:type="dxa"/>
              <w:bottom w:w="50" w:type="dxa"/>
              <w:end w:w="90" w:type="dxa"/>
            </w:tcMar>
          </w:tcPr>
          <w:p>
            <w:pPr>
              <w:pStyle w:val="Compact"/>
              <w:spacing w:after="40" w:before="0"/>
            </w:pPr>
            <w:r>
              <w:rPr>
                <w:rFonts w:ascii="Calibri" w:hAnsi="Calibri"/>
                <w:color w:val="263238"/>
                <w:sz w:val="18"/>
              </w:rPr>
              <w:t xml:space="preserve">Subject/type/scope/epoch</w:t>
            </w:r>
          </w:p>
        </w:tc>
        <w:tc>
          <w:tcPr>
            <w:tcW w:w="5933" w:type="dxa"/>
            <w:tcMar>
              <w:top w:w="50" w:type="dxa"/>
              <w:start w:w="90" w:type="dxa"/>
              <w:bottom w:w="50" w:type="dxa"/>
              <w:end w:w="90" w:type="dxa"/>
            </w:tcMar>
          </w:tcPr>
          <w:p>
            <w:pPr>
              <w:pStyle w:val="Compact"/>
              <w:spacing w:after="40" w:before="0"/>
            </w:pPr>
            <w:r>
              <w:rPr>
                <w:rFonts w:ascii="Calibri" w:hAnsi="Calibri"/>
                <w:color w:val="263238"/>
                <w:sz w:val="18"/>
              </w:rPr>
              <w:t xml:space="preserve">Prevents reputation from leaking across contexts</w:t>
            </w:r>
          </w:p>
        </w:tc>
      </w:tr>
      <w:tr>
        <w:trPr>
          <w:cantSplit/>
        </w:trPr>
        <w:tc>
          <w:tcPr>
            <w:tcW w:w="3426" w:type="dxa"/>
            <w:tcMar>
              <w:top w:w="50" w:type="dxa"/>
              <w:start w:w="90" w:type="dxa"/>
              <w:bottom w:w="50" w:type="dxa"/>
              <w:end w:w="90" w:type="dxa"/>
            </w:tcMar>
          </w:tcPr>
          <w:p>
            <w:pPr>
              <w:pStyle w:val="Compact"/>
              <w:spacing w:after="40" w:before="0"/>
            </w:pPr>
            <w:r>
              <w:rPr>
                <w:rFonts w:ascii="Calibri" w:hAnsi="Calibri"/>
                <w:color w:val="263238"/>
                <w:sz w:val="18"/>
              </w:rPr>
              <w:t xml:space="preserve">Supporting and refuting event IDs</w:t>
            </w:r>
          </w:p>
        </w:tc>
        <w:tc>
          <w:tcPr>
            <w:tcW w:w="5933" w:type="dxa"/>
            <w:tcMar>
              <w:top w:w="50" w:type="dxa"/>
              <w:start w:w="90" w:type="dxa"/>
              <w:bottom w:w="50" w:type="dxa"/>
              <w:end w:w="90" w:type="dxa"/>
            </w:tcMar>
          </w:tcPr>
          <w:p>
            <w:pPr>
              <w:pStyle w:val="Compact"/>
              <w:spacing w:after="40" w:before="0"/>
            </w:pPr>
            <w:r>
              <w:rPr>
                <w:rFonts w:ascii="Calibri" w:hAnsi="Calibri"/>
                <w:color w:val="263238"/>
                <w:sz w:val="18"/>
              </w:rPr>
              <w:t xml:space="preserve">Makes the answer inspectable</w:t>
            </w:r>
          </w:p>
        </w:tc>
      </w:tr>
      <w:tr>
        <w:trPr>
          <w:cantSplit/>
        </w:trPr>
        <w:tc>
          <w:tcPr>
            <w:tcW w:w="3426" w:type="dxa"/>
            <w:tcMar>
              <w:top w:w="50" w:type="dxa"/>
              <w:start w:w="90" w:type="dxa"/>
              <w:bottom w:w="50" w:type="dxa"/>
              <w:end w:w="90" w:type="dxa"/>
            </w:tcMar>
          </w:tcPr>
          <w:p>
            <w:pPr>
              <w:pStyle w:val="Compact"/>
              <w:spacing w:after="40" w:before="0"/>
            </w:pPr>
            <w:r>
              <w:rPr>
                <w:rFonts w:ascii="Calibri" w:hAnsi="Calibri"/>
                <w:color w:val="263238"/>
                <w:sz w:val="18"/>
              </w:rPr>
              <w:t xml:space="preserve">Provenance summary</w:t>
            </w:r>
          </w:p>
        </w:tc>
        <w:tc>
          <w:tcPr>
            <w:tcW w:w="5933" w:type="dxa"/>
            <w:tcMar>
              <w:top w:w="50" w:type="dxa"/>
              <w:start w:w="90" w:type="dxa"/>
              <w:bottom w:w="50" w:type="dxa"/>
              <w:end w:w="90" w:type="dxa"/>
            </w:tcMar>
          </w:tcPr>
          <w:p>
            <w:pPr>
              <w:pStyle w:val="Compact"/>
              <w:spacing w:after="40" w:before="0"/>
            </w:pPr>
            <w:r>
              <w:rPr>
                <w:rFonts w:ascii="Calibri" w:hAnsi="Calibri"/>
                <w:color w:val="263238"/>
                <w:sz w:val="18"/>
              </w:rPr>
              <w:t xml:space="preserve">Shows source and derivation lineage</w:t>
            </w:r>
          </w:p>
        </w:tc>
      </w:tr>
      <w:tr>
        <w:trPr>
          <w:cantSplit/>
        </w:trPr>
        <w:tc>
          <w:tcPr>
            <w:tcW w:w="3426" w:type="dxa"/>
            <w:tcMar>
              <w:top w:w="50" w:type="dxa"/>
              <w:start w:w="90" w:type="dxa"/>
              <w:bottom w:w="50" w:type="dxa"/>
              <w:end w:w="90" w:type="dxa"/>
            </w:tcMar>
          </w:tcPr>
          <w:p>
            <w:pPr>
              <w:pStyle w:val="Compact"/>
              <w:spacing w:after="40" w:before="0"/>
            </w:pPr>
            <w:r>
              <w:rPr>
                <w:rFonts w:ascii="Calibri" w:hAnsi="Calibri"/>
                <w:color w:val="263238"/>
                <w:sz w:val="18"/>
              </w:rPr>
              <w:t xml:space="preserve">Coverage and freshness</w:t>
            </w:r>
          </w:p>
        </w:tc>
        <w:tc>
          <w:tcPr>
            <w:tcW w:w="5933" w:type="dxa"/>
            <w:tcMar>
              <w:top w:w="50" w:type="dxa"/>
              <w:start w:w="90" w:type="dxa"/>
              <w:bottom w:w="50" w:type="dxa"/>
              <w:end w:w="90" w:type="dxa"/>
            </w:tcMar>
          </w:tcPr>
          <w:p>
            <w:pPr>
              <w:pStyle w:val="Compact"/>
              <w:spacing w:after="40" w:before="0"/>
            </w:pPr>
            <w:r>
              <w:rPr>
                <w:rFonts w:ascii="Calibri" w:hAnsi="Calibri"/>
                <w:color w:val="263238"/>
                <w:sz w:val="18"/>
              </w:rPr>
              <w:t xml:space="preserve">Distinguishes absence of evidence from evidence of absence</w:t>
            </w:r>
          </w:p>
        </w:tc>
      </w:tr>
      <w:tr>
        <w:trPr>
          <w:cantSplit/>
        </w:trPr>
        <w:tc>
          <w:tcPr>
            <w:tcW w:w="3426" w:type="dxa"/>
            <w:tcMar>
              <w:top w:w="50" w:type="dxa"/>
              <w:start w:w="90" w:type="dxa"/>
              <w:bottom w:w="50" w:type="dxa"/>
              <w:end w:w="90" w:type="dxa"/>
            </w:tcMar>
          </w:tcPr>
          <w:p>
            <w:pPr>
              <w:pStyle w:val="Compact"/>
              <w:spacing w:after="40" w:before="0"/>
            </w:pPr>
            <w:r>
              <w:rPr>
                <w:rFonts w:ascii="Calibri" w:hAnsi="Calibri"/>
                <w:color w:val="263238"/>
                <w:sz w:val="18"/>
              </w:rPr>
              <w:t xml:space="preserve">Finalized block, evidence root, and schema; materialization version when separately published</w:t>
            </w:r>
          </w:p>
        </w:tc>
        <w:tc>
          <w:tcPr>
            <w:tcW w:w="5933" w:type="dxa"/>
            <w:tcMar>
              <w:top w:w="50" w:type="dxa"/>
              <w:start w:w="90" w:type="dxa"/>
              <w:bottom w:w="50" w:type="dxa"/>
              <w:end w:w="90" w:type="dxa"/>
            </w:tcMar>
          </w:tcPr>
          <w:p>
            <w:pPr>
              <w:pStyle w:val="Compact"/>
              <w:spacing w:after="40" w:before="0"/>
            </w:pPr>
            <w:r>
              <w:rPr>
                <w:rFonts w:ascii="Calibri" w:hAnsi="Calibri"/>
                <w:color w:val="263238"/>
                <w:sz w:val="18"/>
              </w:rPr>
              <w:t xml:space="preserve">Binds the answer to the exact committed and derived state used, without requiring every bounded core index to have its own version</w:t>
            </w:r>
          </w:p>
        </w:tc>
      </w:tr>
      <w:tr>
        <w:trPr>
          <w:cantSplit/>
        </w:trPr>
        <w:tc>
          <w:tcPr>
            <w:tcW w:w="3426" w:type="dxa"/>
            <w:tcMar>
              <w:top w:w="50" w:type="dxa"/>
              <w:start w:w="90" w:type="dxa"/>
              <w:bottom w:w="50" w:type="dxa"/>
              <w:end w:w="90" w:type="dxa"/>
            </w:tcMar>
          </w:tcPr>
          <w:p>
            <w:pPr>
              <w:pStyle w:val="Compact"/>
              <w:spacing w:after="40" w:before="0"/>
            </w:pPr>
            <w:r>
              <w:rPr>
                <w:rFonts w:ascii="Calibri" w:hAnsi="Calibri"/>
                <w:color w:val="263238"/>
                <w:sz w:val="18"/>
              </w:rPr>
              <w:t xml:space="preserve">Verification material</w:t>
            </w:r>
          </w:p>
        </w:tc>
        <w:tc>
          <w:tcPr>
            <w:tcW w:w="5933" w:type="dxa"/>
            <w:tcMar>
              <w:top w:w="50" w:type="dxa"/>
              <w:start w:w="90" w:type="dxa"/>
              <w:bottom w:w="50" w:type="dxa"/>
              <w:end w:w="90" w:type="dxa"/>
            </w:tcMar>
          </w:tcPr>
          <w:p>
            <w:pPr>
              <w:pStyle w:val="Compact"/>
              <w:spacing w:after="40" w:before="0"/>
            </w:pPr>
            <w:r>
              <w:rPr>
                <w:rFonts w:ascii="Calibri" w:hAnsi="Calibri"/>
                <w:color w:val="263238"/>
                <w:sz w:val="18"/>
              </w:rPr>
              <w:t xml:space="preserve">Signatures, checkpoint assertions, and inclusion material as applicable</w:t>
            </w:r>
          </w:p>
        </w:tc>
      </w:tr>
      <w:tr>
        <w:trPr>
          <w:cantSplit/>
        </w:trPr>
        <w:tc>
          <w:tcPr>
            <w:tcW w:w="3426" w:type="dxa"/>
            <w:tcMar>
              <w:top w:w="50" w:type="dxa"/>
              <w:start w:w="90" w:type="dxa"/>
              <w:bottom w:w="50" w:type="dxa"/>
              <w:end w:w="90" w:type="dxa"/>
            </w:tcMar>
          </w:tcPr>
          <w:p>
            <w:pPr>
              <w:pStyle w:val="Compact"/>
              <w:spacing w:after="40" w:before="0"/>
            </w:pPr>
            <w:r>
              <w:rPr>
                <w:rFonts w:ascii="Calibri" w:hAnsi="Calibri"/>
                <w:color w:val="263238"/>
                <w:sz w:val="18"/>
              </w:rPr>
              <w:t xml:space="preserve">Availability and omission state</w:t>
            </w:r>
          </w:p>
        </w:tc>
        <w:tc>
          <w:tcPr>
            <w:tcW w:w="5933" w:type="dxa"/>
            <w:tcMar>
              <w:top w:w="50" w:type="dxa"/>
              <w:start w:w="90" w:type="dxa"/>
              <w:bottom w:w="50" w:type="dxa"/>
              <w:end w:w="90" w:type="dxa"/>
            </w:tcMar>
          </w:tcPr>
          <w:p>
            <w:pPr>
              <w:pStyle w:val="Compact"/>
              <w:spacing w:after="40" w:before="0"/>
            </w:pPr>
            <w:r>
              <w:rPr>
                <w:rFonts w:ascii="Calibri" w:hAnsi="Calibri"/>
                <w:color w:val="263238"/>
                <w:sz w:val="18"/>
              </w:rPr>
              <w:t xml:space="preserve">Identifies missing, unavailable, redacted, disputed, or out-of-authority material</w:t>
            </w:r>
          </w:p>
        </w:tc>
      </w:tr>
      <w:tr>
        <w:trPr>
          <w:cantSplit/>
        </w:trPr>
        <w:tc>
          <w:tcPr>
            <w:tcW w:w="3426" w:type="dxa"/>
            <w:tcMar>
              <w:top w:w="50" w:type="dxa"/>
              <w:start w:w="90" w:type="dxa"/>
              <w:bottom w:w="50" w:type="dxa"/>
              <w:end w:w="90" w:type="dxa"/>
            </w:tcMar>
          </w:tcPr>
          <w:p>
            <w:pPr>
              <w:pStyle w:val="Compact"/>
              <w:spacing w:after="40" w:before="0"/>
            </w:pPr>
            <w:r>
              <w:rPr>
                <w:rFonts w:ascii="Calibri" w:hAnsi="Calibri"/>
                <w:color w:val="263238"/>
                <w:sz w:val="18"/>
              </w:rPr>
              <w:t xml:space="preserve">Privacy redactions</w:t>
            </w:r>
          </w:p>
        </w:tc>
        <w:tc>
          <w:tcPr>
            <w:tcW w:w="5933" w:type="dxa"/>
            <w:tcMar>
              <w:top w:w="50" w:type="dxa"/>
              <w:start w:w="90" w:type="dxa"/>
              <w:bottom w:w="50" w:type="dxa"/>
              <w:end w:w="90" w:type="dxa"/>
            </w:tcMar>
          </w:tcPr>
          <w:p>
            <w:pPr>
              <w:pStyle w:val="Compact"/>
              <w:spacing w:after="40" w:before="0"/>
            </w:pPr>
            <w:r>
              <w:rPr>
                <w:rFonts w:ascii="Calibri" w:hAnsi="Calibri"/>
                <w:color w:val="263238"/>
                <w:sz w:val="18"/>
              </w:rPr>
              <w:t xml:space="preserve">States what was withheld and under which policy without implying that the visible subset is complete</w:t>
            </w:r>
          </w:p>
        </w:tc>
      </w:tr>
    </w:tbl>
    <w:p>
      <w:pPr>
        <w:pStyle w:val="BodyText"/>
      </w:pPr>
      <w:r>
        <w:rPr>
          <w:b/>
          <w:bCs/>
        </w:rPr>
        <w:t xml:space="preserve">Running example.</w:t>
      </w:r>
      <w:r>
        <w:t xml:space="preserve"> </w:t>
      </w:r>
      <w:r>
        <w:t xml:space="preserve">David asks:</w:t>
      </w:r>
      <w:r>
        <w:t xml:space="preserve"> </w:t>
      </w:r>
      <w:r>
        <w:rPr>
          <w:i/>
          <w:iCs/>
        </w:rPr>
        <w:t xml:space="preserve">Was Carol slashed in epoch 210 within</w:t>
      </w:r>
      <w:r>
        <w:rPr>
          <w:i/>
          <w:iCs/>
        </w:rPr>
        <w:t xml:space="preserve"> </w:t>
      </w:r>
      <w:r>
        <w:rPr>
          <w:rStyle w:val="VerbatimChar"/>
          <w:i/>
          <w:iCs/>
        </w:rPr>
        <w:t xml:space="preserve">chain-x</w:t>
      </w:r>
      <w:r>
        <w:rPr>
          <w:i/>
          <w:iCs/>
        </w:rPr>
        <w:t xml:space="preserve">?</w:t>
      </w:r>
      <w:r>
        <w:t xml:space="preserve"> </w:t>
      </w:r>
      <w:r>
        <w:t xml:space="preserve">The response is a structured reputation object — assembled at query time about subject Carol, for requester David, against the current evidence root. Element by element:</w:t>
      </w:r>
    </w:p>
    <w:tbl>
      <w:tblPr>
        <w:tblStyle w:val="Table"/>
        <w:tblLook w:firstRow="1" w:lastRow="0" w:firstColumn="0" w:lastColumn="0" w:noHBand="0" w:noVBand="0" w:val="0020"/>
        <w:tblW w:w="9359"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299"/>
        <w:gridCol w:w="6060"/>
      </w:tblGrid>
      <w:tr>
        <w:trPr>
          <w:tblHeader w:val="on"/>
          <w:tblHeader w:val="true"/>
          <w:cantSplit/>
        </w:trPr>
        <w:tc>
          <w:tcPr>
            <w:tcW w:w="3299"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Response element</w:t>
            </w:r>
          </w:p>
        </w:tc>
        <w:tc>
          <w:tcPr>
            <w:tcW w:w="6060"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In David's answer</w:t>
            </w:r>
          </w:p>
        </w:tc>
      </w:tr>
      <w:tr>
        <w:trPr>
          <w:cantSplit/>
        </w:trPr>
        <w:tc>
          <w:tcPr>
            <w:tcW w:w="3299" w:type="dxa"/>
            <w:tcMar>
              <w:top w:w="50" w:type="dxa"/>
              <w:start w:w="90" w:type="dxa"/>
              <w:bottom w:w="50" w:type="dxa"/>
              <w:end w:w="90" w:type="dxa"/>
            </w:tcMar>
          </w:tcPr>
          <w:p>
            <w:pPr>
              <w:pStyle w:val="Compact"/>
              <w:spacing w:after="40" w:before="0"/>
            </w:pPr>
            <w:r>
              <w:rPr>
                <w:rFonts w:ascii="Calibri" w:hAnsi="Calibri"/>
                <w:color w:val="263238"/>
                <w:sz w:val="18"/>
              </w:rPr>
              <w:t xml:space="preserve">Answer state</w:t>
            </w:r>
          </w:p>
        </w:tc>
        <w:tc>
          <w:tcPr>
            <w:tcW w:w="6060" w:type="dxa"/>
            <w:tcMar>
              <w:top w:w="50" w:type="dxa"/>
              <w:start w:w="90" w:type="dxa"/>
              <w:bottom w:w="50" w:type="dxa"/>
              <w:end w:w="90" w:type="dxa"/>
            </w:tcMar>
          </w:tcPr>
          <w:p>
            <w:pPr>
              <w:pStyle w:val="Compact"/>
              <w:spacing w:after="40" w:before="0"/>
            </w:pPr>
            <w:r>
              <w:rPr>
                <w:rFonts w:ascii="Calibri" w:hAnsi="Calibri"/>
                <w:b/>
                <w:bCs/>
                <w:color w:val="263238"/>
                <w:sz w:val="18"/>
              </w:rPr>
              <w:t xml:space="preserve">Yes</w:t>
            </w:r>
          </w:p>
        </w:tc>
      </w:tr>
      <w:tr>
        <w:trPr>
          <w:cantSplit/>
        </w:trPr>
        <w:tc>
          <w:tcPr>
            <w:tcW w:w="3299" w:type="dxa"/>
            <w:tcMar>
              <w:top w:w="50" w:type="dxa"/>
              <w:start w:w="90" w:type="dxa"/>
              <w:bottom w:w="50" w:type="dxa"/>
              <w:end w:w="90" w:type="dxa"/>
            </w:tcMar>
          </w:tcPr>
          <w:p>
            <w:pPr>
              <w:pStyle w:val="Compact"/>
              <w:spacing w:after="40" w:before="0"/>
            </w:pPr>
            <w:r>
              <w:rPr>
                <w:rFonts w:ascii="Calibri" w:hAnsi="Calibri"/>
                <w:color w:val="263238"/>
                <w:sz w:val="18"/>
              </w:rPr>
              <w:t xml:space="preserve">Supporting / refuting evidence</w:t>
            </w:r>
          </w:p>
        </w:tc>
        <w:tc>
          <w:tcPr>
            <w:tcW w:w="6060" w:type="dxa"/>
            <w:tcMar>
              <w:top w:w="50" w:type="dxa"/>
              <w:start w:w="90" w:type="dxa"/>
              <w:bottom w:w="50" w:type="dxa"/>
              <w:end w:w="90" w:type="dxa"/>
            </w:tcMar>
          </w:tcPr>
          <w:p>
            <w:pPr>
              <w:pStyle w:val="Compact"/>
              <w:spacing w:after="40" w:before="0"/>
            </w:pPr>
            <w:r>
              <w:rPr>
                <w:rFonts w:ascii="Calibri" w:hAnsi="Calibri"/>
                <w:color w:val="263238"/>
                <w:sz w:val="18"/>
              </w:rPr>
              <w:t xml:space="preserve">Alice's import</w:t>
            </w:r>
            <w:r>
              <w:rPr>
                <w:rFonts w:ascii="Calibri" w:hAnsi="Calibri"/>
                <w:color w:val="263238"/>
                <w:sz w:val="18"/>
              </w:rPr>
              <w:t xml:space="preserve"> </w:t>
            </w:r>
            <w:r>
              <w:rPr>
                <w:rStyle w:val="VerbatimChar"/>
                <w:rFonts w:ascii="Calibri" w:hAnsi="Calibri"/>
                <w:color w:val="263238"/>
                <w:sz w:val="18"/>
              </w:rPr>
              <w:t xml:space="preserve">evt-7f3a…</w:t>
            </w:r>
            <w:r>
              <w:rPr>
                <w:rFonts w:ascii="Calibri" w:hAnsi="Calibri"/>
                <w:color w:val="263238"/>
                <w:sz w:val="18"/>
              </w:rPr>
              <w:t xml:space="preserve"> </w:t>
            </w:r>
            <w:r>
              <w:rPr>
                <w:rFonts w:ascii="Calibri" w:hAnsi="Calibri"/>
                <w:color w:val="263238"/>
                <w:sz w:val="18"/>
              </w:rPr>
              <w:t xml:space="preserve">(witnessed, externally attested) / none</w:t>
            </w:r>
          </w:p>
        </w:tc>
      </w:tr>
      <w:tr>
        <w:trPr>
          <w:cantSplit/>
        </w:trPr>
        <w:tc>
          <w:tcPr>
            <w:tcW w:w="3299" w:type="dxa"/>
            <w:tcMar>
              <w:top w:w="50" w:type="dxa"/>
              <w:start w:w="90" w:type="dxa"/>
              <w:bottom w:w="50" w:type="dxa"/>
              <w:end w:w="90" w:type="dxa"/>
            </w:tcMar>
          </w:tcPr>
          <w:p>
            <w:pPr>
              <w:pStyle w:val="Compact"/>
              <w:spacing w:after="40" w:before="0"/>
            </w:pPr>
            <w:r>
              <w:rPr>
                <w:rFonts w:ascii="Calibri" w:hAnsi="Calibri"/>
                <w:color w:val="263238"/>
                <w:sz w:val="18"/>
              </w:rPr>
              <w:t xml:space="preserve">Coverage</w:t>
            </w:r>
          </w:p>
        </w:tc>
        <w:tc>
          <w:tcPr>
            <w:tcW w:w="6060" w:type="dxa"/>
            <w:tcMar>
              <w:top w:w="50" w:type="dxa"/>
              <w:start w:w="90" w:type="dxa"/>
              <w:bottom w:w="50" w:type="dxa"/>
              <w:end w:w="90" w:type="dxa"/>
            </w:tcMar>
          </w:tcPr>
          <w:p>
            <w:pPr>
              <w:pStyle w:val="Compact"/>
              <w:spacing w:after="40" w:before="0"/>
            </w:pPr>
            <w:r>
              <w:rPr>
                <w:rFonts w:ascii="Calibri" w:hAnsi="Calibri"/>
                <w:color w:val="263238"/>
                <w:sz w:val="18"/>
              </w:rPr>
              <w:t xml:space="preserve">Full epoch-210 observation window for</w:t>
            </w:r>
            <w:r>
              <w:rPr>
                <w:rFonts w:ascii="Calibri" w:hAnsi="Calibri"/>
                <w:color w:val="263238"/>
                <w:sz w:val="18"/>
              </w:rPr>
              <w:t xml:space="preserve"> </w:t>
            </w:r>
            <w:r>
              <w:rPr>
                <w:rStyle w:val="VerbatimChar"/>
                <w:rFonts w:ascii="Calibri" w:hAnsi="Calibri"/>
                <w:color w:val="263238"/>
                <w:sz w:val="18"/>
              </w:rPr>
              <w:t xml:space="preserve">chain-x</w:t>
            </w:r>
            <w:r>
              <w:rPr>
                <w:rFonts w:ascii="Calibri" w:hAnsi="Calibri"/>
                <w:color w:val="263238"/>
                <w:sz w:val="18"/>
              </w:rPr>
              <w:t xml:space="preserve"> </w:t>
            </w:r>
            <w:r>
              <w:rPr>
                <w:rFonts w:ascii="Calibri" w:hAnsi="Calibri"/>
                <w:color w:val="263238"/>
                <w:sz w:val="18"/>
              </w:rPr>
              <w:t xml:space="preserve">slashing checked; no gaps</w:t>
            </w:r>
          </w:p>
        </w:tc>
      </w:tr>
      <w:tr>
        <w:trPr>
          <w:cantSplit/>
        </w:trPr>
        <w:tc>
          <w:tcPr>
            <w:tcW w:w="3299" w:type="dxa"/>
            <w:tcMar>
              <w:top w:w="50" w:type="dxa"/>
              <w:start w:w="90" w:type="dxa"/>
              <w:bottom w:w="50" w:type="dxa"/>
              <w:end w:w="90" w:type="dxa"/>
            </w:tcMar>
          </w:tcPr>
          <w:p>
            <w:pPr>
              <w:pStyle w:val="Compact"/>
              <w:spacing w:after="40" w:before="0"/>
            </w:pPr>
            <w:r>
              <w:rPr>
                <w:rFonts w:ascii="Calibri" w:hAnsi="Calibri"/>
                <w:color w:val="263238"/>
                <w:sz w:val="18"/>
              </w:rPr>
              <w:t xml:space="preserve">Freshness and root</w:t>
            </w:r>
          </w:p>
        </w:tc>
        <w:tc>
          <w:tcPr>
            <w:tcW w:w="6060" w:type="dxa"/>
            <w:tcMar>
              <w:top w:w="50" w:type="dxa"/>
              <w:start w:w="90" w:type="dxa"/>
              <w:bottom w:w="50" w:type="dxa"/>
              <w:end w:w="90" w:type="dxa"/>
            </w:tcMar>
          </w:tcPr>
          <w:p>
            <w:pPr>
              <w:pStyle w:val="Compact"/>
              <w:spacing w:after="40" w:before="0"/>
            </w:pPr>
            <w:r>
              <w:rPr>
                <w:rFonts w:ascii="Calibri" w:hAnsi="Calibri"/>
                <w:color w:val="263238"/>
                <w:sz w:val="18"/>
              </w:rPr>
              <w:t xml:space="preserve">Answered against evidence root</w:t>
            </w:r>
            <w:r>
              <w:rPr>
                <w:rFonts w:ascii="Calibri" w:hAnsi="Calibri"/>
                <w:color w:val="263238"/>
                <w:sz w:val="18"/>
              </w:rPr>
              <w:t xml:space="preserve"> </w:t>
            </w:r>
            <w:r>
              <w:rPr>
                <w:rStyle w:val="VerbatimChar"/>
                <w:rFonts w:ascii="Calibri" w:hAnsi="Calibri"/>
                <w:color w:val="263238"/>
                <w:sz w:val="18"/>
              </w:rPr>
              <w:t xml:space="preserve">r-9d2c…</w:t>
            </w:r>
            <w:r>
              <w:rPr>
                <w:rFonts w:ascii="Calibri" w:hAnsi="Calibri"/>
                <w:color w:val="263238"/>
                <w:sz w:val="18"/>
              </w:rPr>
              <w:t xml:space="preserve"> </w:t>
            </w:r>
            <w:r>
              <w:rPr>
                <w:rFonts w:ascii="Calibri" w:hAnsi="Calibri"/>
                <w:color w:val="263238"/>
                <w:sz w:val="18"/>
              </w:rPr>
              <w:t xml:space="preserve">as committed at epoch 212</w:t>
            </w:r>
          </w:p>
        </w:tc>
      </w:tr>
      <w:tr>
        <w:trPr>
          <w:cantSplit/>
        </w:trPr>
        <w:tc>
          <w:tcPr>
            <w:tcW w:w="3299" w:type="dxa"/>
            <w:tcMar>
              <w:top w:w="50" w:type="dxa"/>
              <w:start w:w="90" w:type="dxa"/>
              <w:bottom w:w="50" w:type="dxa"/>
              <w:end w:w="90" w:type="dxa"/>
            </w:tcMar>
          </w:tcPr>
          <w:p>
            <w:pPr>
              <w:pStyle w:val="Compact"/>
              <w:spacing w:after="40" w:before="0"/>
            </w:pPr>
            <w:r>
              <w:rPr>
                <w:rFonts w:ascii="Calibri" w:hAnsi="Calibri"/>
                <w:color w:val="263238"/>
                <w:sz w:val="18"/>
              </w:rPr>
              <w:t xml:space="preserve">Verification material</w:t>
            </w:r>
          </w:p>
        </w:tc>
        <w:tc>
          <w:tcPr>
            <w:tcW w:w="6060" w:type="dxa"/>
            <w:tcMar>
              <w:top w:w="50" w:type="dxa"/>
              <w:start w:w="90" w:type="dxa"/>
              <w:bottom w:w="50" w:type="dxa"/>
              <w:end w:w="90" w:type="dxa"/>
            </w:tcMar>
          </w:tcPr>
          <w:p>
            <w:pPr>
              <w:pStyle w:val="Compact"/>
              <w:spacing w:after="40" w:before="0"/>
            </w:pPr>
            <w:r>
              <w:rPr>
                <w:rFonts w:ascii="Calibri" w:hAnsi="Calibri"/>
                <w:color w:val="263238"/>
                <w:sz w:val="18"/>
              </w:rPr>
              <w:t xml:space="preserve">Alice's signature; the</w:t>
            </w:r>
            <w:r>
              <w:rPr>
                <w:rFonts w:ascii="Calibri" w:hAnsi="Calibri"/>
                <w:color w:val="263238"/>
                <w:sz w:val="18"/>
              </w:rPr>
              <w:t xml:space="preserve"> </w:t>
            </w:r>
            <w:r>
              <w:rPr>
                <w:rStyle w:val="VerbatimChar"/>
                <w:rFonts w:ascii="Calibri" w:hAnsi="Calibri"/>
                <w:color w:val="263238"/>
                <w:sz w:val="18"/>
              </w:rPr>
              <w:t xml:space="preserve">chain-x</w:t>
            </w:r>
            <w:r>
              <w:rPr>
                <w:rFonts w:ascii="Calibri" w:hAnsi="Calibri"/>
                <w:color w:val="263238"/>
                <w:sz w:val="18"/>
              </w:rPr>
              <w:t xml:space="preserve"> </w:t>
            </w:r>
            <w:r>
              <w:rPr>
                <w:rFonts w:ascii="Calibri" w:hAnsi="Calibri"/>
                <w:color w:val="263238"/>
                <w:sz w:val="18"/>
              </w:rPr>
              <w:t xml:space="preserve">checkpoint assertion; inclusion material under that root</w:t>
            </w:r>
          </w:p>
        </w:tc>
      </w:tr>
      <w:tr>
        <w:trPr>
          <w:cantSplit/>
        </w:trPr>
        <w:tc>
          <w:tcPr>
            <w:tcW w:w="3299" w:type="dxa"/>
            <w:tcMar>
              <w:top w:w="50" w:type="dxa"/>
              <w:start w:w="90" w:type="dxa"/>
              <w:bottom w:w="50" w:type="dxa"/>
              <w:end w:w="90" w:type="dxa"/>
            </w:tcMar>
          </w:tcPr>
          <w:p>
            <w:pPr>
              <w:pStyle w:val="Compact"/>
              <w:spacing w:after="40" w:before="0"/>
            </w:pPr>
            <w:r>
              <w:rPr>
                <w:rFonts w:ascii="Calibri" w:hAnsi="Calibri"/>
                <w:color w:val="263238"/>
                <w:sz w:val="18"/>
              </w:rPr>
              <w:t xml:space="preserve">Omissions and redactions</w:t>
            </w:r>
          </w:p>
        </w:tc>
        <w:tc>
          <w:tcPr>
            <w:tcW w:w="6060" w:type="dxa"/>
            <w:tcMar>
              <w:top w:w="50" w:type="dxa"/>
              <w:start w:w="90" w:type="dxa"/>
              <w:bottom w:w="50" w:type="dxa"/>
              <w:end w:w="90" w:type="dxa"/>
            </w:tcMar>
          </w:tcPr>
          <w:p>
            <w:pPr>
              <w:pStyle w:val="Compact"/>
              <w:spacing w:after="40" w:before="0"/>
            </w:pPr>
            <w:r>
              <w:rPr>
                <w:rFonts w:ascii="Calibri" w:hAnsi="Calibri"/>
                <w:color w:val="263238"/>
                <w:sz w:val="18"/>
              </w:rPr>
              <w:t xml:space="preserve">None withheld</w:t>
            </w:r>
          </w:p>
        </w:tc>
      </w:tr>
    </w:tbl>
    <w:p>
      <w:pPr>
        <w:pStyle w:val="BodyText"/>
      </w:pPr>
      <w:r>
        <w:t xml:space="preserve">Contrast the upgrade question —</w:t>
      </w:r>
      <w:r>
        <w:t xml:space="preserve"> </w:t>
      </w:r>
      <w:r>
        <w:rPr>
          <w:i/>
          <w:iCs/>
        </w:rPr>
        <w:t xml:space="preserve">Did Carol complete the epoch-212 upgrade?</w:t>
      </w:r>
      <w:r>
        <w:t xml:space="preserve"> </w:t>
      </w:r>
      <w:r>
        <w:t xml:space="preserve">— which returns answer state</w:t>
      </w:r>
      <w:r>
        <w:t xml:space="preserve"> </w:t>
      </w:r>
      <w:r>
        <w:rPr>
          <w:b/>
          <w:bCs/>
        </w:rPr>
        <w:t xml:space="preserve">disputed</w:t>
      </w:r>
      <w:r>
        <w:t xml:space="preserve">, with Carol's self-claim on one side and Bob's refutation on the other, both inspectable. Neither answer contains a score.</w:t>
      </w:r>
    </w:p>
    <w:p>
      <w:pPr>
        <w:pStyle w:val="BodyText"/>
      </w:pPr>
      <w:r>
        <w:t xml:space="preserve">An evidence-query response does not contain a projection score unless the caller separately requests a declared projection. If an answer requires a community-specific adjudication or weighting policy rather than direct evidence semantics, it is a projection result and must identify that policy. The access path may be an on-chain call, a native node interface, cross-shard transport, or an optional adapter; it does not change the response semantics or state binding.</w:t>
      </w:r>
    </w:p>
    <w:p>
      <w:pPr>
        <w:pStyle w:val="BodyText"/>
      </w:pPr>
      <w:r>
        <w:t xml:space="preserve">A conforming</w:t>
      </w:r>
      <w:r>
        <w:t xml:space="preserve"> </w:t>
      </w:r>
      <w:r>
        <w:rPr>
          <w:b/>
          <w:bCs/>
        </w:rPr>
        <w:t xml:space="preserve">projection-result response</w:t>
      </w:r>
      <w:r>
        <w:t xml:space="preserve"> </w:t>
      </w:r>
      <w:r>
        <w:t xml:space="preserve">contains the declared output; subject or aggregation scope; reputation type; source/domain checkpoint assertion; epoch/cutoff; input evidence root; projection policy version; correction policy/lineage; schema/runtime compatibility version; result root; coverage/freshness; and applicable signer, validator-set, or certification version. Evidence queries and projection-result queries may share transport, but not an ambiguous response contract.</w:t>
      </w:r>
    </w:p>
    <w:p>
      <w:pPr>
        <w:pStyle w:val="BodyText"/>
      </w:pPr>
      <w:r>
        <w:t xml:space="preserve">Other initial query shapes are a Gate 1 product decision (Q4). Bounded lookup and traversal patterns are an architecture decision (Q26).</w:t>
      </w:r>
    </w:p>
    <w:bookmarkEnd w:id="19"/>
    <w:bookmarkStart w:id="21" w:name="Xf824d41b3c39aa9b41e16f3c1eb5a4b5c6f7c03"/>
    <w:p>
      <w:pPr>
        <w:pStyle w:val="Heading1"/>
      </w:pPr>
      <w:r>
        <w:t xml:space="preserve">9. Actor and dispute semantics</w:t>
      </w:r>
    </w:p>
    <w:p>
      <w:pPr>
        <w:pStyle w:val="FirstParagraph"/>
      </w:pPr>
      <w:r>
        <w:t xml:space="preserve">The table restates UJ-1 through UJ-4 and adds the related dispute-response and consumer-import interactions.</w:t>
      </w:r>
    </w:p>
    <w:tbl>
      <w:tblPr>
        <w:tblStyle w:val="Table"/>
        <w:tblLook w:firstRow="1" w:lastRow="0" w:firstColumn="0" w:lastColumn="0" w:noHBand="0" w:noVBand="0" w:val="0020"/>
        <w:tblW w:w="9359"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228"/>
        <w:gridCol w:w="7131"/>
      </w:tblGrid>
      <w:tr>
        <w:trPr>
          <w:tblHeader w:val="on"/>
          <w:tblHeader w:val="true"/>
          <w:cantSplit/>
        </w:trPr>
        <w:tc>
          <w:tcPr>
            <w:tcW w:w="2228"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Interaction</w:t>
            </w:r>
          </w:p>
        </w:tc>
        <w:tc>
          <w:tcPr>
            <w:tcW w:w="7131"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Required semantic treatment</w:t>
            </w:r>
          </w:p>
        </w:tc>
      </w:tr>
      <w:tr>
        <w:trPr>
          <w:cantSplit/>
        </w:trPr>
        <w:tc>
          <w:tcPr>
            <w:tcW w:w="2228" w:type="dxa"/>
            <w:tcMar>
              <w:top w:w="50" w:type="dxa"/>
              <w:start w:w="90" w:type="dxa"/>
              <w:bottom w:w="50" w:type="dxa"/>
              <w:end w:w="90" w:type="dxa"/>
            </w:tcMar>
          </w:tcPr>
          <w:p>
            <w:pPr>
              <w:pStyle w:val="Compact"/>
              <w:spacing w:after="40" w:before="0"/>
            </w:pPr>
            <w:r>
              <w:rPr>
                <w:rFonts w:ascii="Calibri" w:hAnsi="Calibri"/>
                <w:color w:val="263238"/>
                <w:sz w:val="18"/>
              </w:rPr>
              <w:t xml:space="preserve">Truster imports external-chain data</w:t>
            </w:r>
          </w:p>
        </w:tc>
        <w:tc>
          <w:tcPr>
            <w:tcW w:w="7131" w:type="dxa"/>
            <w:tcMar>
              <w:top w:w="50" w:type="dxa"/>
              <w:start w:w="90" w:type="dxa"/>
              <w:bottom w:w="50" w:type="dxa"/>
              <w:end w:w="90" w:type="dxa"/>
            </w:tcMar>
          </w:tcPr>
          <w:p>
            <w:pPr>
              <w:pStyle w:val="Compact"/>
              <w:spacing w:after="40" w:before="0"/>
            </w:pPr>
            <w:r>
              <w:rPr>
                <w:rFonts w:ascii="Calibri" w:hAnsi="Calibri"/>
                <w:color w:val="263238"/>
                <w:sz w:val="18"/>
              </w:rPr>
              <w:t xml:space="preserve">Label as externally attested; bind source/checkpoint and coverage interval; preserve relayed lineage; do not infer source finality or completeness from the truster signature alone</w:t>
            </w:r>
          </w:p>
        </w:tc>
      </w:tr>
      <w:tr>
        <w:trPr>
          <w:cantSplit/>
        </w:trPr>
        <w:tc>
          <w:tcPr>
            <w:tcW w:w="2228" w:type="dxa"/>
            <w:tcMar>
              <w:top w:w="50" w:type="dxa"/>
              <w:start w:w="90" w:type="dxa"/>
              <w:bottom w:w="50" w:type="dxa"/>
              <w:end w:w="90" w:type="dxa"/>
            </w:tcMar>
          </w:tcPr>
          <w:p>
            <w:pPr>
              <w:pStyle w:val="Compact"/>
              <w:spacing w:after="40" w:before="0"/>
            </w:pPr>
            <w:r>
              <w:rPr>
                <w:rFonts w:ascii="Calibri" w:hAnsi="Calibri"/>
                <w:color w:val="263238"/>
                <w:sz w:val="18"/>
              </w:rPr>
              <w:t xml:space="preserve">Validator makes a self-claim</w:t>
            </w:r>
          </w:p>
        </w:tc>
        <w:tc>
          <w:tcPr>
            <w:tcW w:w="7131" w:type="dxa"/>
            <w:tcMar>
              <w:top w:w="50" w:type="dxa"/>
              <w:start w:w="90" w:type="dxa"/>
              <w:bottom w:w="50" w:type="dxa"/>
              <w:end w:w="90" w:type="dxa"/>
            </w:tcMar>
          </w:tcPr>
          <w:p>
            <w:pPr>
              <w:pStyle w:val="Compact"/>
              <w:spacing w:after="40" w:before="0"/>
            </w:pPr>
            <w:r>
              <w:rPr>
                <w:rFonts w:ascii="Calibri" w:hAnsi="Calibri"/>
                <w:color w:val="263238"/>
                <w:sz w:val="18"/>
              </w:rPr>
              <w:t xml:space="preserve">Label issuer equals subject; verify authority and supporting reference; do not upgrade to independent evidence merely because the signature is valid</w:t>
            </w:r>
          </w:p>
        </w:tc>
      </w:tr>
      <w:tr>
        <w:trPr>
          <w:cantSplit/>
        </w:trPr>
        <w:tc>
          <w:tcPr>
            <w:tcW w:w="2228" w:type="dxa"/>
            <w:tcMar>
              <w:top w:w="50" w:type="dxa"/>
              <w:start w:w="90" w:type="dxa"/>
              <w:bottom w:w="50" w:type="dxa"/>
              <w:end w:w="90" w:type="dxa"/>
            </w:tcMar>
          </w:tcPr>
          <w:p>
            <w:pPr>
              <w:pStyle w:val="Compact"/>
              <w:spacing w:after="40" w:before="0"/>
            </w:pPr>
            <w:r>
              <w:rPr>
                <w:rFonts w:ascii="Calibri" w:hAnsi="Calibri"/>
                <w:color w:val="263238"/>
                <w:sz w:val="18"/>
              </w:rPr>
              <w:t xml:space="preserve">Validator or observer claims about a peer</w:t>
            </w:r>
          </w:p>
        </w:tc>
        <w:tc>
          <w:tcPr>
            <w:tcW w:w="7131" w:type="dxa"/>
            <w:tcMar>
              <w:top w:w="50" w:type="dxa"/>
              <w:start w:w="90" w:type="dxa"/>
              <w:bottom w:w="50" w:type="dxa"/>
              <w:end w:w="90" w:type="dxa"/>
            </w:tcMar>
          </w:tcPr>
          <w:p>
            <w:pPr>
              <w:pStyle w:val="Compact"/>
              <w:spacing w:after="40" w:before="0"/>
            </w:pPr>
            <w:r>
              <w:rPr>
                <w:rFonts w:ascii="Calibri" w:hAnsi="Calibri"/>
                <w:color w:val="263238"/>
                <w:sz w:val="18"/>
              </w:rPr>
              <w:t xml:space="preserve">Verify event-kind/type/scope authority; retain target and provenance; allow conflicting evidence to produce a disputed state</w:t>
            </w:r>
          </w:p>
        </w:tc>
      </w:tr>
      <w:tr>
        <w:trPr>
          <w:cantSplit/>
        </w:trPr>
        <w:tc>
          <w:tcPr>
            <w:tcW w:w="2228" w:type="dxa"/>
            <w:tcMar>
              <w:top w:w="50" w:type="dxa"/>
              <w:start w:w="90" w:type="dxa"/>
              <w:bottom w:w="50" w:type="dxa"/>
              <w:end w:w="90" w:type="dxa"/>
            </w:tcMar>
          </w:tcPr>
          <w:p>
            <w:pPr>
              <w:pStyle w:val="Compact"/>
              <w:spacing w:after="40" w:before="0"/>
            </w:pPr>
            <w:r>
              <w:rPr>
                <w:rFonts w:ascii="Calibri" w:hAnsi="Calibri"/>
                <w:color w:val="263238"/>
                <w:sz w:val="18"/>
              </w:rPr>
              <w:t xml:space="preserve">Subject responds or disputes</w:t>
            </w:r>
          </w:p>
        </w:tc>
        <w:tc>
          <w:tcPr>
            <w:tcW w:w="7131" w:type="dxa"/>
            <w:tcMar>
              <w:top w:w="50" w:type="dxa"/>
              <w:start w:w="90" w:type="dxa"/>
              <w:bottom w:w="50" w:type="dxa"/>
              <w:end w:w="90" w:type="dxa"/>
            </w:tcMar>
          </w:tcPr>
          <w:p>
            <w:pPr>
              <w:pStyle w:val="Compact"/>
              <w:spacing w:after="40" w:before="0"/>
            </w:pPr>
            <w:r>
              <w:rPr>
                <w:rFonts w:ascii="Calibri" w:hAnsi="Calibri"/>
                <w:color w:val="263238"/>
                <w:sz w:val="18"/>
              </w:rPr>
              <w:t xml:space="preserve">Append a counterclaim, refutation, correction, or appeal event; preserve response rights and status; never erase the challenged event</w:t>
            </w:r>
          </w:p>
        </w:tc>
      </w:tr>
      <w:tr>
        <w:trPr>
          <w:cantSplit/>
        </w:trPr>
        <w:tc>
          <w:tcPr>
            <w:tcW w:w="2228" w:type="dxa"/>
            <w:tcMar>
              <w:top w:w="50" w:type="dxa"/>
              <w:start w:w="90" w:type="dxa"/>
              <w:bottom w:w="50" w:type="dxa"/>
              <w:end w:w="90" w:type="dxa"/>
            </w:tcMar>
          </w:tcPr>
          <w:p>
            <w:pPr>
              <w:pStyle w:val="Compact"/>
              <w:spacing w:after="40" w:before="0"/>
            </w:pPr>
            <w:r>
              <w:rPr>
                <w:rFonts w:ascii="Calibri" w:hAnsi="Calibri"/>
                <w:color w:val="263238"/>
                <w:sz w:val="18"/>
              </w:rPr>
              <w:t xml:space="preserve">Investigator or agent queries</w:t>
            </w:r>
          </w:p>
        </w:tc>
        <w:tc>
          <w:tcPr>
            <w:tcW w:w="7131" w:type="dxa"/>
            <w:tcMar>
              <w:top w:w="50" w:type="dxa"/>
              <w:start w:w="90" w:type="dxa"/>
              <w:bottom w:w="50" w:type="dxa"/>
              <w:end w:w="90" w:type="dxa"/>
            </w:tcMar>
          </w:tcPr>
          <w:p>
            <w:pPr>
              <w:pStyle w:val="Compact"/>
              <w:spacing w:after="40" w:before="0"/>
            </w:pPr>
            <w:r>
              <w:rPr>
                <w:rFonts w:ascii="Calibri" w:hAnsi="Calibri"/>
                <w:color w:val="263238"/>
                <w:sz w:val="18"/>
              </w:rPr>
              <w:t xml:space="preserve">Apply payload authorization and return coverage, freshness, availability, omissions, and verification material</w:t>
            </w:r>
          </w:p>
        </w:tc>
      </w:tr>
      <w:tr>
        <w:trPr>
          <w:cantSplit/>
        </w:trPr>
        <w:tc>
          <w:tcPr>
            <w:tcW w:w="2228" w:type="dxa"/>
            <w:tcMar>
              <w:top w:w="50" w:type="dxa"/>
              <w:start w:w="90" w:type="dxa"/>
              <w:bottom w:w="50" w:type="dxa"/>
              <w:end w:w="90" w:type="dxa"/>
            </w:tcMar>
          </w:tcPr>
          <w:p>
            <w:pPr>
              <w:pStyle w:val="Compact"/>
              <w:spacing w:after="40" w:before="0"/>
            </w:pPr>
            <w:r>
              <w:rPr>
                <w:rFonts w:ascii="Calibri" w:hAnsi="Calibri"/>
                <w:color w:val="263238"/>
                <w:sz w:val="18"/>
              </w:rPr>
              <w:t xml:space="preserve">Consumer imports a projection</w:t>
            </w:r>
          </w:p>
        </w:tc>
        <w:tc>
          <w:tcPr>
            <w:tcW w:w="7131" w:type="dxa"/>
            <w:tcMar>
              <w:top w:w="50" w:type="dxa"/>
              <w:start w:w="90" w:type="dxa"/>
              <w:bottom w:w="50" w:type="dxa"/>
              <w:end w:w="90" w:type="dxa"/>
            </w:tcMar>
          </w:tcPr>
          <w:p>
            <w:pPr>
              <w:pStyle w:val="Compact"/>
              <w:spacing w:after="40" w:before="0"/>
            </w:pPr>
            <w:r>
              <w:rPr>
                <w:rFonts w:ascii="Calibri" w:hAnsi="Calibri"/>
                <w:color w:val="263238"/>
                <w:sz w:val="18"/>
              </w:rPr>
              <w:t xml:space="preserve">Treat the result as consumer-local only after independent envelope, proof, signer/quorum, freshness, order, duplicate, and conflict checks</w:t>
            </w:r>
          </w:p>
        </w:tc>
      </w:tr>
    </w:tbl>
    <w:p>
      <w:pPr>
        <w:pStyle w:val="BodyText"/>
      </w:pPr>
      <w:r>
        <w:t xml:space="preserve">Submission receipts expose the node's native deploy response and finalization state, as defined in</w:t>
      </w:r>
      <w:r>
        <w:t xml:space="preserve"> </w:t>
      </w:r>
      <w:r>
        <w:rPr>
          <w:i/>
          <w:color w:val="1F4D78"/>
        </w:rPr>
        <w:t xml:space="preserve">Architecture Section 9.1</w:t>
      </w:r>
      <w:r>
        <w:t xml:space="preserve">. A separate application outcome identifies whether the consensus-visible evidence or lifecycle contract accepted or rejected the requested event; that outcome is not the same as a node HTTP/gRPC error or the node's</w:t>
      </w:r>
      <w:r>
        <w:t xml:space="preserve"> </w:t>
      </w:r>
      <w:r>
        <w:rPr>
          <w:rStyle w:val="VerbatimChar"/>
        </w:rPr>
        <w:t xml:space="preserve">Failed</w:t>
      </w:r>
      <w:r>
        <w:t xml:space="preserve"> </w:t>
      </w:r>
      <w:r>
        <w:t xml:space="preserve">finalization state. A separate</w:t>
      </w:r>
      <w:r>
        <w:t xml:space="preserve"> </w:t>
      </w:r>
      <w:r>
        <w:rPr>
          <w:rStyle w:val="VerbatimChar"/>
        </w:rPr>
        <w:t xml:space="preserve">dispute_case_status</w:t>
      </w:r>
      <w:r>
        <w:t xml:space="preserve"> </w:t>
      </w:r>
      <w:r>
        <w:t xml:space="preserve">field has at least</w:t>
      </w:r>
      <w:r>
        <w:t xml:space="preserve"> </w:t>
      </w:r>
      <w:r>
        <w:rPr>
          <w:rStyle w:val="VerbatimChar"/>
        </w:rPr>
        <w:t xml:space="preserve">case_submitted</w:t>
      </w:r>
      <w:r>
        <w:t xml:space="preserve">,</w:t>
      </w:r>
      <w:r>
        <w:t xml:space="preserve"> </w:t>
      </w:r>
      <w:r>
        <w:rPr>
          <w:rStyle w:val="VerbatimChar"/>
        </w:rPr>
        <w:t xml:space="preserve">case_accepted_for_processing</w:t>
      </w:r>
      <w:r>
        <w:t xml:space="preserve">,</w:t>
      </w:r>
      <w:r>
        <w:t xml:space="preserve"> </w:t>
      </w:r>
      <w:r>
        <w:rPr>
          <w:rStyle w:val="VerbatimChar"/>
        </w:rPr>
        <w:t xml:space="preserve">case_rejected_for_processing</w:t>
      </w:r>
      <w:r>
        <w:t xml:space="preserve">,</w:t>
      </w:r>
      <w:r>
        <w:t xml:space="preserve"> </w:t>
      </w:r>
      <w:r>
        <w:rPr>
          <w:rStyle w:val="VerbatimChar"/>
        </w:rPr>
        <w:t xml:space="preserve">case_pending</w:t>
      </w:r>
      <w:r>
        <w:t xml:space="preserve">,</w:t>
      </w:r>
      <w:r>
        <w:t xml:space="preserve"> </w:t>
      </w:r>
      <w:r>
        <w:rPr>
          <w:rStyle w:val="VerbatimChar"/>
        </w:rPr>
        <w:t xml:space="preserve">case_resolved</w:t>
      </w:r>
      <w:r>
        <w:t xml:space="preserve">, and</w:t>
      </w:r>
      <w:r>
        <w:t xml:space="preserve"> </w:t>
      </w:r>
      <w:r>
        <w:rPr>
          <w:rStyle w:val="VerbatimChar"/>
        </w:rPr>
        <w:t xml:space="preserve">case_expired</w:t>
      </w:r>
      <w:r>
        <w:t xml:space="preserve">. A</w:t>
      </w:r>
      <w:r>
        <w:t xml:space="preserve"> </w:t>
      </w:r>
      <w:r>
        <w:rPr>
          <w:rStyle w:val="VerbatimChar"/>
        </w:rPr>
        <w:t xml:space="preserve">Finalized</w:t>
      </w:r>
      <w:r>
        <w:t xml:space="preserve"> </w:t>
      </w:r>
      <w:r>
        <w:t xml:space="preserve">node state means only that the signed deploy's effects reached canonical application state; it may create or advance a dispute case, but it does not accept the dispute on its merits. An application-level rejection creates no canonical evidence or lifecycle event and therefore cannot create or transition a case. The exact case authority, service levels, appeal path, provisional effects, transitions, and default outcome remain Q9 and Q14.</w:t>
      </w:r>
    </w:p>
    <w:bookmarkEnd w:id="21"/>
    <w:bookmarkStart w:id="22" w:name="X561711cc3b169b7f158a493f97f24a7a3a16403"/>
    <w:p>
      <w:pPr>
        <w:pStyle w:val="Heading1"/>
      </w:pPr>
      <w:r>
        <w:t xml:space="preserve">10. Projection boundary</w:t>
      </w:r>
    </w:p>
    <w:p>
      <w:pPr>
        <w:pStyle w:val="FirstParagraph"/>
      </w:pPr>
      <w:r>
        <w:t xml:space="preserve">This section defines the projection-result response fields for the whole package; the companion documents summarize this binding rather than redefining it.</w:t>
      </w:r>
    </w:p>
    <w:p>
      <w:pPr>
        <w:pStyle w:val="BodyText"/>
      </w:pPr>
      <w:r>
        <w:t xml:space="preserve">The evidence model supplies typed events, provenance, correction state, and coverage. A projection policy supplies weights, decay, aggregation, conflict treatment, and consumer-specific output. Numerical decay never deletes evidence or resolves logical validity.</w:t>
      </w:r>
    </w:p>
    <w:p>
      <w:pPr>
        <w:pStyle w:val="BodyText"/>
      </w:pPr>
      <w:r>
        <w:t xml:space="preserve">Every projection result must bind at least: the declared output; subject or aggregation scope; reputation type; source/domain checkpoint assertion; epoch/cutoff; evidence root; projection policy version; correction policy/lineage; schema/runtime compatibility version; result root; coverage; freshness; and applicable signer, validator-set, or certification version.</w:t>
      </w:r>
    </w:p>
    <w:p>
      <w:pPr>
        <w:pStyle w:val="BodyText"/>
      </w:pPr>
      <w:r>
        <w:t xml:space="preserve">As an optional proof extension, a projection may commit to a canonically ordered input manifest containing the material event IDs or hashes, input count, and manifest root. This can prove complete retrieval of the projection's declared inputs, but does not by itself prove that every eligible event was selected from the application evidence root.</w:t>
      </w:r>
    </w:p>
    <w:p>
      <w:pPr>
        <w:pStyle w:val="BodyText"/>
      </w:pPr>
      <w:r>
        <w:rPr>
          <w:b/>
          <w:bCs/>
        </w:rPr>
        <w:t xml:space="preserve">Running example.</w:t>
      </w:r>
      <w:r>
        <w:t xml:space="preserve"> </w:t>
      </w:r>
      <w:r>
        <w:t xml:space="preserve">A consuming shard requests Carol's slashing-history health signal and receives:</w:t>
      </w:r>
    </w:p>
    <w:tbl>
      <w:tblPr>
        <w:tblStyle w:val="Table"/>
        <w:tblLook w:firstRow="1" w:lastRow="0" w:firstColumn="0" w:lastColumn="0" w:noHBand="0" w:noVBand="0" w:val="0020"/>
        <w:tblW w:w="9359"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248"/>
        <w:gridCol w:w="5111"/>
      </w:tblGrid>
      <w:tr>
        <w:trPr>
          <w:tblHeader w:val="on"/>
          <w:tblHeader w:val="true"/>
          <w:cantSplit/>
        </w:trPr>
        <w:tc>
          <w:tcPr>
            <w:tcW w:w="4248"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Binding</w:t>
            </w:r>
          </w:p>
        </w:tc>
        <w:tc>
          <w:tcPr>
            <w:tcW w:w="5111"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In the example</w:t>
            </w:r>
          </w:p>
        </w:tc>
      </w:tr>
      <w:tr>
        <w:trPr>
          <w:cantSplit/>
        </w:trPr>
        <w:tc>
          <w:tcPr>
            <w:tcW w:w="4248" w:type="dxa"/>
            <w:tcMar>
              <w:top w:w="50" w:type="dxa"/>
              <w:start w:w="90" w:type="dxa"/>
              <w:bottom w:w="50" w:type="dxa"/>
              <w:end w:w="90" w:type="dxa"/>
            </w:tcMar>
          </w:tcPr>
          <w:p>
            <w:pPr>
              <w:pStyle w:val="Compact"/>
              <w:spacing w:after="40" w:before="0"/>
            </w:pPr>
            <w:r>
              <w:rPr>
                <w:rFonts w:ascii="Calibri" w:hAnsi="Calibri"/>
                <w:color w:val="263238"/>
                <w:sz w:val="18"/>
              </w:rPr>
              <w:t xml:space="preserve">Declared output</w:t>
            </w:r>
          </w:p>
        </w:tc>
        <w:tc>
          <w:tcPr>
            <w:tcW w:w="5111" w:type="dxa"/>
            <w:tcMar>
              <w:top w:w="50" w:type="dxa"/>
              <w:start w:w="90" w:type="dxa"/>
              <w:bottom w:w="50" w:type="dxa"/>
              <w:end w:w="90" w:type="dxa"/>
            </w:tcMar>
          </w:tcPr>
          <w:p>
            <w:pPr>
              <w:pStyle w:val="Compact"/>
              <w:spacing w:after="40" w:before="0"/>
            </w:pPr>
            <w:r>
              <w:rPr>
                <w:rFonts w:ascii="Calibri" w:hAnsi="Calibri"/>
                <w:color w:val="263238"/>
                <w:sz w:val="18"/>
              </w:rPr>
              <w:t xml:space="preserve">0.34 (poor — one confirmed slash)</w:t>
            </w:r>
          </w:p>
        </w:tc>
      </w:tr>
      <w:tr>
        <w:trPr>
          <w:cantSplit/>
        </w:trPr>
        <w:tc>
          <w:tcPr>
            <w:tcW w:w="4248" w:type="dxa"/>
            <w:tcMar>
              <w:top w:w="50" w:type="dxa"/>
              <w:start w:w="90" w:type="dxa"/>
              <w:bottom w:w="50" w:type="dxa"/>
              <w:end w:w="90" w:type="dxa"/>
            </w:tcMar>
          </w:tcPr>
          <w:p>
            <w:pPr>
              <w:pStyle w:val="Compact"/>
              <w:spacing w:after="40" w:before="0"/>
            </w:pPr>
            <w:r>
              <w:rPr>
                <w:rFonts w:ascii="Calibri" w:hAnsi="Calibri"/>
                <w:color w:val="263238"/>
                <w:sz w:val="18"/>
              </w:rPr>
              <w:t xml:space="preserve">Subject / type / scope</w:t>
            </w:r>
          </w:p>
        </w:tc>
        <w:tc>
          <w:tcPr>
            <w:tcW w:w="5111" w:type="dxa"/>
            <w:tcMar>
              <w:top w:w="50" w:type="dxa"/>
              <w:start w:w="90" w:type="dxa"/>
              <w:bottom w:w="50" w:type="dxa"/>
              <w:end w:w="90" w:type="dxa"/>
            </w:tcMar>
          </w:tcPr>
          <w:p>
            <w:pPr>
              <w:pStyle w:val="Compact"/>
              <w:spacing w:after="40" w:before="0"/>
            </w:pPr>
            <w:r>
              <w:rPr>
                <w:rFonts w:ascii="Calibri" w:hAnsi="Calibri"/>
                <w:color w:val="263238"/>
                <w:sz w:val="18"/>
              </w:rPr>
              <w:t xml:space="preserve">Carol / equivocation-slashing /</w:t>
            </w:r>
            <w:r>
              <w:rPr>
                <w:rFonts w:ascii="Calibri" w:hAnsi="Calibri"/>
                <w:color w:val="263238"/>
                <w:sz w:val="18"/>
              </w:rPr>
              <w:t xml:space="preserve"> </w:t>
            </w:r>
            <w:r>
              <w:rPr>
                <w:rStyle w:val="VerbatimChar"/>
                <w:rFonts w:ascii="Calibri" w:hAnsi="Calibri"/>
                <w:color w:val="263238"/>
                <w:sz w:val="18"/>
              </w:rPr>
              <w:t xml:space="preserve">chain-x</w:t>
            </w:r>
            <w:r>
              <w:rPr>
                <w:rFonts w:ascii="Calibri" w:hAnsi="Calibri"/>
                <w:color w:val="263238"/>
                <w:sz w:val="18"/>
              </w:rPr>
              <w:t xml:space="preserve"> </w:t>
            </w:r>
            <w:r>
              <w:rPr>
                <w:rFonts w:ascii="Calibri" w:hAnsi="Calibri"/>
                <w:color w:val="263238"/>
                <w:sz w:val="18"/>
              </w:rPr>
              <w:t xml:space="preserve">mainnet</w:t>
            </w:r>
          </w:p>
        </w:tc>
      </w:tr>
      <w:tr>
        <w:trPr>
          <w:cantSplit/>
        </w:trPr>
        <w:tc>
          <w:tcPr>
            <w:tcW w:w="4248" w:type="dxa"/>
            <w:tcMar>
              <w:top w:w="50" w:type="dxa"/>
              <w:start w:w="90" w:type="dxa"/>
              <w:bottom w:w="50" w:type="dxa"/>
              <w:end w:w="90" w:type="dxa"/>
            </w:tcMar>
          </w:tcPr>
          <w:p>
            <w:pPr>
              <w:pStyle w:val="Compact"/>
              <w:spacing w:after="40" w:before="0"/>
            </w:pPr>
            <w:r>
              <w:rPr>
                <w:rFonts w:ascii="Calibri" w:hAnsi="Calibri"/>
                <w:color w:val="263238"/>
                <w:sz w:val="18"/>
              </w:rPr>
              <w:t xml:space="preserve">Epoch cutoff</w:t>
            </w:r>
          </w:p>
        </w:tc>
        <w:tc>
          <w:tcPr>
            <w:tcW w:w="5111" w:type="dxa"/>
            <w:tcMar>
              <w:top w:w="50" w:type="dxa"/>
              <w:start w:w="90" w:type="dxa"/>
              <w:bottom w:w="50" w:type="dxa"/>
              <w:end w:w="90" w:type="dxa"/>
            </w:tcMar>
          </w:tcPr>
          <w:p>
            <w:pPr>
              <w:pStyle w:val="Compact"/>
              <w:spacing w:after="40" w:before="0"/>
            </w:pPr>
            <w:r>
              <w:rPr>
                <w:rFonts w:ascii="Calibri" w:hAnsi="Calibri"/>
                <w:color w:val="263238"/>
                <w:sz w:val="18"/>
              </w:rPr>
              <w:t xml:space="preserve">212</w:t>
            </w:r>
          </w:p>
        </w:tc>
      </w:tr>
      <w:tr>
        <w:trPr>
          <w:cantSplit/>
        </w:trPr>
        <w:tc>
          <w:tcPr>
            <w:tcW w:w="4248" w:type="dxa"/>
            <w:tcMar>
              <w:top w:w="50" w:type="dxa"/>
              <w:start w:w="90" w:type="dxa"/>
              <w:bottom w:w="50" w:type="dxa"/>
              <w:end w:w="90" w:type="dxa"/>
            </w:tcMar>
          </w:tcPr>
          <w:p>
            <w:pPr>
              <w:pStyle w:val="Compact"/>
              <w:spacing w:after="40" w:before="0"/>
            </w:pPr>
            <w:r>
              <w:rPr>
                <w:rFonts w:ascii="Calibri" w:hAnsi="Calibri"/>
                <w:color w:val="263238"/>
                <w:sz w:val="18"/>
              </w:rPr>
              <w:t xml:space="preserve">Evidence root / result root</w:t>
            </w:r>
          </w:p>
        </w:tc>
        <w:tc>
          <w:tcPr>
            <w:tcW w:w="5111" w:type="dxa"/>
            <w:tcMar>
              <w:top w:w="50" w:type="dxa"/>
              <w:start w:w="90" w:type="dxa"/>
              <w:bottom w:w="50" w:type="dxa"/>
              <w:end w:w="90" w:type="dxa"/>
            </w:tcMar>
          </w:tcPr>
          <w:p>
            <w:pPr>
              <w:pStyle w:val="Compact"/>
              <w:spacing w:after="40" w:before="0"/>
            </w:pPr>
            <w:r>
              <w:rPr>
                <w:rStyle w:val="VerbatimChar"/>
                <w:rFonts w:ascii="Calibri" w:hAnsi="Calibri"/>
                <w:color w:val="263238"/>
                <w:sz w:val="18"/>
              </w:rPr>
              <w:t xml:space="preserve">r-9d2c…</w:t>
            </w:r>
            <w:r>
              <w:rPr>
                <w:rFonts w:ascii="Calibri" w:hAnsi="Calibri"/>
                <w:color w:val="263238"/>
                <w:sz w:val="18"/>
              </w:rPr>
              <w:t xml:space="preserve"> </w:t>
            </w:r>
            <w:r>
              <w:rPr>
                <w:rFonts w:ascii="Calibri" w:hAnsi="Calibri"/>
                <w:color w:val="263238"/>
                <w:sz w:val="18"/>
              </w:rPr>
              <w:t xml:space="preserve">/</w:t>
            </w:r>
            <w:r>
              <w:rPr>
                <w:rFonts w:ascii="Calibri" w:hAnsi="Calibri"/>
                <w:color w:val="263238"/>
                <w:sz w:val="18"/>
              </w:rPr>
              <w:t xml:space="preserve"> </w:t>
            </w:r>
            <w:r>
              <w:rPr>
                <w:rStyle w:val="VerbatimChar"/>
                <w:rFonts w:ascii="Calibri" w:hAnsi="Calibri"/>
                <w:color w:val="263238"/>
                <w:sz w:val="18"/>
              </w:rPr>
              <w:t xml:space="preserve">p-4e81…</w:t>
            </w:r>
          </w:p>
        </w:tc>
      </w:tr>
      <w:tr>
        <w:trPr>
          <w:cantSplit/>
        </w:trPr>
        <w:tc>
          <w:tcPr>
            <w:tcW w:w="4248" w:type="dxa"/>
            <w:tcMar>
              <w:top w:w="50" w:type="dxa"/>
              <w:start w:w="90" w:type="dxa"/>
              <w:bottom w:w="50" w:type="dxa"/>
              <w:end w:w="90" w:type="dxa"/>
            </w:tcMar>
          </w:tcPr>
          <w:p>
            <w:pPr>
              <w:pStyle w:val="Compact"/>
              <w:spacing w:after="40" w:before="0"/>
            </w:pPr>
            <w:r>
              <w:rPr>
                <w:rFonts w:ascii="Calibri" w:hAnsi="Calibri"/>
                <w:color w:val="263238"/>
                <w:sz w:val="18"/>
              </w:rPr>
              <w:t xml:space="preserve">Policy version</w:t>
            </w:r>
          </w:p>
        </w:tc>
        <w:tc>
          <w:tcPr>
            <w:tcW w:w="5111" w:type="dxa"/>
            <w:tcMar>
              <w:top w:w="50" w:type="dxa"/>
              <w:start w:w="90" w:type="dxa"/>
              <w:bottom w:w="50" w:type="dxa"/>
              <w:end w:w="90" w:type="dxa"/>
            </w:tcMar>
          </w:tcPr>
          <w:p>
            <w:pPr>
              <w:pStyle w:val="Compact"/>
              <w:spacing w:after="40" w:before="0"/>
            </w:pPr>
            <w:r>
              <w:rPr>
                <w:rStyle w:val="VerbatimChar"/>
                <w:rFonts w:ascii="Calibri" w:hAnsi="Calibri"/>
                <w:color w:val="263238"/>
                <w:sz w:val="18"/>
              </w:rPr>
              <w:t xml:space="preserve">slash-health v1.2.0</w:t>
            </w:r>
          </w:p>
        </w:tc>
      </w:tr>
      <w:tr>
        <w:trPr>
          <w:cantSplit/>
        </w:trPr>
        <w:tc>
          <w:tcPr>
            <w:tcW w:w="4248" w:type="dxa"/>
            <w:tcMar>
              <w:top w:w="50" w:type="dxa"/>
              <w:start w:w="90" w:type="dxa"/>
              <w:bottom w:w="50" w:type="dxa"/>
              <w:end w:w="90" w:type="dxa"/>
            </w:tcMar>
          </w:tcPr>
          <w:p>
            <w:pPr>
              <w:pStyle w:val="Compact"/>
              <w:spacing w:after="40" w:before="0"/>
            </w:pPr>
            <w:r>
              <w:rPr>
                <w:rFonts w:ascii="Calibri" w:hAnsi="Calibri"/>
                <w:color w:val="263238"/>
                <w:sz w:val="18"/>
              </w:rPr>
              <w:t xml:space="preserve">Correction lineage</w:t>
            </w:r>
          </w:p>
        </w:tc>
        <w:tc>
          <w:tcPr>
            <w:tcW w:w="5111" w:type="dxa"/>
            <w:tcMar>
              <w:top w:w="50" w:type="dxa"/>
              <w:start w:w="90" w:type="dxa"/>
              <w:bottom w:w="50" w:type="dxa"/>
              <w:end w:w="90" w:type="dxa"/>
            </w:tcMar>
          </w:tcPr>
          <w:p>
            <w:pPr>
              <w:pStyle w:val="Compact"/>
              <w:spacing w:after="40" w:before="0"/>
            </w:pPr>
            <w:r>
              <w:rPr>
                <w:rFonts w:ascii="Calibri" w:hAnsi="Calibri"/>
                <w:color w:val="263238"/>
                <w:sz w:val="18"/>
              </w:rPr>
              <w:t xml:space="preserve">None</w:t>
            </w:r>
          </w:p>
        </w:tc>
      </w:tr>
      <w:tr>
        <w:trPr>
          <w:cantSplit/>
        </w:trPr>
        <w:tc>
          <w:tcPr>
            <w:tcW w:w="4248" w:type="dxa"/>
            <w:tcMar>
              <w:top w:w="50" w:type="dxa"/>
              <w:start w:w="90" w:type="dxa"/>
              <w:bottom w:w="50" w:type="dxa"/>
              <w:end w:w="90" w:type="dxa"/>
            </w:tcMar>
          </w:tcPr>
          <w:p>
            <w:pPr>
              <w:pStyle w:val="Compact"/>
              <w:spacing w:after="40" w:before="0"/>
            </w:pPr>
            <w:r>
              <w:rPr>
                <w:rFonts w:ascii="Calibri" w:hAnsi="Calibri"/>
                <w:color w:val="263238"/>
                <w:sz w:val="18"/>
              </w:rPr>
              <w:t xml:space="preserve">Coverage / certification</w:t>
            </w:r>
          </w:p>
        </w:tc>
        <w:tc>
          <w:tcPr>
            <w:tcW w:w="5111" w:type="dxa"/>
            <w:tcMar>
              <w:top w:w="50" w:type="dxa"/>
              <w:start w:w="90" w:type="dxa"/>
              <w:bottom w:w="50" w:type="dxa"/>
              <w:end w:w="90" w:type="dxa"/>
            </w:tcMar>
          </w:tcPr>
          <w:p>
            <w:pPr>
              <w:pStyle w:val="Compact"/>
              <w:spacing w:after="40" w:before="0"/>
            </w:pPr>
            <w:r>
              <w:rPr>
                <w:rFonts w:ascii="Calibri" w:hAnsi="Calibri"/>
                <w:color w:val="263238"/>
                <w:sz w:val="18"/>
              </w:rPr>
              <w:t xml:space="preserve">100% of the declared window / validator-set version 7</w:t>
            </w:r>
          </w:p>
        </w:tc>
      </w:tr>
    </w:tbl>
    <w:p>
      <w:pPr>
        <w:pStyle w:val="BodyText"/>
      </w:pPr>
      <w:r>
        <w:t xml:space="preserve">Anyone holding that envelope can recompute 0.34 from the same root and policy version. If the Section 7 reorg correction later lands, the restated result is a</w:t>
      </w:r>
      <w:r>
        <w:t xml:space="preserve"> </w:t>
      </w:r>
      <w:r>
        <w:rPr>
          <w:i/>
          <w:iCs/>
        </w:rPr>
        <w:t xml:space="preserve">new</w:t>
      </w:r>
      <w:r>
        <w:t xml:space="preserve"> </w:t>
      </w:r>
      <w:r>
        <w:t xml:space="preserve">envelope with its correction lineage filled in — never a silent change to this one. And the 0.34 itself is meaningless outside its binding: the same evidence under a policy that weights recency differently is a different, equally legitimate projection.</w:t>
      </w:r>
    </w:p>
    <w:bookmarkEnd w:id="22"/>
    <w:bookmarkStart w:id="23" w:name="Xa335a180521eb69e482c38821d7bd86c9767489"/>
    <w:p>
      <w:pPr>
        <w:pStyle w:val="Heading1"/>
      </w:pPr>
      <w:r>
        <w:t xml:space="preserve">11. Unresolved model decisions</w:t>
      </w:r>
    </w:p>
    <w:p>
      <w:pPr>
        <w:pStyle w:val="FirstParagraph"/>
      </w:pPr>
      <w:r>
        <w:t xml:space="preserve">Unresolved decisions live in the Open Question Register. The model depends most directly on Q1-Q7, Q9-Q11, Q14, Q23, Q26, and Q28-Q30.</w:t>
      </w:r>
    </w:p>
    <w:bookmarkEnd w:id="23"/>
    <w:bookmarkEnd w:id="24"/>
    <w:sectPr>
      <w:headerReference w:type="default" r:id="rId9"/>
      <w:footerReference w:type="default" r:id="rId10"/>
      <w:footnotePr>
        <w:numRestart w:val="eachSect"/>
      </w:footnotePr>
      <w:pgSz w:w="12240" w:h="15840"/>
      <w:pgMar w:top="1440" w:bottom="1440" w:left="1440" w:right="144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
      <w:rPr>
        <w:rFonts w:ascii="Calibri" w:hAnsi="Calibri" w:eastAsia="Calibri"/>
        <w:color w:val="667085"/>
        <w:sz w:val="17"/>
      </w:rPr>
      <w:t>Milestone 5 design package  |  5 August 2026</w:t>
    </w:r>
    <w:r>
      <w:tab/>
    </w:r>
    <w:r>
      <w:rPr>
        <w:rFonts w:ascii="Calibri" w:hAnsi="Calibri" w:eastAsia="Calibri"/>
        <w:color w:val="667085"/>
        <w:sz w:val="17"/>
      </w:rPr>
      <w:t xml:space="preserve">Page </w:t>
    </w:r>
    <w:r>
      <w:rPr>
        <w:rFonts w:ascii="Calibri" w:hAnsi="Calibri" w:eastAsia="Calibri"/>
        <w:color w:val="667085"/>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2E74B5"/>
        <w:sz w:val="17"/>
      </w:rPr>
      <w:t>MILESTONE 5  |  EVIDENCE AND CLAIMS MODEL</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59" w:lineRule="auto"/>
    </w:pPr>
    <w:rPr>
      <w:rFonts w:ascii="Calibri" w:hAnsi="Calibri"/>
      <w:color w:val="263238"/>
      <w:sz w:val="21"/>
    </w:rPr>
  </w:style>
  <w:style w:styleId="BodyText" w:type="paragraph">
    <w:name w:val="Body Text"/>
    <w:basedOn w:val="Normal"/>
    <w:link w:val="BodyTextChar"/>
    <w:qFormat/>
    <w:pPr>
      <w:spacing w:after="180" w:before="180"/>
    </w:pPr>
    <w:rPr>
      <w:rFonts w:ascii="Calibri" w:hAnsi="Calibri"/>
      <w:color w:val="263238"/>
      <w:sz w:val="21"/>
    </w:rPr>
  </w:style>
  <w:style w:customStyle="1" w:styleId="FirstParagraph" w:type="paragraph">
    <w:name w:val="First Paragraph"/>
    <w:basedOn w:val="BodyText"/>
    <w:next w:val="BodyText"/>
    <w:qFormat/>
    <w:rPr>
      <w:rFonts w:ascii="Calibri" w:hAnsi="Calibri"/>
      <w:color w:val="263238"/>
      <w:sz w:val="21"/>
    </w:rPr>
  </w:style>
  <w:style w:customStyle="1" w:styleId="Compact" w:type="paragraph">
    <w:name w:val="Compact"/>
    <w:basedOn w:val="BodyText"/>
    <w:qFormat/>
    <w:pPr>
      <w:spacing w:after="36" w:before="36"/>
    </w:pPr>
    <w:rPr>
      <w:rFonts w:ascii="Calibri" w:hAnsi="Calibri"/>
      <w:color w:val="263238"/>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outlineLvl w:val="0"/>
    </w:pPr>
    <w:rPr>
      <w:rFonts w:asciiTheme="majorHAnsi" w:cstheme="majorBidi" w:eastAsiaTheme="majorEastAsia" w:hAnsiTheme="majorHAnsi" w:ascii="Calibri" w:hAnsi="Calibri"/>
      <w:b/>
      <w:color w:val="2E74B5"/>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200"/>
      <w:outlineLvl w:val="1"/>
    </w:pPr>
    <w:rPr>
      <w:rFonts w:asciiTheme="majorHAnsi" w:cstheme="majorBidi" w:eastAsiaTheme="majorEastAsia" w:hAnsiTheme="majorHAnsi" w:ascii="Calibri" w:hAnsi="Calibri"/>
      <w:b/>
      <w:color w:val="2E74B5"/>
      <w:sz w:val="25"/>
      <w:szCs w:val="32"/>
    </w:rPr>
  </w:style>
  <w:style w:styleId="Heading3" w:type="paragraph">
    <w:name w:val="heading 3"/>
    <w:basedOn w:val="Normal"/>
    <w:next w:val="BodyText"/>
    <w:link w:val="Heading3Char"/>
    <w:uiPriority w:val="9"/>
    <w:semiHidden/>
    <w:unhideWhenUsed/>
    <w:qFormat/>
    <w:rsid w:val="00A10FD9"/>
    <w:pPr>
      <w:keepNext/>
      <w:keepLines/>
      <w:spacing w:after="120" w:before="200"/>
      <w:outlineLvl w:val="2"/>
    </w:pPr>
    <w:rPr>
      <w:rFonts w:cstheme="majorBidi" w:eastAsiaTheme="majorEastAsia" w:ascii="Calibri" w:hAnsi="Calibri"/>
      <w:b/>
      <w:color w:val="1F4D78"/>
      <w:sz w:val="23"/>
      <w:szCs w:val="28"/>
    </w:rPr>
  </w:style>
  <w:style w:styleId="Heading4" w:type="paragraph">
    <w:name w:val="heading 4"/>
    <w:basedOn w:val="Normal"/>
    <w:next w:val="BodyText"/>
    <w:link w:val="Heading4Char"/>
    <w:uiPriority w:val="9"/>
    <w:semiHidden/>
    <w:unhideWhenUsed/>
    <w:qFormat/>
    <w:rsid w:val="00A10FD9"/>
    <w:pPr>
      <w:keepNext/>
      <w:keepLines/>
      <w:spacing w:after="120" w:before="200"/>
      <w:outlineLvl w:val="3"/>
    </w:pPr>
    <w:rPr>
      <w:rFonts w:cstheme="majorBidi" w:eastAsiaTheme="majorEastAsia" w:ascii="Calibri" w:hAnsi="Calibri"/>
      <w:b/>
      <w:i/>
      <w:iCs/>
      <w:color w:val="1F4D78"/>
      <w:sz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hyperlink" Target="05%20-%20Architecture%20Design.md#91-deploy-response-finalization-and-idempotency-contract"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0" Type="http://schemas.openxmlformats.org/officeDocument/2006/relationships/hyperlink" Target="05%20-%20Architecture%20Design.md#91-deploy-response-finalization-and-idempotency-contr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5: Evidence and Claims Model</dc:title>
  <dc:creator>SingularityNET</dc:creator>
  <cp:keywords/>
  <dcterms:created xsi:type="dcterms:W3CDTF">2026-08-05T20:25:55Z</dcterms:created>
  <dcterms:modified xsi:type="dcterms:W3CDTF">2026-08-05T20:25:55Z</dcterms:modified>
  <dc:description>Styled edition generated from the Markdown source</dc:description>
</cp:coreProperties>
</file>

<file path=docProps/custom.xml><?xml version="1.0" encoding="utf-8"?>
<Properties xmlns="http://schemas.openxmlformats.org/officeDocument/2006/custom-properties" xmlns:vt="http://schemas.openxmlformats.org/officeDocument/2006/docPropsVTypes"/>
</file>