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ilestone-5-implementation-roadmap"/>
    <w:p>
      <w:pPr>
        <w:pStyle w:val="Title"/>
        <w:spacing w:before="1200" w:after="360"/>
      </w:pPr>
      <w:r>
        <w:rPr>
          <w:rFonts w:ascii="Calibri" w:hAnsi="Calibri" w:eastAsia="Calibri"/>
          <w:b/>
          <w:color w:val="2E74B5"/>
          <w:sz w:val="22"/>
        </w:rPr>
        <w:t>MILESTONE 5</w:t>
        <w:br/>
      </w:r>
      <w:r>
        <w:rPr>
          <w:rFonts w:ascii="Calibri" w:hAnsi="Calibri" w:eastAsia="Calibri"/>
          <w:b/>
          <w:color w:val="1F4D78"/>
          <w:sz w:val="50"/>
        </w:rPr>
        <w:t>Implementation Roadmap</w:t>
      </w:r>
    </w:p>
    <w:p>
      <w:pPr>
        <w:pStyle w:val="FirstParagraph"/>
        <w:spacing w:before="120" w:after="0" w:line="312" w:lineRule="auto"/>
        <w:ind w:left="173"/>
        <w:pBdr>
          <w:left w:val="single" w:sz="20" w:space="12" w:color="2E74B5"/>
        </w:pBdr>
      </w:pPr>
      <w:r>
        <w:rPr>
          <w:rFonts w:ascii="Calibri" w:hAnsi="Calibri" w:eastAsia="Calibri"/>
          <w:b/>
          <w:bCs/>
          <w:color w:val="1F4D78"/>
          <w:sz w:val="21"/>
        </w:rPr>
        <w:t xml:space="preserve">Date:</w:t>
      </w:r>
      <w:r>
        <w:rPr>
          <w:rFonts w:ascii="Calibri" w:hAnsi="Calibri" w:eastAsia="Calibri"/>
          <w:color w:val="263238"/>
          <w:sz w:val="21"/>
        </w:rPr>
        <w:t xml:space="preserve"> </w:t>
      </w:r>
      <w:r>
        <w:rPr>
          <w:rFonts w:ascii="Calibri" w:hAnsi="Calibri" w:eastAsia="Calibri"/>
          <w:color w:val="263238"/>
          <w:sz w:val="21"/>
        </w:rPr>
        <w:t xml:space="preserve">26 July 2026</w:t>
      </w:r>
      <w:r>
        <w:rPr>
          <w:rFonts w:ascii="Calibri" w:hAnsi="Calibri" w:eastAsia="Calibri"/>
          <w:color w:val="263238"/>
          <w:sz w:val="21"/>
        </w:rPr>
        <w:br/>
      </w:r>
      <w:r>
        <w:rPr>
          <w:rFonts w:ascii="Calibri" w:hAnsi="Calibri" w:eastAsia="Calibri"/>
          <w:b/>
          <w:bCs/>
          <w:color w:val="1F4D78"/>
          <w:sz w:val="21"/>
        </w:rPr>
        <w:t xml:space="preserve">Updated:</w:t>
      </w:r>
      <w:r>
        <w:rPr>
          <w:rFonts w:ascii="Calibri" w:hAnsi="Calibri" w:eastAsia="Calibri"/>
          <w:color w:val="263238"/>
          <w:sz w:val="21"/>
        </w:rPr>
        <w:t xml:space="preserve"> </w:t>
      </w:r>
      <w:r>
        <w:rPr>
          <w:rFonts w:ascii="Calibri" w:hAnsi="Calibri" w:eastAsia="Calibri"/>
          <w:color w:val="263238"/>
          <w:sz w:val="21"/>
        </w:rPr>
        <w:t xml:space="preserve">5 August 2026</w:t>
      </w:r>
      <w:r>
        <w:rPr>
          <w:rFonts w:ascii="Calibri" w:hAnsi="Calibri" w:eastAsia="Calibri"/>
          <w:color w:val="263238"/>
          <w:sz w:val="21"/>
        </w:rPr>
        <w:br/>
      </w:r>
      <w:r>
        <w:rPr>
          <w:rFonts w:ascii="Calibri" w:hAnsi="Calibri" w:eastAsia="Calibri"/>
          <w:b/>
          <w:bCs/>
          <w:color w:val="1F4D78"/>
          <w:sz w:val="21"/>
        </w:rPr>
        <w:t xml:space="preserve">Status:</w:t>
      </w:r>
      <w:r>
        <w:rPr>
          <w:rFonts w:ascii="Calibri" w:hAnsi="Calibri" w:eastAsia="Calibri"/>
          <w:color w:val="263238"/>
          <w:sz w:val="21"/>
        </w:rPr>
        <w:t xml:space="preserve"> </w:t>
      </w:r>
      <w:r>
        <w:rPr>
          <w:rFonts w:ascii="Calibri" w:hAnsi="Calibri" w:eastAsia="Calibri"/>
          <w:color w:val="263238"/>
          <w:sz w:val="21"/>
        </w:rPr>
        <w:t xml:space="preserve">For review — dependent work waits on its named decision gates, contract freezes, approval points, and validation evidence.</w:t>
      </w:r>
      <w:r>
        <w:rPr>
          <w:rFonts w:ascii="Calibri" w:hAnsi="Calibri" w:eastAsia="Calibri"/>
          <w:color w:val="263238"/>
          <w:sz w:val="21"/>
        </w:rPr>
        <w:br/>
      </w:r>
      <w:r>
        <w:rPr>
          <w:rFonts w:ascii="Calibri" w:hAnsi="Calibri" w:eastAsia="Calibri"/>
          <w:b/>
          <w:bCs/>
          <w:color w:val="1F4D78"/>
          <w:sz w:val="21"/>
        </w:rPr>
        <w:t xml:space="preserve">Covers:</w:t>
      </w:r>
      <w:r>
        <w:rPr>
          <w:rFonts w:ascii="Calibri" w:hAnsi="Calibri" w:eastAsia="Calibri"/>
          <w:color w:val="263238"/>
          <w:sz w:val="21"/>
        </w:rPr>
        <w:t xml:space="preserve"> </w:t>
      </w:r>
      <w:r>
        <w:rPr>
          <w:rFonts w:ascii="Calibri" w:hAnsi="Calibri" w:eastAsia="Calibri"/>
          <w:color w:val="263238"/>
          <w:sz w:val="21"/>
        </w:rPr>
        <w:t xml:space="preserve">What gets built when: order, dependencies, entry/exit criteria, and the stages at which reputation is allowed to do more. Requirements, evidence semantics, architecture rationale, and risks live in their own documents.</w:t>
      </w:r>
    </w:p>
    <w:p>
      <w:pPr>
        <w:spacing w:before="360"/>
      </w:pPr>
      <w:r>
        <w:rPr>
          <w:rFonts w:ascii="Calibri" w:hAnsi="Calibri" w:eastAsia="Calibri"/>
          <w:color w:val="667085"/>
          <w:sz w:val="19"/>
        </w:rPr>
        <w:t>Order, dependencies, activation stages, and the evidence required to advance.</w:t>
      </w:r>
      <w:r>
        <w:br w:type="page"/>
      </w:r>
    </w:p>
    <w:bookmarkStart w:id="11" w:name="Xd6029d1cf746ca60ee5be66f18b5fafdb9592ec"/>
    <w:p>
      <w:pPr>
        <w:pStyle w:val="Heading1"/>
      </w:pPr>
      <w:r>
        <w:t xml:space="preserve">1. Sequencing principles</w:t>
      </w:r>
    </w:p>
    <w:p>
      <w:pPr>
        <w:pStyle w:val="Compact"/>
        <w:numPr>
          <w:ilvl w:val="0"/>
          <w:numId w:val="1001"/>
        </w:numPr>
      </w:pPr>
      <w:r>
        <w:t xml:space="preserve">Resolve Gate 1 semantics before fixing storage or API contracts.</w:t>
      </w:r>
    </w:p>
    <w:p>
      <w:pPr>
        <w:pStyle w:val="Compact"/>
        <w:numPr>
          <w:ilvl w:val="0"/>
          <w:numId w:val="1001"/>
        </w:numPr>
      </w:pPr>
      <w:r>
        <w:t xml:space="preserve">Validate the smallest in-node evidence loop before scaling the model.</w:t>
      </w:r>
    </w:p>
    <w:p>
      <w:pPr>
        <w:pStyle w:val="Compact"/>
        <w:numPr>
          <w:ilvl w:val="0"/>
          <w:numId w:val="1001"/>
        </w:numPr>
      </w:pPr>
      <w:r>
        <w:t xml:space="preserve">Measure and query before allowing reputation to affect operations or economics.</w:t>
      </w:r>
    </w:p>
    <w:p>
      <w:pPr>
        <w:pStyle w:val="Compact"/>
        <w:numPr>
          <w:ilvl w:val="0"/>
          <w:numId w:val="1001"/>
        </w:numPr>
      </w:pPr>
      <w:r>
        <w:t xml:space="preserve">Keep canonical evidence independent from projection and tokenomics policies.</w:t>
      </w:r>
    </w:p>
    <w:p>
      <w:pPr>
        <w:pStyle w:val="Compact"/>
        <w:numPr>
          <w:ilvl w:val="0"/>
          <w:numId w:val="1001"/>
        </w:numPr>
      </w:pPr>
      <w:r>
        <w:t xml:space="preserve">Advance only on recorded exit evidence; do not promote work because a design document is complete.</w:t>
      </w:r>
    </w:p>
    <w:bookmarkStart w:id="10" w:name="X627652498189b6e675e6d9d6d1a9b59ce77e062"/>
    <w:p>
      <w:pPr>
        <w:pStyle w:val="Heading2"/>
      </w:pPr>
      <w:r>
        <w:t xml:space="preserve">1.1 Decision and validation controls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743"/>
        <w:gridCol w:w="6616"/>
      </w:tblGrid>
      <w:tr>
        <w:trPr>
          <w:tblHeader w:val="on"/>
          <w:tblHeader w:val="true"/>
          <w:cantSplit/>
        </w:trPr>
        <w:tc>
          <w:tcPr>
            <w:tcW w:w="2743"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Control</w:t>
            </w:r>
          </w:p>
        </w:tc>
        <w:tc>
          <w:tcPr>
            <w:tcW w:w="661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Purpose</w:t>
            </w:r>
          </w:p>
        </w:tc>
      </w:tr>
      <w:tr>
        <w:trPr>
          <w:cantSplit/>
        </w:trPr>
        <w:tc>
          <w:tcPr>
            <w:tcW w:w="2743" w:type="dxa"/>
            <w:tcMar>
              <w:top w:w="50" w:type="dxa"/>
              <w:start w:w="90" w:type="dxa"/>
              <w:bottom w:w="50" w:type="dxa"/>
              <w:end w:w="90" w:type="dxa"/>
            </w:tcMar>
          </w:tcPr>
          <w:p>
            <w:pPr>
              <w:pStyle w:val="Compact"/>
              <w:spacing w:after="40" w:before="0"/>
            </w:pPr>
            <w:r>
              <w:rPr>
                <w:rFonts w:ascii="Calibri" w:hAnsi="Calibri"/>
                <w:color w:val="263238"/>
                <w:sz w:val="18"/>
              </w:rPr>
              <w:t xml:space="preserve">Decision Gates 1-3</w:t>
            </w:r>
          </w:p>
        </w:tc>
        <w:tc>
          <w:tcPr>
            <w:tcW w:w="6616" w:type="dxa"/>
            <w:tcMar>
              <w:top w:w="50" w:type="dxa"/>
              <w:start w:w="90" w:type="dxa"/>
              <w:bottom w:w="50" w:type="dxa"/>
              <w:end w:w="90" w:type="dxa"/>
            </w:tcMar>
          </w:tcPr>
          <w:p>
            <w:pPr>
              <w:pStyle w:val="Compact"/>
              <w:spacing w:after="40" w:before="0"/>
            </w:pPr>
            <w:r>
              <w:rPr>
                <w:rFonts w:ascii="Calibri" w:hAnsi="Calibri"/>
                <w:color w:val="263238"/>
                <w:sz w:val="18"/>
              </w:rPr>
              <w:t xml:space="preserve">Group the open questions in the</w:t>
            </w:r>
            <w:r>
              <w:rPr>
                <w:rFonts w:ascii="Calibri" w:hAnsi="Calibri"/>
                <w:color w:val="263238"/>
                <w:sz w:val="18"/>
              </w:rPr>
              <w:t xml:space="preserve"> </w:t>
            </w:r>
            <w:r>
              <w:rPr>
                <w:rFonts w:ascii="Calibri" w:hAnsi="Calibri"/>
                <w:i/>
                <w:color w:val="1F4D78"/>
                <w:sz w:val="18"/>
              </w:rPr>
              <w:t xml:space="preserve">Open Question Register</w:t>
            </w:r>
            <w:r>
              <w:rPr>
                <w:rFonts w:ascii="Calibri" w:hAnsi="Calibri"/>
                <w:color w:val="263238"/>
                <w:sz w:val="18"/>
              </w:rPr>
              <w:t xml:space="preserve"> </w:t>
            </w:r>
            <w:r>
              <w:rPr>
                <w:rFonts w:ascii="Calibri" w:hAnsi="Calibri"/>
                <w:color w:val="263238"/>
                <w:sz w:val="18"/>
              </w:rPr>
              <w:t xml:space="preserve">by when they must be settled</w:t>
            </w:r>
          </w:p>
        </w:tc>
      </w:tr>
      <w:tr>
        <w:trPr>
          <w:cantSplit/>
        </w:trPr>
        <w:tc>
          <w:tcPr>
            <w:tcW w:w="2743" w:type="dxa"/>
            <w:tcMar>
              <w:top w:w="50" w:type="dxa"/>
              <w:start w:w="90" w:type="dxa"/>
              <w:bottom w:w="50" w:type="dxa"/>
              <w:end w:w="90" w:type="dxa"/>
            </w:tcMar>
          </w:tcPr>
          <w:p>
            <w:pPr>
              <w:pStyle w:val="Compact"/>
              <w:spacing w:after="40" w:before="0"/>
            </w:pPr>
            <w:r>
              <w:rPr>
                <w:rFonts w:ascii="Calibri" w:hAnsi="Calibri"/>
                <w:color w:val="263238"/>
                <w:sz w:val="18"/>
              </w:rPr>
              <w:t xml:space="preserve">Contract freezes and approval points</w:t>
            </w:r>
          </w:p>
        </w:tc>
        <w:tc>
          <w:tcPr>
            <w:tcW w:w="6616" w:type="dxa"/>
            <w:tcMar>
              <w:top w:w="50" w:type="dxa"/>
              <w:start w:w="90" w:type="dxa"/>
              <w:bottom w:w="50" w:type="dxa"/>
              <w:end w:w="90" w:type="dxa"/>
            </w:tcMar>
          </w:tcPr>
          <w:p>
            <w:pPr>
              <w:pStyle w:val="Compact"/>
              <w:spacing w:after="40" w:before="0"/>
            </w:pPr>
            <w:r>
              <w:rPr>
                <w:rFonts w:ascii="Calibri" w:hAnsi="Calibri"/>
                <w:color w:val="263238"/>
                <w:sz w:val="18"/>
              </w:rPr>
              <w:t xml:space="preserve">Set the latest stage at which named questions must be decided before dependent work proceeds</w:t>
            </w:r>
          </w:p>
        </w:tc>
      </w:tr>
      <w:tr>
        <w:trPr>
          <w:cantSplit/>
        </w:trPr>
        <w:tc>
          <w:tcPr>
            <w:tcW w:w="2743" w:type="dxa"/>
            <w:tcMar>
              <w:top w:w="50" w:type="dxa"/>
              <w:start w:w="90" w:type="dxa"/>
              <w:bottom w:w="50" w:type="dxa"/>
              <w:end w:w="90" w:type="dxa"/>
            </w:tcMar>
          </w:tcPr>
          <w:p>
            <w:pPr>
              <w:pStyle w:val="Compact"/>
              <w:spacing w:after="40" w:before="0"/>
            </w:pPr>
            <w:r>
              <w:rPr>
                <w:rFonts w:ascii="Calibri" w:hAnsi="Calibri"/>
                <w:color w:val="263238"/>
                <w:sz w:val="18"/>
              </w:rPr>
              <w:t xml:space="preserve">Validation gates RG1-RG6</w:t>
            </w:r>
          </w:p>
        </w:tc>
        <w:tc>
          <w:tcPr>
            <w:tcW w:w="6616" w:type="dxa"/>
            <w:tcMar>
              <w:top w:w="50" w:type="dxa"/>
              <w:start w:w="90" w:type="dxa"/>
              <w:bottom w:w="50" w:type="dxa"/>
              <w:end w:w="90" w:type="dxa"/>
            </w:tcMar>
          </w:tcPr>
          <w:p>
            <w:pPr>
              <w:pStyle w:val="Compact"/>
              <w:spacing w:after="40" w:before="0"/>
            </w:pPr>
            <w:r>
              <w:rPr>
                <w:rFonts w:ascii="Calibri" w:hAnsi="Calibri"/>
                <w:color w:val="263238"/>
                <w:sz w:val="18"/>
              </w:rPr>
              <w:t xml:space="preserve">Require implementation, test, simulation, integration, or security evidence before the system advances</w:t>
            </w:r>
          </w:p>
        </w:tc>
      </w:tr>
    </w:tbl>
    <w:p>
      <w:pPr>
        <w:pStyle w:val="BodyText"/>
      </w:pPr>
      <w:r>
        <w:t xml:space="preserve">The RG numbers are stable identifiers, not a chronological sequence. The Risk Register defines what each gate must demonstrate; this roadmap places them:</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00"/>
        <w:gridCol w:w="2100"/>
        <w:gridCol w:w="4859"/>
      </w:tblGrid>
      <w:tr>
        <w:trPr>
          <w:tblHeader w:val="on"/>
          <w:tblHeader w:val="true"/>
          <w:cantSplit/>
        </w:trPr>
        <w:tc>
          <w:tcPr>
            <w:tcW w:w="240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Roadmap stage</w:t>
            </w:r>
          </w:p>
        </w:tc>
        <w:tc>
          <w:tcPr>
            <w:tcW w:w="210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Validation gate</w:t>
            </w:r>
          </w:p>
        </w:tc>
        <w:tc>
          <w:tcPr>
            <w:tcW w:w="4859"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Role in that stage</w:t>
            </w:r>
          </w:p>
        </w:tc>
      </w:tr>
      <w:tr>
        <w:trPr>
          <w:cantSplit/>
        </w:trPr>
        <w:tc>
          <w:tcPr>
            <w:tcW w:w="2400" w:type="dxa"/>
            <w:tcMar>
              <w:top w:w="50" w:type="dxa"/>
              <w:start w:w="90" w:type="dxa"/>
              <w:bottom w:w="50" w:type="dxa"/>
              <w:end w:w="90" w:type="dxa"/>
            </w:tcMar>
          </w:tcPr>
          <w:p>
            <w:pPr>
              <w:pStyle w:val="Compact"/>
              <w:spacing w:after="40" w:before="0"/>
            </w:pPr>
            <w:r>
              <w:rPr>
                <w:rFonts w:ascii="Calibri" w:hAnsi="Calibri"/>
                <w:color w:val="263238"/>
                <w:sz w:val="18"/>
              </w:rPr>
              <w:t xml:space="preserve">In-node evidence proof of concept</w:t>
            </w:r>
          </w:p>
        </w:tc>
        <w:tc>
          <w:tcPr>
            <w:tcW w:w="2100" w:type="dxa"/>
            <w:tcMar>
              <w:top w:w="50" w:type="dxa"/>
              <w:start w:w="90" w:type="dxa"/>
              <w:bottom w:w="50" w:type="dxa"/>
              <w:end w:w="90" w:type="dxa"/>
            </w:tcMar>
          </w:tcPr>
          <w:p>
            <w:pPr>
              <w:pStyle w:val="Compact"/>
              <w:spacing w:after="40" w:before="0"/>
            </w:pPr>
            <w:r>
              <w:rPr>
                <w:rFonts w:ascii="Calibri" w:hAnsi="Calibri"/>
                <w:color w:val="263238"/>
                <w:sz w:val="18"/>
              </w:rPr>
              <w:t xml:space="preserve">RG1 Evidence and replay</w:t>
            </w:r>
          </w:p>
        </w:tc>
        <w:tc>
          <w:tcPr>
            <w:tcW w:w="4859" w:type="dxa"/>
            <w:tcMar>
              <w:top w:w="50" w:type="dxa"/>
              <w:start w:w="90" w:type="dxa"/>
              <w:bottom w:w="50" w:type="dxa"/>
              <w:end w:w="90" w:type="dxa"/>
            </w:tcMar>
          </w:tcPr>
          <w:p>
            <w:pPr>
              <w:pStyle w:val="Compact"/>
              <w:spacing w:after="40" w:before="0"/>
            </w:pPr>
            <w:r>
              <w:rPr>
                <w:rFonts w:ascii="Calibri" w:hAnsi="Calibri"/>
                <w:color w:val="263238"/>
                <w:sz w:val="18"/>
              </w:rPr>
              <w:t xml:space="preserve">Prove the evidence model, dependency handling, and replay/recomputation equivalence</w:t>
            </w:r>
          </w:p>
        </w:tc>
      </w:tr>
      <w:tr>
        <w:trPr>
          <w:cantSplit/>
        </w:trPr>
        <w:tc>
          <w:tcPr>
            <w:tcW w:w="2400" w:type="dxa"/>
            <w:tcMar>
              <w:top w:w="50" w:type="dxa"/>
              <w:start w:w="90" w:type="dxa"/>
              <w:bottom w:w="50" w:type="dxa"/>
              <w:end w:w="90" w:type="dxa"/>
            </w:tcMar>
          </w:tcPr>
          <w:p>
            <w:pPr>
              <w:pStyle w:val="Compact"/>
              <w:spacing w:after="40" w:before="0"/>
            </w:pPr>
            <w:r>
              <w:rPr>
                <w:rFonts w:ascii="Calibri" w:hAnsi="Calibri"/>
                <w:color w:val="263238"/>
                <w:sz w:val="18"/>
              </w:rPr>
              <w:t xml:space="preserve">In-node evidence proof of concept</w:t>
            </w:r>
          </w:p>
        </w:tc>
        <w:tc>
          <w:tcPr>
            <w:tcW w:w="2100" w:type="dxa"/>
            <w:tcMar>
              <w:top w:w="50" w:type="dxa"/>
              <w:start w:w="90" w:type="dxa"/>
              <w:bottom w:w="50" w:type="dxa"/>
              <w:end w:w="90" w:type="dxa"/>
            </w:tcMar>
          </w:tcPr>
          <w:p>
            <w:pPr>
              <w:pStyle w:val="Compact"/>
              <w:spacing w:after="40" w:before="0"/>
            </w:pPr>
            <w:r>
              <w:rPr>
                <w:rFonts w:ascii="Calibri" w:hAnsi="Calibri"/>
                <w:color w:val="263238"/>
                <w:sz w:val="18"/>
              </w:rPr>
              <w:t xml:space="preserve">RG4 Node proof of concept</w:t>
            </w:r>
          </w:p>
        </w:tc>
        <w:tc>
          <w:tcPr>
            <w:tcW w:w="4859" w:type="dxa"/>
            <w:tcMar>
              <w:top w:w="50" w:type="dxa"/>
              <w:start w:w="90" w:type="dxa"/>
              <w:bottom w:w="50" w:type="dxa"/>
              <w:end w:w="90" w:type="dxa"/>
            </w:tcMar>
          </w:tcPr>
          <w:p>
            <w:pPr>
              <w:pStyle w:val="Compact"/>
              <w:spacing w:after="40" w:before="0"/>
            </w:pPr>
            <w:r>
              <w:rPr>
                <w:rFonts w:ascii="Calibri" w:hAnsi="Calibri"/>
                <w:color w:val="263238"/>
                <w:sz w:val="18"/>
              </w:rPr>
              <w:t xml:space="preserve">Prove the complete flow and performance bounds on a real multi-validator F1R3FLY shard</w:t>
            </w:r>
          </w:p>
        </w:tc>
      </w:tr>
      <w:tr>
        <w:trPr>
          <w:cantSplit/>
        </w:trPr>
        <w:tc>
          <w:tcPr>
            <w:tcW w:w="2400" w:type="dxa"/>
            <w:tcMar>
              <w:top w:w="50" w:type="dxa"/>
              <w:start w:w="90" w:type="dxa"/>
              <w:bottom w:w="50" w:type="dxa"/>
              <w:end w:w="90" w:type="dxa"/>
            </w:tcMar>
          </w:tcPr>
          <w:p>
            <w:pPr>
              <w:pStyle w:val="Compact"/>
              <w:spacing w:after="40" w:before="0"/>
            </w:pPr>
            <w:r>
              <w:rPr>
                <w:rFonts w:ascii="Calibri" w:hAnsi="Calibri"/>
                <w:color w:val="263238"/>
                <w:sz w:val="18"/>
              </w:rPr>
              <w:t xml:space="preserve">Consumer integration and shadow health</w:t>
            </w:r>
          </w:p>
        </w:tc>
        <w:tc>
          <w:tcPr>
            <w:tcW w:w="2100" w:type="dxa"/>
            <w:tcMar>
              <w:top w:w="50" w:type="dxa"/>
              <w:start w:w="90" w:type="dxa"/>
              <w:bottom w:w="50" w:type="dxa"/>
              <w:end w:w="90" w:type="dxa"/>
            </w:tcMar>
          </w:tcPr>
          <w:p>
            <w:pPr>
              <w:pStyle w:val="Compact"/>
              <w:spacing w:after="40" w:before="0"/>
            </w:pPr>
            <w:r>
              <w:rPr>
                <w:rFonts w:ascii="Calibri" w:hAnsi="Calibri"/>
                <w:color w:val="263238"/>
                <w:sz w:val="18"/>
              </w:rPr>
              <w:t xml:space="preserve">RG5 Consumer import</w:t>
            </w:r>
          </w:p>
        </w:tc>
        <w:tc>
          <w:tcPr>
            <w:tcW w:w="4859" w:type="dxa"/>
            <w:tcMar>
              <w:top w:w="50" w:type="dxa"/>
              <w:start w:w="90" w:type="dxa"/>
              <w:bottom w:w="50" w:type="dxa"/>
              <w:end w:w="90" w:type="dxa"/>
            </w:tcMar>
          </w:tcPr>
          <w:p>
            <w:pPr>
              <w:pStyle w:val="Compact"/>
              <w:spacing w:after="40" w:before="0"/>
            </w:pPr>
            <w:r>
              <w:rPr>
                <w:rFonts w:ascii="Calibri" w:hAnsi="Calibri"/>
                <w:color w:val="263238"/>
                <w:sz w:val="18"/>
              </w:rPr>
              <w:t xml:space="preserve">Prove authenticated retrieval, verification, retry, and local import</w:t>
            </w:r>
          </w:p>
        </w:tc>
      </w:tr>
      <w:tr>
        <w:trPr>
          <w:cantSplit/>
        </w:trPr>
        <w:tc>
          <w:tcPr>
            <w:tcW w:w="2400" w:type="dxa"/>
            <w:tcMar>
              <w:top w:w="50" w:type="dxa"/>
              <w:start w:w="90" w:type="dxa"/>
              <w:bottom w:w="50" w:type="dxa"/>
              <w:end w:w="90" w:type="dxa"/>
            </w:tcMar>
          </w:tcPr>
          <w:p>
            <w:pPr>
              <w:pStyle w:val="Compact"/>
              <w:spacing w:after="40" w:before="0"/>
            </w:pPr>
            <w:r>
              <w:rPr>
                <w:rFonts w:ascii="Calibri" w:hAnsi="Calibri"/>
                <w:color w:val="263238"/>
                <w:sz w:val="18"/>
              </w:rPr>
              <w:t xml:space="preserve">Adversarial hardening and policy calibration</w:t>
            </w:r>
          </w:p>
        </w:tc>
        <w:tc>
          <w:tcPr>
            <w:tcW w:w="2100" w:type="dxa"/>
            <w:tcMar>
              <w:top w:w="50" w:type="dxa"/>
              <w:start w:w="90" w:type="dxa"/>
              <w:bottom w:w="50" w:type="dxa"/>
              <w:end w:w="90" w:type="dxa"/>
            </w:tcMar>
          </w:tcPr>
          <w:p>
            <w:pPr>
              <w:pStyle w:val="Compact"/>
              <w:spacing w:after="40" w:before="0"/>
            </w:pPr>
            <w:r>
              <w:rPr>
                <w:rFonts w:ascii="Calibri" w:hAnsi="Calibri"/>
                <w:color w:val="263238"/>
                <w:sz w:val="18"/>
              </w:rPr>
              <w:t xml:space="preserve">RG2 Metamorphic and adversarial; RG3 Historical and simulation</w:t>
            </w:r>
          </w:p>
        </w:tc>
        <w:tc>
          <w:tcPr>
            <w:tcW w:w="4859" w:type="dxa"/>
            <w:tcMar>
              <w:top w:w="50" w:type="dxa"/>
              <w:start w:w="90" w:type="dxa"/>
              <w:bottom w:w="50" w:type="dxa"/>
              <w:end w:w="90" w:type="dxa"/>
            </w:tcMar>
          </w:tcPr>
          <w:p>
            <w:pPr>
              <w:pStyle w:val="Compact"/>
              <w:spacing w:after="40" w:before="0"/>
            </w:pPr>
            <w:r>
              <w:rPr>
                <w:rFonts w:ascii="Calibri" w:hAnsi="Calibri"/>
                <w:color w:val="263238"/>
                <w:sz w:val="18"/>
              </w:rPr>
              <w:t xml:space="preserve">Demonstrate resistance to strategic manipulation and calibrate projections against historical outcomes</w:t>
            </w:r>
          </w:p>
        </w:tc>
      </w:tr>
      <w:tr>
        <w:trPr>
          <w:cantSplit/>
        </w:trPr>
        <w:tc>
          <w:tcPr>
            <w:tcW w:w="2400" w:type="dxa"/>
            <w:tcMar>
              <w:top w:w="50" w:type="dxa"/>
              <w:start w:w="90" w:type="dxa"/>
              <w:bottom w:w="50" w:type="dxa"/>
              <w:end w:w="90" w:type="dxa"/>
            </w:tcMar>
          </w:tcPr>
          <w:p>
            <w:pPr>
              <w:pStyle w:val="Compact"/>
              <w:spacing w:after="40" w:before="0"/>
            </w:pPr>
            <w:r>
              <w:rPr>
                <w:rFonts w:ascii="Calibri" w:hAnsi="Calibri"/>
                <w:color w:val="263238"/>
                <w:sz w:val="18"/>
              </w:rPr>
              <w:t xml:space="preserve">Production readiness and bounded activation</w:t>
            </w:r>
          </w:p>
        </w:tc>
        <w:tc>
          <w:tcPr>
            <w:tcW w:w="2100" w:type="dxa"/>
            <w:tcMar>
              <w:top w:w="50" w:type="dxa"/>
              <w:start w:w="90" w:type="dxa"/>
              <w:bottom w:w="50" w:type="dxa"/>
              <w:end w:w="90" w:type="dxa"/>
            </w:tcMar>
          </w:tcPr>
          <w:p>
            <w:pPr>
              <w:pStyle w:val="Compact"/>
              <w:spacing w:after="40" w:before="0"/>
            </w:pPr>
            <w:r>
              <w:rPr>
                <w:rFonts w:ascii="Calibri" w:hAnsi="Calibri"/>
                <w:color w:val="263238"/>
                <w:sz w:val="18"/>
              </w:rPr>
              <w:t xml:space="preserve">RG6 Security and privacy</w:t>
            </w:r>
          </w:p>
        </w:tc>
        <w:tc>
          <w:tcPr>
            <w:tcW w:w="4859" w:type="dxa"/>
            <w:tcMar>
              <w:top w:w="50" w:type="dxa"/>
              <w:start w:w="90" w:type="dxa"/>
              <w:bottom w:w="50" w:type="dxa"/>
              <w:end w:w="90" w:type="dxa"/>
            </w:tcMar>
          </w:tcPr>
          <w:p>
            <w:pPr>
              <w:pStyle w:val="Compact"/>
              <w:spacing w:after="40" w:before="0"/>
            </w:pPr>
            <w:r>
              <w:rPr>
                <w:rFonts w:ascii="Calibri" w:hAnsi="Calibri"/>
                <w:color w:val="263238"/>
                <w:sz w:val="18"/>
              </w:rPr>
              <w:t xml:space="preserve">Close authorization, key lifecycle, dispute-abuse, payload-access, metadata, and incident-response requirements before affected production use</w:t>
            </w:r>
          </w:p>
        </w:tc>
      </w:tr>
    </w:tbl>
    <w:bookmarkEnd w:id="10"/>
    <w:bookmarkEnd w:id="11"/>
    <w:bookmarkStart w:id="12" w:name="X20b9bc4928b3278f9b2251d80c48666649c7f24"/>
    <w:p>
      <w:pPr>
        <w:pStyle w:val="Heading1"/>
      </w:pPr>
      <w:r>
        <w:t xml:space="preserve">2. Activation ladder</w:t>
      </w:r>
    </w:p>
    <w:tbl>
      <w:tblPr>
        <w:tblStyle w:val="Table"/>
        <w:tblLook w:firstRow="1" w:lastRow="0" w:firstColumn="0" w:lastColumn="0" w:noHBand="0" w:noVBand="0" w:val="0020"/>
        <w:tblW w:w="9358"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06"/>
        <w:gridCol w:w="3886"/>
        <w:gridCol w:w="3966"/>
      </w:tblGrid>
      <w:tr>
        <w:trPr>
          <w:tblHeader w:val="on"/>
          <w:tblHeader w:val="true"/>
          <w:cantSplit/>
        </w:trPr>
        <w:tc>
          <w:tcPr>
            <w:tcW w:w="150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Stage</w:t>
            </w:r>
          </w:p>
        </w:tc>
        <w:tc>
          <w:tcPr>
            <w:tcW w:w="388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Behavior</w:t>
            </w:r>
          </w:p>
        </w:tc>
        <w:tc>
          <w:tcPr>
            <w:tcW w:w="396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Promotion condition</w:t>
            </w:r>
          </w:p>
        </w:tc>
      </w:tr>
      <w:tr>
        <w:trPr>
          <w:cantSplit/>
        </w:trPr>
        <w:tc>
          <w:tcPr>
            <w:tcW w:w="1506" w:type="dxa"/>
            <w:tcMar>
              <w:top w:w="50" w:type="dxa"/>
              <w:start w:w="90" w:type="dxa"/>
              <w:bottom w:w="50" w:type="dxa"/>
              <w:end w:w="90" w:type="dxa"/>
            </w:tcMar>
          </w:tcPr>
          <w:p>
            <w:pPr>
              <w:pStyle w:val="Compact"/>
              <w:spacing w:after="40" w:before="0"/>
            </w:pPr>
            <w:r>
              <w:rPr>
                <w:rFonts w:ascii="Calibri" w:hAnsi="Calibri"/>
                <w:color w:val="263238"/>
                <w:sz w:val="18"/>
              </w:rPr>
              <w:t xml:space="preserve">Observe</w:t>
            </w:r>
          </w:p>
        </w:tc>
        <w:tc>
          <w:tcPr>
            <w:tcW w:w="3886" w:type="dxa"/>
            <w:tcMar>
              <w:top w:w="50" w:type="dxa"/>
              <w:start w:w="90" w:type="dxa"/>
              <w:bottom w:w="50" w:type="dxa"/>
              <w:end w:w="90" w:type="dxa"/>
            </w:tcMar>
          </w:tcPr>
          <w:p>
            <w:pPr>
              <w:pStyle w:val="Compact"/>
              <w:spacing w:after="40" w:before="0"/>
            </w:pPr>
            <w:r>
              <w:rPr>
                <w:rFonts w:ascii="Calibri" w:hAnsi="Calibri"/>
                <w:color w:val="263238"/>
                <w:sz w:val="18"/>
              </w:rPr>
              <w:t xml:space="preserve">Collect and query evidence; report coverage and provenance</w:t>
            </w:r>
          </w:p>
        </w:tc>
        <w:tc>
          <w:tcPr>
            <w:tcW w:w="3966" w:type="dxa"/>
            <w:tcMar>
              <w:top w:w="50" w:type="dxa"/>
              <w:start w:w="90" w:type="dxa"/>
              <w:bottom w:w="50" w:type="dxa"/>
              <w:end w:w="90" w:type="dxa"/>
            </w:tcMar>
          </w:tcPr>
          <w:p>
            <w:pPr>
              <w:pStyle w:val="Compact"/>
              <w:spacing w:after="40" w:before="0"/>
            </w:pPr>
            <w:r>
              <w:rPr>
                <w:rFonts w:ascii="Calibri" w:hAnsi="Calibri"/>
                <w:color w:val="263238"/>
                <w:sz w:val="18"/>
              </w:rPr>
              <w:t xml:space="preserve">Evidence and replay correctness demonstrated</w:t>
            </w:r>
          </w:p>
        </w:tc>
      </w:tr>
      <w:tr>
        <w:trPr>
          <w:cantSplit/>
        </w:trPr>
        <w:tc>
          <w:tcPr>
            <w:tcW w:w="1506" w:type="dxa"/>
            <w:tcMar>
              <w:top w:w="50" w:type="dxa"/>
              <w:start w:w="90" w:type="dxa"/>
              <w:bottom w:w="50" w:type="dxa"/>
              <w:end w:w="90" w:type="dxa"/>
            </w:tcMar>
          </w:tcPr>
          <w:p>
            <w:pPr>
              <w:pStyle w:val="Compact"/>
              <w:spacing w:after="40" w:before="0"/>
            </w:pPr>
            <w:r>
              <w:rPr>
                <w:rFonts w:ascii="Calibri" w:hAnsi="Calibri"/>
                <w:color w:val="263238"/>
                <w:sz w:val="18"/>
              </w:rPr>
              <w:t xml:space="preserve">Shadow</w:t>
            </w:r>
          </w:p>
        </w:tc>
        <w:tc>
          <w:tcPr>
            <w:tcW w:w="3886" w:type="dxa"/>
            <w:tcMar>
              <w:top w:w="50" w:type="dxa"/>
              <w:start w:w="90" w:type="dxa"/>
              <w:bottom w:w="50" w:type="dxa"/>
              <w:end w:w="90" w:type="dxa"/>
            </w:tcMar>
          </w:tcPr>
          <w:p>
            <w:pPr>
              <w:pStyle w:val="Compact"/>
              <w:spacing w:after="40" w:before="0"/>
            </w:pPr>
            <w:r>
              <w:rPr>
                <w:rFonts w:ascii="Calibri" w:hAnsi="Calibri"/>
                <w:color w:val="263238"/>
                <w:sz w:val="18"/>
              </w:rPr>
              <w:t xml:space="preserve">Compute projection and proposed actions without executing them</w:t>
            </w:r>
          </w:p>
        </w:tc>
        <w:tc>
          <w:tcPr>
            <w:tcW w:w="3966" w:type="dxa"/>
            <w:tcMar>
              <w:top w:w="50" w:type="dxa"/>
              <w:start w:w="90" w:type="dxa"/>
              <w:bottom w:w="50" w:type="dxa"/>
              <w:end w:w="90" w:type="dxa"/>
            </w:tcMar>
          </w:tcPr>
          <w:p>
            <w:pPr>
              <w:pStyle w:val="Compact"/>
              <w:spacing w:after="40" w:before="0"/>
            </w:pPr>
            <w:r>
              <w:rPr>
                <w:rFonts w:ascii="Calibri" w:hAnsi="Calibri"/>
                <w:color w:val="263238"/>
                <w:sz w:val="18"/>
              </w:rPr>
              <w:t xml:space="preserve">Historical and live calibration plus adversarial tests pass</w:t>
            </w:r>
          </w:p>
        </w:tc>
      </w:tr>
      <w:tr>
        <w:trPr>
          <w:cantSplit/>
        </w:trPr>
        <w:tc>
          <w:tcPr>
            <w:tcW w:w="1506" w:type="dxa"/>
            <w:tcMar>
              <w:top w:w="50" w:type="dxa"/>
              <w:start w:w="90" w:type="dxa"/>
              <w:bottom w:w="50" w:type="dxa"/>
              <w:end w:w="90" w:type="dxa"/>
            </w:tcMar>
          </w:tcPr>
          <w:p>
            <w:pPr>
              <w:pStyle w:val="Compact"/>
              <w:spacing w:after="40" w:before="0"/>
            </w:pPr>
            <w:r>
              <w:rPr>
                <w:rFonts w:ascii="Calibri" w:hAnsi="Calibri"/>
                <w:color w:val="263238"/>
                <w:sz w:val="18"/>
              </w:rPr>
              <w:t xml:space="preserve">Advise</w:t>
            </w:r>
          </w:p>
        </w:tc>
        <w:tc>
          <w:tcPr>
            <w:tcW w:w="3886" w:type="dxa"/>
            <w:tcMar>
              <w:top w:w="50" w:type="dxa"/>
              <w:start w:w="90" w:type="dxa"/>
              <w:bottom w:w="50" w:type="dxa"/>
              <w:end w:w="90" w:type="dxa"/>
            </w:tcMar>
          </w:tcPr>
          <w:p>
            <w:pPr>
              <w:pStyle w:val="Compact"/>
              <w:spacing w:after="40" w:before="0"/>
            </w:pPr>
            <w:r>
              <w:rPr>
                <w:rFonts w:ascii="Calibri" w:hAnsi="Calibri"/>
                <w:color w:val="263238"/>
                <w:sz w:val="18"/>
              </w:rPr>
              <w:t xml:space="preserve">Non-binding dashboards, alerts, and routing suggestions</w:t>
            </w:r>
          </w:p>
        </w:tc>
        <w:tc>
          <w:tcPr>
            <w:tcW w:w="3966" w:type="dxa"/>
            <w:tcMar>
              <w:top w:w="50" w:type="dxa"/>
              <w:start w:w="90" w:type="dxa"/>
              <w:bottom w:w="50" w:type="dxa"/>
              <w:end w:w="90" w:type="dxa"/>
            </w:tcMar>
          </w:tcPr>
          <w:p>
            <w:pPr>
              <w:pStyle w:val="Compact"/>
              <w:spacing w:after="40" w:before="0"/>
            </w:pPr>
            <w:r>
              <w:rPr>
                <w:rFonts w:ascii="Calibri" w:hAnsi="Calibri"/>
                <w:color w:val="263238"/>
                <w:sz w:val="18"/>
              </w:rPr>
              <w:t xml:space="preserve">False-positive cost, disputes, and operator response are acceptable</w:t>
            </w:r>
          </w:p>
        </w:tc>
      </w:tr>
      <w:tr>
        <w:trPr>
          <w:cantSplit/>
        </w:trPr>
        <w:tc>
          <w:tcPr>
            <w:tcW w:w="1506" w:type="dxa"/>
            <w:tcMar>
              <w:top w:w="50" w:type="dxa"/>
              <w:start w:w="90" w:type="dxa"/>
              <w:bottom w:w="50" w:type="dxa"/>
              <w:end w:w="90" w:type="dxa"/>
            </w:tcMar>
          </w:tcPr>
          <w:p>
            <w:pPr>
              <w:pStyle w:val="Compact"/>
              <w:spacing w:after="40" w:before="0"/>
            </w:pPr>
            <w:r>
              <w:rPr>
                <w:rFonts w:ascii="Calibri" w:hAnsi="Calibri"/>
                <w:color w:val="263238"/>
                <w:sz w:val="18"/>
              </w:rPr>
              <w:t xml:space="preserve">Bounded incentives</w:t>
            </w:r>
          </w:p>
        </w:tc>
        <w:tc>
          <w:tcPr>
            <w:tcW w:w="3886" w:type="dxa"/>
            <w:tcMar>
              <w:top w:w="50" w:type="dxa"/>
              <w:start w:w="90" w:type="dxa"/>
              <w:bottom w:w="50" w:type="dxa"/>
              <w:end w:w="90" w:type="dxa"/>
            </w:tcMar>
          </w:tcPr>
          <w:p>
            <w:pPr>
              <w:pStyle w:val="Compact"/>
              <w:spacing w:after="40" w:before="0"/>
            </w:pPr>
            <w:r>
              <w:rPr>
                <w:rFonts w:ascii="Calibri" w:hAnsi="Calibri"/>
                <w:color w:val="263238"/>
                <w:sz w:val="18"/>
              </w:rPr>
              <w:t xml:space="preserve">Small reversible reward influence with caps, lag, and rollback</w:t>
            </w:r>
          </w:p>
        </w:tc>
        <w:tc>
          <w:tcPr>
            <w:tcW w:w="3966" w:type="dxa"/>
            <w:tcMar>
              <w:top w:w="50" w:type="dxa"/>
              <w:start w:w="90" w:type="dxa"/>
              <w:bottom w:w="50" w:type="dxa"/>
              <w:end w:w="90" w:type="dxa"/>
            </w:tcMar>
          </w:tcPr>
          <w:p>
            <w:pPr>
              <w:pStyle w:val="Compact"/>
              <w:spacing w:after="40" w:before="0"/>
            </w:pPr>
            <w:r>
              <w:rPr>
                <w:rFonts w:ascii="Calibri" w:hAnsi="Calibri"/>
                <w:color w:val="263238"/>
                <w:sz w:val="18"/>
              </w:rPr>
              <w:t xml:space="preserve">Gate 2 decisions and control-loop acceptance metrics pass</w:t>
            </w:r>
          </w:p>
        </w:tc>
      </w:tr>
      <w:tr>
        <w:trPr>
          <w:cantSplit/>
        </w:trPr>
        <w:tc>
          <w:tcPr>
            <w:tcW w:w="1506" w:type="dxa"/>
            <w:tcMar>
              <w:top w:w="50" w:type="dxa"/>
              <w:start w:w="90" w:type="dxa"/>
              <w:bottom w:w="50" w:type="dxa"/>
              <w:end w:w="90" w:type="dxa"/>
            </w:tcMar>
          </w:tcPr>
          <w:p>
            <w:pPr>
              <w:pStyle w:val="Compact"/>
              <w:spacing w:after="40" w:before="0"/>
            </w:pPr>
            <w:r>
              <w:rPr>
                <w:rFonts w:ascii="Calibri" w:hAnsi="Calibri"/>
                <w:color w:val="263238"/>
                <w:sz w:val="18"/>
              </w:rPr>
              <w:t xml:space="preserve">Safety-sensitive control</w:t>
            </w:r>
          </w:p>
        </w:tc>
        <w:tc>
          <w:tcPr>
            <w:tcW w:w="3886" w:type="dxa"/>
            <w:tcMar>
              <w:top w:w="50" w:type="dxa"/>
              <w:start w:w="90" w:type="dxa"/>
              <w:bottom w:w="50" w:type="dxa"/>
              <w:end w:w="90" w:type="dxa"/>
            </w:tcMar>
          </w:tcPr>
          <w:p>
            <w:pPr>
              <w:pStyle w:val="Compact"/>
              <w:spacing w:after="40" w:before="0"/>
            </w:pPr>
            <w:r>
              <w:rPr>
                <w:rFonts w:ascii="Calibri" w:hAnsi="Calibri"/>
                <w:color w:val="263238"/>
                <w:sz w:val="18"/>
              </w:rPr>
              <w:t xml:space="preserve">Eligibility, blocking, slashing, or larger economic effect</w:t>
            </w:r>
          </w:p>
        </w:tc>
        <w:tc>
          <w:tcPr>
            <w:tcW w:w="3966" w:type="dxa"/>
            <w:tcMar>
              <w:top w:w="50" w:type="dxa"/>
              <w:start w:w="90" w:type="dxa"/>
              <w:bottom w:w="50" w:type="dxa"/>
              <w:end w:w="90" w:type="dxa"/>
            </w:tcMar>
          </w:tcPr>
          <w:p>
            <w:pPr>
              <w:pStyle w:val="Compact"/>
              <w:spacing w:after="40" w:before="0"/>
            </w:pPr>
            <w:r>
              <w:rPr>
                <w:rFonts w:ascii="Calibri" w:hAnsi="Calibri"/>
                <w:color w:val="263238"/>
                <w:sz w:val="18"/>
              </w:rPr>
              <w:t xml:space="preserve">Separate production/governance approval after sustained operation</w:t>
            </w:r>
          </w:p>
        </w:tc>
      </w:tr>
    </w:tbl>
    <w:p>
      <w:pPr>
        <w:pStyle w:val="BodyText"/>
      </w:pPr>
      <w:r>
        <w:t xml:space="preserve">Milestone 5 commits only to design and planning. The first implementation milestone should target Observe and the foundations of Shadow.</w:t>
      </w:r>
    </w:p>
    <w:bookmarkEnd w:id="12"/>
    <w:bookmarkStart w:id="19" w:name="X991e369b2b6a0cca5c7a3eb876bb3164030dc50"/>
    <w:p>
      <w:pPr>
        <w:pStyle w:val="Heading1"/>
      </w:pPr>
      <w:r>
        <w:t xml:space="preserve">3. Next milestone: in-node evidence proof of concept</w:t>
      </w:r>
    </w:p>
    <w:bookmarkStart w:id="13" w:name="objective"/>
    <w:p>
      <w:pPr>
        <w:pStyle w:val="Heading2"/>
      </w:pPr>
      <w:r>
        <w:t xml:space="preserve">Objective</w:t>
      </w:r>
    </w:p>
    <w:p>
      <w:pPr>
        <w:pStyle w:val="FirstParagraph"/>
      </w:pPr>
      <w:r>
        <w:t xml:space="preserve">Demonstrate that</w:t>
      </w:r>
      <w:r>
        <w:t xml:space="preserve"> </w:t>
      </w:r>
      <w:r>
        <w:rPr>
          <w:rStyle w:val="VerbatimChar"/>
        </w:rPr>
        <w:t xml:space="preserve">f1r3node-rust</w:t>
      </w:r>
      <w:r>
        <w:t xml:space="preserve"> </w:t>
      </w:r>
      <w:r>
        <w:t xml:space="preserve">can host the canonical validator-evidence loop without a canonical sidecar: ingest -&gt; finalize -&gt; query -&gt; counterclaim/invalidate -&gt; replay, with answer-plus-proof responses and measured bounds.</w:t>
      </w:r>
    </w:p>
    <w:bookmarkEnd w:id="13"/>
    <w:bookmarkStart w:id="14" w:name="entry-criteria"/>
    <w:p>
      <w:pPr>
        <w:pStyle w:val="Heading2"/>
      </w:pPr>
      <w:r>
        <w:t xml:space="preserve">Entry criteria</w:t>
      </w:r>
    </w:p>
    <w:p>
      <w:pPr>
        <w:pStyle w:val="Compact"/>
        <w:numPr>
          <w:ilvl w:val="0"/>
          <w:numId w:val="1002"/>
        </w:numPr>
      </w:pPr>
      <w:r>
        <w:t xml:space="preserve">Gate 1 answers exist for initial validator types, event sources, minimum schema, V1 trusters, first queries, correction behavior, query access/completion, and the atomic versus staged state boundary.</w:t>
      </w:r>
    </w:p>
    <w:p>
      <w:pPr>
        <w:pStyle w:val="Compact"/>
        <w:numPr>
          <w:ilvl w:val="0"/>
          <w:numId w:val="1002"/>
        </w:numPr>
      </w:pPr>
      <w:r>
        <w:t xml:space="preserve">Architecture Design and Evidence and Claims Model are approved as prototype hypotheses.</w:t>
      </w:r>
    </w:p>
    <w:p>
      <w:pPr>
        <w:pStyle w:val="Compact"/>
        <w:numPr>
          <w:ilvl w:val="0"/>
          <w:numId w:val="1002"/>
        </w:numPr>
      </w:pPr>
      <w:r>
        <w:t xml:space="preserve">Test volumes, degree/fanout distributions, latency limits, and retention assumptions are recorded.</w:t>
      </w:r>
    </w:p>
    <w:bookmarkEnd w:id="14"/>
    <w:bookmarkStart w:id="15" w:name="prototype-acceptance-inputs"/>
    <w:p>
      <w:pPr>
        <w:pStyle w:val="Heading2"/>
      </w:pPr>
      <w:r>
        <w:t xml:space="preserve">Prototype acceptance inputs</w:t>
      </w:r>
    </w:p>
    <w:p>
      <w:pPr>
        <w:pStyle w:val="FirstParagraph"/>
      </w:pPr>
      <w:r>
        <w:t xml:space="preserve">These rows become the RG4 pass/fail contract once their</w:t>
      </w:r>
      <w:r>
        <w:t xml:space="preserve"> </w:t>
      </w:r>
      <w:r>
        <w:rPr>
          <w:rStyle w:val="VerbatimChar"/>
        </w:rPr>
        <w:t xml:space="preserve">TBD</w:t>
      </w:r>
      <w:r>
        <w:t xml:space="preserve"> </w:t>
      </w:r>
      <w:r>
        <w:t xml:space="preserve">targets are fixed by the named Gate 1 questions: decisions supply the bounds, and RG4 evidence shows the prototype meets them. Targets marked</w:t>
      </w:r>
      <w:r>
        <w:t xml:space="preserve"> </w:t>
      </w:r>
      <w:r>
        <w:rPr>
          <w:rStyle w:val="VerbatimChar"/>
        </w:rPr>
        <w:t xml:space="preserve">TBD</w:t>
      </w:r>
      <w:r>
        <w:t xml:space="preserve"> </w:t>
      </w:r>
      <w:r>
        <w:t xml:space="preserve">are owned decisions, not permission to begin benchmarking without a bound.</w:t>
      </w:r>
    </w:p>
    <w:tbl>
      <w:tblPr>
        <w:tblStyle w:val="Table"/>
        <w:tblLook w:firstRow="1" w:lastRow="0" w:firstColumn="0" w:lastColumn="0" w:noHBand="0" w:noVBand="0" w:val="0020"/>
        <w:tblW w:w="9360"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5"/>
        <w:gridCol w:w="1800"/>
        <w:gridCol w:w="2859"/>
        <w:gridCol w:w="1671"/>
        <w:gridCol w:w="1325"/>
      </w:tblGrid>
      <w:tr>
        <w:trPr>
          <w:tblHeader w:val="on"/>
          <w:tblHeader w:val="true"/>
          <w:cantSplit/>
        </w:trPr>
        <w:tc>
          <w:tcPr>
            <w:tcW w:w="1705"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Metric or contract</w:t>
            </w:r>
          </w:p>
        </w:tc>
        <w:tc>
          <w:tcPr>
            <w:tcW w:w="1800"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Target / limit</w:t>
            </w:r>
          </w:p>
        </w:tc>
        <w:tc>
          <w:tcPr>
            <w:tcW w:w="2859"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Hard failure condition</w:t>
            </w:r>
          </w:p>
        </w:tc>
        <w:tc>
          <w:tcPr>
            <w:tcW w:w="1671"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Measurement evidence</w:t>
            </w:r>
          </w:p>
        </w:tc>
        <w:tc>
          <w:tcPr>
            <w:tcW w:w="1325" w:type="dxa"/>
            <w:tcMar>
              <w:top w:w="50" w:type="dxa"/>
              <w:start w:w="90" w:type="dxa"/>
              <w:bottom w:w="50" w:type="dxa"/>
              <w:end w:w="90" w:type="dxa"/>
            </w:tcMar>
            <w:shd w:val="clear" w:fill="F2F4F7"/>
          </w:tcPr>
          <w:p>
            <w:pPr>
              <w:pStyle w:val="Compact"/>
              <w:spacing w:after="40" w:before="0"/>
            </w:pPr>
            <w:r>
              <w:rPr>
                <w:rFonts w:ascii="Calibri" w:hAnsi="Calibri"/>
                <w:b/>
                <w:color w:val="1F4D78"/>
                <w:sz w:val="16"/>
              </w:rPr>
              <w:t xml:space="preserve">Owner</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Retained evidence volume and events per epoch</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Q26 before PoC contract freeze</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No agreed workload envelope, or the agreed envelope cannot complete deterministic replay</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Fixture manifest and replay report</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protocol/performance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Local incoming/outgoing degree and traversal depth</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Q26 before PoC contract freeze</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Unbounded scan/traversal or agreed fanout/depth exceeds cost limit</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Degree-distribution fixtures and traversal benchmark</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protocol/performance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Evidence-query response size and latency</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Q4/Q26 before PoC contract freeze</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Response cannot be bounded or omits required coverage/verification state to meet the bound</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Query benchmark with complete, disputed, missing, and redacted cases</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product/performance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Concurrent evidence/lifecycle submission throughput and channel contention</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Q26 before PoC contract freeze</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One hot ingress, history container, or shared coordination key serializes unrelated event classes beyond the agreed throughput/finality bound</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Mixed-event multi-validator load report by contract/channel family, shared convergence key, and hot partition, separating unrelated-key from same-key contention</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protocol/performance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Dependency-derived affected-context size and recomputation time</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Q14/Q26 before PoC contract freeze</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Incremental dependency traversal differs from full rebuild or exceeds the agreed limit</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Incremental versus full-rebuild report</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protocol/performance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Checkpoint, index rebuild, and full replay time</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Q26 before PoC contract freeze</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Rebuilt index/state differs from canonical replay or exceeds the agreed recovery window</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Multi-validator checkpoint/rebuild report</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protocol/operations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Storage growth and payload-availability window</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Q3/Q5/Q7/Q26</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Commitment remains verifiable while required payload is unavailable or storage exceeds the agreed envelope</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Storage/availability report with omission fixtures</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protocol/operations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Authorization, duplicate, replay, and privacy-safe rejection</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All declared invalid fixtures rejected deterministically, including cross-family and cross-partition duplicates</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Any unauthorized/duplicate/replayed event is accepted, the same logical event receives conflicting final outcomes, or an error leaks restricted payload data</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Negative-fixture and cross-family idempotency report</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security/protocol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Receipt and dispute status visibility</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Native node deploy response/finalization states and a separate application-outcome receipt fixed before PoC contract freeze; dispute-case status remains a separate field</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Finalized outcomes lack deploy/checkpoint binding, retries create conflicting receipts, application outcomes disappear with API logs, or node finality is mistaken for dispute merits</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Journey execution and receipt-replay log for UJ-1 through UJ-3</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product/governance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Atomic core write set</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Q30 before PoC contract freeze</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Required evidence, lookup, provenance, direct reverse-dependency, idempotency, or receipt entries cannot finalize together within the agreed deploy/block bound</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Write-set size, execution-cost, contention, and finality report at representative fanout</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protocol/performance (TBD)</w:t>
            </w:r>
          </w:p>
        </w:tc>
      </w:tr>
      <w:tr>
        <w:tc>
          <w:tcPr>
            <w:tcW w:w="1705" w:type="dxa"/>
            <w:tcMar>
              <w:top w:w="50" w:type="dxa"/>
              <w:start w:w="90" w:type="dxa"/>
              <w:bottom w:w="50" w:type="dxa"/>
              <w:end w:w="90" w:type="dxa"/>
            </w:tcMar>
          </w:tcPr>
          <w:p>
            <w:pPr>
              <w:pStyle w:val="Compact"/>
              <w:spacing w:after="40" w:before="0"/>
            </w:pPr>
            <w:r>
              <w:rPr>
                <w:rFonts w:ascii="Calibri" w:hAnsi="Calibri"/>
                <w:color w:val="263238"/>
                <w:sz w:val="16"/>
              </w:rPr>
              <w:t xml:space="preserve">Staged materialization publication</w:t>
            </w:r>
          </w:p>
        </w:tc>
        <w:tc>
          <w:tcPr>
            <w:tcW w:w="1800" w:type="dxa"/>
            <w:tcMar>
              <w:top w:w="50" w:type="dxa"/>
              <w:start w:w="90" w:type="dxa"/>
              <w:bottom w:w="50" w:type="dxa"/>
              <w:end w:w="90" w:type="dxa"/>
            </w:tcMar>
          </w:tcPr>
          <w:p>
            <w:pPr>
              <w:pStyle w:val="Compact"/>
              <w:spacing w:after="40" w:before="0"/>
            </w:pPr>
            <w:r>
              <w:rPr>
                <w:rFonts w:ascii="Calibri" w:hAnsi="Calibri"/>
                <w:color w:val="263238"/>
                <w:sz w:val="16"/>
              </w:rPr>
              <w:t xml:space="preserve">TBD in Q30 before PoC contract freeze</w:t>
            </w:r>
          </w:p>
        </w:tc>
        <w:tc>
          <w:tcPr>
            <w:tcW w:w="2859" w:type="dxa"/>
            <w:tcMar>
              <w:top w:w="50" w:type="dxa"/>
              <w:start w:w="90" w:type="dxa"/>
              <w:bottom w:w="50" w:type="dxa"/>
              <w:end w:w="90" w:type="dxa"/>
            </w:tcMar>
          </w:tcPr>
          <w:p>
            <w:pPr>
              <w:pStyle w:val="Compact"/>
              <w:spacing w:after="40" w:before="0"/>
            </w:pPr>
            <w:r>
              <w:rPr>
                <w:rFonts w:ascii="Calibri" w:hAnsi="Calibri"/>
                <w:color w:val="263238"/>
                <w:sz w:val="16"/>
              </w:rPr>
              <w:t xml:space="preserve">A partial, failed, or abandoned build becomes queryable, or activation cannot be replayed deterministically</w:t>
            </w:r>
          </w:p>
        </w:tc>
        <w:tc>
          <w:tcPr>
            <w:tcW w:w="1671" w:type="dxa"/>
            <w:tcMar>
              <w:top w:w="50" w:type="dxa"/>
              <w:start w:w="90" w:type="dxa"/>
              <w:bottom w:w="50" w:type="dxa"/>
              <w:end w:w="90" w:type="dxa"/>
            </w:tcMar>
          </w:tcPr>
          <w:p>
            <w:pPr>
              <w:pStyle w:val="Compact"/>
              <w:spacing w:after="40" w:before="0"/>
            </w:pPr>
            <w:r>
              <w:rPr>
                <w:rFonts w:ascii="Calibri" w:hAnsi="Calibri"/>
                <w:color w:val="263238"/>
                <w:sz w:val="16"/>
              </w:rPr>
              <w:t xml:space="preserve">Multi-block build, interruption, retry, activation, and recovery report</w:t>
            </w:r>
          </w:p>
        </w:tc>
        <w:tc>
          <w:tcPr>
            <w:tcW w:w="1325" w:type="dxa"/>
            <w:tcMar>
              <w:top w:w="50" w:type="dxa"/>
              <w:start w:w="90" w:type="dxa"/>
              <w:bottom w:w="50" w:type="dxa"/>
              <w:end w:w="90" w:type="dxa"/>
            </w:tcMar>
          </w:tcPr>
          <w:p>
            <w:pPr>
              <w:pStyle w:val="Compact"/>
              <w:spacing w:after="40" w:before="0"/>
            </w:pPr>
            <w:r>
              <w:rPr>
                <w:rFonts w:ascii="Calibri" w:hAnsi="Calibri"/>
                <w:color w:val="263238"/>
                <w:sz w:val="16"/>
              </w:rPr>
              <w:t xml:space="preserve">SNet protocol/operations (TBD)</w:t>
            </w:r>
          </w:p>
        </w:tc>
      </w:tr>
    </w:tbl>
    <w:bookmarkEnd w:id="15"/>
    <w:bookmarkStart w:id="17" w:name="work-packages"/>
    <w:p>
      <w:pPr>
        <w:pStyle w:val="Heading2"/>
      </w:pPr>
      <w:r>
        <w:t xml:space="preserve">Work packages</w:t>
      </w:r>
    </w:p>
    <w:p>
      <w:pPr>
        <w:numPr>
          <w:ilvl w:val="0"/>
          <w:numId w:val="1003"/>
        </w:numPr>
      </w:pPr>
      <w:r>
        <w:rPr>
          <w:b/>
          <w:bCs/>
        </w:rPr>
        <w:t xml:space="preserve">Schema and fixtures</w:t>
      </w:r>
    </w:p>
    <w:p>
      <w:pPr>
        <w:pStyle w:val="Compact"/>
        <w:numPr>
          <w:ilvl w:val="1"/>
          <w:numId w:val="1004"/>
        </w:numPr>
      </w:pPr>
      <w:r>
        <w:t xml:space="preserve">Define canonical serialization for the minimum evidence envelope.</w:t>
      </w:r>
    </w:p>
    <w:p>
      <w:pPr>
        <w:pStyle w:val="Compact"/>
        <w:numPr>
          <w:ilvl w:val="1"/>
          <w:numId w:val="1004"/>
        </w:numPr>
      </w:pPr>
      <w:r>
        <w:t xml:space="preserve">Create direct, witnessed, hearsay, conflicting, late, duplicated, superseded, and invalidated fixtures.</w:t>
      </w:r>
    </w:p>
    <w:p>
      <w:pPr>
        <w:pStyle w:val="Compact"/>
        <w:numPr>
          <w:ilvl w:val="1"/>
          <w:numId w:val="1004"/>
        </w:numPr>
      </w:pPr>
      <w:r>
        <w:t xml:space="preserve">Include identity/controller-bundle versions and node-native slashing/epoch examples.</w:t>
      </w:r>
    </w:p>
    <w:p>
      <w:pPr>
        <w:pStyle w:val="Compact"/>
        <w:numPr>
          <w:ilvl w:val="1"/>
          <w:numId w:val="1004"/>
        </w:numPr>
      </w:pPr>
      <w:r>
        <w:t xml:space="preserve">Include the same logical event submitted across contract families and partitions to prove shard-wide idempotency.</w:t>
      </w:r>
    </w:p>
    <w:p>
      <w:pPr>
        <w:pStyle w:val="Compact"/>
        <w:numPr>
          <w:ilvl w:val="1"/>
          <w:numId w:val="1004"/>
        </w:numPr>
      </w:pPr>
      <w:r>
        <w:t xml:space="preserve">Include ordered ingestion manifests, deliberate sequence gaps, and omitted expected negative evidence so completeness failures are tested rather than inferred from valid subset proofs.</w:t>
      </w:r>
    </w:p>
    <w:p>
      <w:pPr>
        <w:numPr>
          <w:ilvl w:val="0"/>
          <w:numId w:val="1003"/>
        </w:numPr>
      </w:pPr>
      <w:r>
        <w:rPr>
          <w:b/>
          <w:bCs/>
        </w:rPr>
        <w:t xml:space="preserve">Identity and authorization</w:t>
      </w:r>
    </w:p>
    <w:p>
      <w:pPr>
        <w:pStyle w:val="Compact"/>
        <w:numPr>
          <w:ilvl w:val="1"/>
          <w:numId w:val="1005"/>
        </w:numPr>
      </w:pPr>
      <w:r>
        <w:t xml:space="preserve">Implement the minimal subject/issuer registry and truster manifest.</w:t>
      </w:r>
    </w:p>
    <w:p>
      <w:pPr>
        <w:pStyle w:val="Compact"/>
        <w:numPr>
          <w:ilvl w:val="1"/>
          <w:numId w:val="1005"/>
        </w:numPr>
      </w:pPr>
      <w:r>
        <w:t xml:space="preserve">Verify signatures, bundle versions, capabilities, rotation, and revocation needed by the fixtures.</w:t>
      </w:r>
    </w:p>
    <w:p>
      <w:pPr>
        <w:numPr>
          <w:ilvl w:val="0"/>
          <w:numId w:val="1003"/>
        </w:numPr>
      </w:pPr>
      <w:r>
        <w:rPr>
          <w:b/>
          <w:bCs/>
        </w:rPr>
        <w:t xml:space="preserve">Canonical evidence path</w:t>
      </w:r>
    </w:p>
    <w:p>
      <w:pPr>
        <w:pStyle w:val="Compact"/>
        <w:numPr>
          <w:ilvl w:val="1"/>
          <w:numId w:val="1006"/>
        </w:numPr>
      </w:pPr>
      <w:r>
        <w:t xml:space="preserve">Submit evidence through ordinary signed deploys.</w:t>
      </w:r>
    </w:p>
    <w:p>
      <w:pPr>
        <w:pStyle w:val="Compact"/>
        <w:numPr>
          <w:ilvl w:val="1"/>
          <w:numId w:val="1006"/>
        </w:numPr>
      </w:pPr>
      <w:r>
        <w:t xml:space="preserve">Use separate capability-secured evidence-submission contracts/channels; do not collapse public ingress or the complete history into one Rholang channel. Identify every shared coordination/state key for Q26/RG4 measurement.</w:t>
      </w:r>
    </w:p>
    <w:p>
      <w:pPr>
        <w:pStyle w:val="Compact"/>
        <w:numPr>
          <w:ilvl w:val="1"/>
          <w:numId w:val="1006"/>
        </w:numPr>
      </w:pPr>
      <w:r>
        <w:t xml:space="preserve">Persist append-only evidence, provenance, lifecycle events, and application roots.</w:t>
      </w:r>
    </w:p>
    <w:p>
      <w:pPr>
        <w:pStyle w:val="Compact"/>
        <w:numPr>
          <w:ilvl w:val="1"/>
          <w:numId w:val="1006"/>
        </w:numPr>
      </w:pPr>
      <w:r>
        <w:t xml:space="preserve">Finalize each accepted event with its required bounded lookup, direct provenance/reverse-dependency, idempotency, and receipt entries; measure the complete atomic write set under Q30.</w:t>
      </w:r>
    </w:p>
    <w:p>
      <w:pPr>
        <w:pStyle w:val="Compact"/>
        <w:numPr>
          <w:ilvl w:val="1"/>
          <w:numId w:val="1006"/>
        </w:numPr>
      </w:pPr>
      <w:r>
        <w:t xml:space="preserve">Return the node's deploy ID and native finalization state; bind the separate application outcome to deploy/checkpoint context and make retries idempotent.</w:t>
      </w:r>
    </w:p>
    <w:p>
      <w:pPr>
        <w:numPr>
          <w:ilvl w:val="0"/>
          <w:numId w:val="1003"/>
        </w:numPr>
      </w:pPr>
      <w:r>
        <w:rPr>
          <w:b/>
          <w:bCs/>
        </w:rPr>
        <w:t xml:space="preserve">Evidence indexes and evidence query</w:t>
      </w:r>
    </w:p>
    <w:p>
      <w:pPr>
        <w:pStyle w:val="Compact"/>
        <w:numPr>
          <w:ilvl w:val="1"/>
          <w:numId w:val="1007"/>
        </w:numPr>
      </w:pPr>
      <w:r>
        <w:t xml:space="preserve">Implement bounded subject/type/scope/time lookup, outgoing provenance, and direct reverse-dependency entries as core indexes updated atomically with accepted events.</w:t>
      </w:r>
    </w:p>
    <w:p>
      <w:pPr>
        <w:pStyle w:val="Compact"/>
        <w:numPr>
          <w:ilvl w:val="1"/>
          <w:numId w:val="1007"/>
        </w:numPr>
      </w:pPr>
      <w:r>
        <w:t xml:space="preserve">Answer the validator-slashed-in-epoch query with a structured reputation object containing supporting/refuting evidence, proof, coverage, freshness, and availability/omission state.</w:t>
      </w:r>
    </w:p>
    <w:p>
      <w:pPr>
        <w:pStyle w:val="Compact"/>
        <w:numPr>
          <w:ilvl w:val="1"/>
          <w:numId w:val="1007"/>
        </w:numPr>
      </w:pPr>
      <w:r>
        <w:t xml:space="preserve">Build any larger index or materialization in idempotent inactive chunks and expose it only through a finalized activation reference after its declared completion and validation checks pass.</w:t>
      </w:r>
    </w:p>
    <w:p>
      <w:pPr>
        <w:pStyle w:val="Compact"/>
        <w:numPr>
          <w:ilvl w:val="1"/>
          <w:numId w:val="1007"/>
        </w:numPr>
      </w:pPr>
      <w:r>
        <w:t xml:space="preserve">Exercise the query contract through the selected direct native-node path. For queries requiring staged derived state, prove bounded wait/retry, explicitly identified older-root answers, and</w:t>
      </w:r>
      <w:r>
        <w:t xml:space="preserve"> </w:t>
      </w:r>
      <w:r>
        <w:rPr>
          <w:rStyle w:val="VerbatimChar"/>
        </w:rPr>
        <w:t xml:space="preserve">unavailable</w:t>
      </w:r>
      <w:r>
        <w:t xml:space="preserve"> </w:t>
      </w:r>
      <w:r>
        <w:t xml:space="preserve">only when no acceptable complete version exists.</w:t>
      </w:r>
    </w:p>
    <w:p>
      <w:pPr>
        <w:numPr>
          <w:ilvl w:val="0"/>
          <w:numId w:val="1003"/>
        </w:numPr>
      </w:pPr>
      <w:r>
        <w:rPr>
          <w:b/>
          <w:bCs/>
        </w:rPr>
        <w:t xml:space="preserve">Correction and replay</w:t>
      </w:r>
    </w:p>
    <w:p>
      <w:pPr>
        <w:pStyle w:val="Compact"/>
        <w:numPr>
          <w:ilvl w:val="1"/>
          <w:numId w:val="1008"/>
        </w:numPr>
      </w:pPr>
      <w:r>
        <w:t xml:space="preserve">Submit counterclaims/refutations through the applicable evidence contract and lifecycle transitions through separate capability-secured lifecycle/correction contracts.</w:t>
      </w:r>
    </w:p>
    <w:p>
      <w:pPr>
        <w:pStyle w:val="Compact"/>
        <w:numPr>
          <w:ilvl w:val="1"/>
          <w:numId w:val="1008"/>
        </w:numPr>
      </w:pPr>
      <w:r>
        <w:t xml:space="preserve">Require lifecycle events to identify target evidence; resolve and bind the applicable correction-policy version inside consensus execution.</w:t>
      </w:r>
    </w:p>
    <w:p>
      <w:pPr>
        <w:pStyle w:val="Compact"/>
        <w:numPr>
          <w:ilvl w:val="1"/>
          <w:numId w:val="1008"/>
        </w:numPr>
      </w:pPr>
      <w:r>
        <w:t xml:space="preserve">Derive affected result contexts through reverse dependencies rather than requiring the submitter to enumerate them, then recompute only the contexts permitted by the applicable policy.</w:t>
      </w:r>
    </w:p>
    <w:p>
      <w:pPr>
        <w:pStyle w:val="Compact"/>
        <w:numPr>
          <w:ilvl w:val="1"/>
          <w:numId w:val="1008"/>
        </w:numPr>
      </w:pPr>
      <w:r>
        <w:t xml:space="preserve">Prove incremental and full recomputation agree over the same declared evidence, correction/evaluation, projection, runtime, and snapshot/restatement boundary. Prospective checks target the next eligible result; bounded-lookback and retrospective checks rebuild the complete policy-bounded dependency boundary derived from the correction targets, even when it crosses epochs.</w:t>
      </w:r>
    </w:p>
    <w:p>
      <w:pPr>
        <w:numPr>
          <w:ilvl w:val="0"/>
          <w:numId w:val="1003"/>
        </w:numPr>
      </w:pPr>
      <w:r>
        <w:rPr>
          <w:b/>
          <w:bCs/>
        </w:rPr>
        <w:t xml:space="preserve">Projection and snapshot</w:t>
      </w:r>
    </w:p>
    <w:p>
      <w:pPr>
        <w:pStyle w:val="Compact"/>
        <w:numPr>
          <w:ilvl w:val="1"/>
          <w:numId w:val="1009"/>
        </w:numPr>
      </w:pPr>
      <w:r>
        <w:t xml:space="preserve">Implement one simple transparent periodic projection before temporal liquid rank.</w:t>
      </w:r>
    </w:p>
    <w:p>
      <w:pPr>
        <w:pStyle w:val="Compact"/>
        <w:numPr>
          <w:ilvl w:val="1"/>
          <w:numId w:val="1009"/>
        </w:numPr>
      </w:pPr>
      <w:r>
        <w:t xml:space="preserve">Implement the normative projection-result binding defined in</w:t>
      </w:r>
      <w:r>
        <w:t xml:space="preserve"> </w:t>
      </w:r>
      <w:r>
        <w:rPr>
          <w:i/>
          <w:color w:val="1F4D78"/>
        </w:rPr>
        <w:t xml:space="preserve">Evidence and Claims Model Section 10</w:t>
      </w:r>
      <w:r>
        <w:t xml:space="preserve">.</w:t>
      </w:r>
    </w:p>
    <w:p>
      <w:pPr>
        <w:pStyle w:val="Compact"/>
        <w:numPr>
          <w:ilvl w:val="1"/>
          <w:numId w:val="1009"/>
        </w:numPr>
      </w:pPr>
      <w:r>
        <w:t xml:space="preserve">Expose projection results through a response contract distinct from the evidence query.</w:t>
      </w:r>
    </w:p>
    <w:p>
      <w:pPr>
        <w:pStyle w:val="Compact"/>
        <w:numPr>
          <w:ilvl w:val="1"/>
          <w:numId w:val="1009"/>
        </w:numPr>
      </w:pPr>
      <w:r>
        <w:t xml:space="preserve">Compare results before and after correction.</w:t>
      </w:r>
    </w:p>
    <w:p>
      <w:pPr>
        <w:numPr>
          <w:ilvl w:val="0"/>
          <w:numId w:val="1003"/>
        </w:numPr>
      </w:pPr>
      <w:r>
        <w:rPr>
          <w:b/>
          <w:bCs/>
        </w:rPr>
        <w:t xml:space="preserve">Node and storage benchmarks</w:t>
      </w:r>
    </w:p>
    <w:p>
      <w:pPr>
        <w:pStyle w:val="Compact"/>
        <w:numPr>
          <w:ilvl w:val="1"/>
          <w:numId w:val="1010"/>
        </w:numPr>
      </w:pPr>
      <w:r>
        <w:t xml:space="preserve">Measure mixed evidence/lifecycle submission throughput, per-contract/channel queueing, and contention at every shared ID registry, evidence-root accumulator, epoch manifest, index, or other convergence key.</w:t>
      </w:r>
    </w:p>
    <w:p>
      <w:pPr>
        <w:pStyle w:val="Compact"/>
        <w:numPr>
          <w:ilvl w:val="1"/>
          <w:numId w:val="1010"/>
        </w:numPr>
      </w:pPr>
      <w:r>
        <w:t xml:space="preserve">Separate unrelated-key from same-key workloads and report deploy play/replay and finalization latency plus rejection/conflict rate.</w:t>
      </w:r>
    </w:p>
    <w:p>
      <w:pPr>
        <w:pStyle w:val="Compact"/>
        <w:numPr>
          <w:ilvl w:val="1"/>
          <w:numId w:val="1010"/>
        </w:numPr>
      </w:pPr>
      <w:r>
        <w:t xml:space="preserve">Measure exact lookup, neighbor enumeration, bounded traversal, reverse invalidation, update/re-serialization, checkpoint, replay, and projection cost.</w:t>
      </w:r>
    </w:p>
    <w:p>
      <w:pPr>
        <w:pStyle w:val="Compact"/>
        <w:numPr>
          <w:ilvl w:val="1"/>
          <w:numId w:val="1010"/>
        </w:numPr>
      </w:pPr>
      <w:r>
        <w:t xml:space="preserve">Measure against total evidence size and local degree/fanout.</w:t>
      </w:r>
    </w:p>
    <w:p>
      <w:pPr>
        <w:pStyle w:val="Compact"/>
        <w:numPr>
          <w:ilvl w:val="1"/>
          <w:numId w:val="1010"/>
        </w:numPr>
      </w:pPr>
      <w:r>
        <w:t xml:space="preserve">Compare native and Rholang PathMap access where both are viable.</w:t>
      </w:r>
    </w:p>
    <w:p>
      <w:pPr>
        <w:pStyle w:val="Compact"/>
        <w:numPr>
          <w:ilvl w:val="1"/>
          <w:numId w:val="1010"/>
        </w:numPr>
      </w:pPr>
      <w:r>
        <w:t xml:space="preserve">Inject interruption, duplicate chunk, invalid chunk, and activation failure into staged builds; prove that no partial version becomes visible and the last active version remains usable.</w:t>
      </w:r>
    </w:p>
    <w:p>
      <w:pPr>
        <w:numPr>
          <w:ilvl w:val="0"/>
          <w:numId w:val="1003"/>
        </w:numPr>
      </w:pPr>
      <w:r>
        <w:rPr>
          <w:b/>
          <w:bCs/>
        </w:rPr>
        <w:t xml:space="preserve">Multi-validator dogfood</w:t>
      </w:r>
    </w:p>
    <w:p>
      <w:pPr>
        <w:pStyle w:val="Compact"/>
        <w:numPr>
          <w:ilvl w:val="1"/>
          <w:numId w:val="1011"/>
        </w:numPr>
      </w:pPr>
      <w:r>
        <w:t xml:space="preserve">Run the flow through the real local multi-validator shard.</w:t>
      </w:r>
    </w:p>
    <w:p>
      <w:pPr>
        <w:pStyle w:val="Compact"/>
        <w:numPr>
          <w:ilvl w:val="1"/>
          <w:numId w:val="1011"/>
        </w:numPr>
      </w:pPr>
      <w:r>
        <w:t xml:space="preserve">Exercise UJ-1 external-chain ingestion, UJ-2 validator self-claim, UJ-3 peer claim/refutation, and the evidence-query portion of UJ-4 through the same human/agent paths intended for the product rather than only unit fixtures.</w:t>
      </w:r>
    </w:p>
    <w:bookmarkEnd w:id="17"/>
    <w:bookmarkStart w:id="18" w:name="exit-criteria"/>
    <w:p>
      <w:pPr>
        <w:pStyle w:val="Heading2"/>
      </w:pPr>
      <w:r>
        <w:t xml:space="preserve">Exit criteria</w:t>
      </w:r>
    </w:p>
    <w:p>
      <w:pPr>
        <w:pStyle w:val="Compact"/>
        <w:numPr>
          <w:ilvl w:val="0"/>
          <w:numId w:val="1012"/>
        </w:numPr>
      </w:pPr>
      <w:r>
        <w:t xml:space="preserve">Risk RG1 evidence/replay correctness passes for the agreed fixture set.</w:t>
      </w:r>
    </w:p>
    <w:p>
      <w:pPr>
        <w:pStyle w:val="Compact"/>
        <w:numPr>
          <w:ilvl w:val="0"/>
          <w:numId w:val="1012"/>
        </w:numPr>
      </w:pPr>
      <w:r>
        <w:t xml:space="preserve">Architecture RG4 has recorded evidence for all five in-node proof-of-concept criteria.</w:t>
      </w:r>
    </w:p>
    <w:p>
      <w:pPr>
        <w:pStyle w:val="Compact"/>
        <w:numPr>
          <w:ilvl w:val="0"/>
          <w:numId w:val="1012"/>
        </w:numPr>
      </w:pPr>
      <w:r>
        <w:t xml:space="preserve">Deterministic replay and index rebuild equivalence pass.</w:t>
      </w:r>
    </w:p>
    <w:p>
      <w:pPr>
        <w:pStyle w:val="Compact"/>
        <w:numPr>
          <w:ilvl w:val="0"/>
          <w:numId w:val="1012"/>
        </w:numPr>
      </w:pPr>
      <w:r>
        <w:t xml:space="preserve">Submission contention, query, and invalidation bounds satisfy agreed prototype thresholds.</w:t>
      </w:r>
    </w:p>
    <w:p>
      <w:pPr>
        <w:pStyle w:val="Compact"/>
        <w:numPr>
          <w:ilvl w:val="0"/>
          <w:numId w:val="1012"/>
        </w:numPr>
      </w:pPr>
      <w:r>
        <w:t xml:space="preserve">Known security failures are represented in the Risk Register with disposition.</w:t>
      </w:r>
    </w:p>
    <w:p>
      <w:pPr>
        <w:pStyle w:val="Compact"/>
        <w:numPr>
          <w:ilvl w:val="0"/>
          <w:numId w:val="1012"/>
        </w:numPr>
      </w:pPr>
      <w:r>
        <w:t xml:space="preserve">The architecture is either confirmed for the next phase or revised before further implementation.</w:t>
      </w:r>
    </w:p>
    <w:bookmarkEnd w:id="18"/>
    <w:bookmarkEnd w:id="19"/>
    <w:bookmarkStart w:id="20" w:name="Xf2075fc81350b81e1e27cb3f30a1141fb0f43d2"/>
    <w:p>
      <w:pPr>
        <w:pStyle w:val="Heading1"/>
      </w:pPr>
      <w:r>
        <w:t xml:space="preserve">4. Following milestone: consumer integration and shadow health</w:t>
      </w:r>
    </w:p>
    <w:p>
      <w:pPr>
        <w:pStyle w:val="FirstParagraph"/>
      </w:pPr>
      <w:r>
        <w:t xml:space="preserve">Implement the transport-independent result envelope and one consumer-funded retrieval/import path. The consumer rejects unauthorized signers or quorum, bad payloads/proofs, duplicates, stale or reordered results, and conflicts. Add operational monitoring for ingestion lag, projection age, coverage gaps, disputes, and import failures. Operate shadow evaluation continuously while executing and publishing projections periodically at epoch boundaries over live and historical validator evidence; do not allow them to change consensus, eligibility, rewards, burns, or emissions.</w:t>
      </w:r>
    </w:p>
    <w:p>
      <w:pPr>
        <w:pStyle w:val="BodyText"/>
      </w:pPr>
      <w:r>
        <w:t xml:space="preserve">This milestone also establishes the first investigator and agent-facing workflows: submit evidence, inspect provenance, answer/refute evidence, compare policy versions, and view coverage-aware chain-health results.</w:t>
      </w:r>
    </w:p>
    <w:p>
      <w:pPr>
        <w:pStyle w:val="BodyText"/>
      </w:pPr>
      <w:r>
        <w:t xml:space="preserve">Exit requires Architecture/Risk RG5 evidence for rejection, retry, transport failure, and lag behavior. RG5 validates the consumer-import boundary; it is not retroactively counted as an in-node proof-of-concept criterion.</w:t>
      </w:r>
    </w:p>
    <w:bookmarkEnd w:id="20"/>
    <w:bookmarkStart w:id="21" w:name="Xd6fcbc98b36bafd7008656a1d56df8c07350f6e"/>
    <w:p>
      <w:pPr>
        <w:pStyle w:val="Heading1"/>
      </w:pPr>
      <w:r>
        <w:t xml:space="preserve">5. Following milestone: adversarial hardening and policy calibration</w:t>
      </w:r>
    </w:p>
    <w:p>
      <w:pPr>
        <w:pStyle w:val="FirstParagraph"/>
      </w:pPr>
      <w:r>
        <w:t xml:space="preserve">Backtest against available multi-chain validator outcomes and run agent-based simulations for collusion, whitewashing, wash activity, evidence cloning, coverage suppression, truster capture, and reflexive economic feedback. Compare temporal liquid rank, EMA placement, and simpler transparent folds using calibration, precision/recall, lead time, false-positive cost, stability, and explainability. Complete the launch privacy threat model, dispute service levels, policy governance, signer rotation, and recovery tests.</w:t>
      </w:r>
    </w:p>
    <w:p>
      <w:pPr>
        <w:pStyle w:val="BodyText"/>
      </w:pPr>
      <w:r>
        <w:t xml:space="preserve">Exit requires RG2 adversarial/metamorphic evidence and RG3 historical/simulation evidence. Promotion beyond shadow additionally requires Gate 2 answers, explicit caps/hysteresis/timelocks/rollback, and evidence that identity splitting or relayed cycles create no unearned influence.</w:t>
      </w:r>
    </w:p>
    <w:bookmarkEnd w:id="21"/>
    <w:bookmarkStart w:id="22" w:name="X912ab5cc0955b268d8d6006b46298cddf958b22"/>
    <w:p>
      <w:pPr>
        <w:pStyle w:val="Heading1"/>
      </w:pPr>
      <w:r>
        <w:t xml:space="preserve">6. Following milestone: production readiness and bounded activation</w:t>
      </w:r>
    </w:p>
    <w:p>
      <w:pPr>
        <w:pStyle w:val="FirstParagraph"/>
      </w:pPr>
      <w:r>
        <w:t xml:space="preserve">Harden deployment, monitoring, incident response, retention, backup/rebuild, capacity planning, security review, and governance operations. Run a sustained testnet or production-shadow period. RG6 must pass before production use of the evidence classes and capabilities it covers. Only after independent approval may a small, reversible portion of operational advice or incentives consume the reputation signal. V2 collateral, third-party validators, native foreign-finality verification, advanced privacy proofs, and federation remain separately scoped decisions rather than automatic roadmap steps.</w:t>
      </w:r>
    </w:p>
    <w:bookmarkEnd w:id="22"/>
    <w:bookmarkStart w:id="23" w:name="X9996dff64ff5f9b4e53fe99b021d0df833d08c2"/>
    <w:p>
      <w:pPr>
        <w:pStyle w:val="Heading1"/>
      </w:pPr>
      <w:r>
        <w:t xml:space="preserve">7. Dependency summary</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873"/>
        <w:gridCol w:w="5486"/>
      </w:tblGrid>
      <w:tr>
        <w:trPr>
          <w:tblHeader w:val="on"/>
          <w:tblHeader w:val="true"/>
          <w:cantSplit/>
        </w:trPr>
        <w:tc>
          <w:tcPr>
            <w:tcW w:w="3873"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Dependency</w:t>
            </w:r>
          </w:p>
        </w:tc>
        <w:tc>
          <w:tcPr>
            <w:tcW w:w="548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Blocks</w:t>
            </w:r>
          </w:p>
        </w:tc>
      </w:tr>
      <w:tr>
        <w:trPr>
          <w:cantSplit/>
        </w:trPr>
        <w:tc>
          <w:tcPr>
            <w:tcW w:w="3873" w:type="dxa"/>
            <w:tcMar>
              <w:top w:w="50" w:type="dxa"/>
              <w:start w:w="90" w:type="dxa"/>
              <w:bottom w:w="50" w:type="dxa"/>
              <w:end w:w="90" w:type="dxa"/>
            </w:tcMar>
          </w:tcPr>
          <w:p>
            <w:pPr>
              <w:pStyle w:val="Compact"/>
              <w:spacing w:after="40" w:before="0"/>
            </w:pPr>
            <w:r>
              <w:rPr>
                <w:rFonts w:ascii="Calibri" w:hAnsi="Calibri"/>
                <w:color w:val="263238"/>
                <w:sz w:val="18"/>
              </w:rPr>
              <w:t xml:space="preserve">Gate 1 decisions</w:t>
            </w:r>
          </w:p>
        </w:tc>
        <w:tc>
          <w:tcPr>
            <w:tcW w:w="5486" w:type="dxa"/>
            <w:tcMar>
              <w:top w:w="50" w:type="dxa"/>
              <w:start w:w="90" w:type="dxa"/>
              <w:bottom w:w="50" w:type="dxa"/>
              <w:end w:w="90" w:type="dxa"/>
            </w:tcMar>
          </w:tcPr>
          <w:p>
            <w:pPr>
              <w:pStyle w:val="Compact"/>
              <w:spacing w:after="40" w:before="0"/>
            </w:pPr>
            <w:r>
              <w:rPr>
                <w:rFonts w:ascii="Calibri" w:hAnsi="Calibri"/>
                <w:color w:val="263238"/>
                <w:sz w:val="18"/>
              </w:rPr>
              <w:t xml:space="preserve">Proof-of-concept schema and architecture commitment</w:t>
            </w:r>
          </w:p>
        </w:tc>
      </w:tr>
      <w:tr>
        <w:trPr>
          <w:cantSplit/>
        </w:trPr>
        <w:tc>
          <w:tcPr>
            <w:tcW w:w="3873" w:type="dxa"/>
            <w:tcMar>
              <w:top w:w="50" w:type="dxa"/>
              <w:start w:w="90" w:type="dxa"/>
              <w:bottom w:w="50" w:type="dxa"/>
              <w:end w:w="90" w:type="dxa"/>
            </w:tcMar>
          </w:tcPr>
          <w:p>
            <w:pPr>
              <w:pStyle w:val="Compact"/>
              <w:spacing w:after="40" w:before="0"/>
            </w:pPr>
            <w:r>
              <w:rPr>
                <w:rFonts w:ascii="Calibri" w:hAnsi="Calibri"/>
                <w:color w:val="263238"/>
                <w:sz w:val="18"/>
              </w:rPr>
              <w:t xml:space="preserve">RG1 evidence and replay</w:t>
            </w:r>
          </w:p>
        </w:tc>
        <w:tc>
          <w:tcPr>
            <w:tcW w:w="5486" w:type="dxa"/>
            <w:tcMar>
              <w:top w:w="50" w:type="dxa"/>
              <w:start w:w="90" w:type="dxa"/>
              <w:bottom w:w="50" w:type="dxa"/>
              <w:end w:w="90" w:type="dxa"/>
            </w:tcMar>
          </w:tcPr>
          <w:p>
            <w:pPr>
              <w:pStyle w:val="Compact"/>
              <w:spacing w:after="40" w:before="0"/>
            </w:pPr>
            <w:r>
              <w:rPr>
                <w:rFonts w:ascii="Calibri" w:hAnsi="Calibri"/>
                <w:color w:val="263238"/>
                <w:sz w:val="18"/>
              </w:rPr>
              <w:t xml:space="preserve">RG4 confirmation of the implemented evidence loop</w:t>
            </w:r>
          </w:p>
        </w:tc>
      </w:tr>
      <w:tr>
        <w:trPr>
          <w:cantSplit/>
        </w:trPr>
        <w:tc>
          <w:tcPr>
            <w:tcW w:w="3873" w:type="dxa"/>
            <w:tcMar>
              <w:top w:w="50" w:type="dxa"/>
              <w:start w:w="90" w:type="dxa"/>
              <w:bottom w:w="50" w:type="dxa"/>
              <w:end w:w="90" w:type="dxa"/>
            </w:tcMar>
          </w:tcPr>
          <w:p>
            <w:pPr>
              <w:pStyle w:val="Compact"/>
              <w:spacing w:after="40" w:before="0"/>
            </w:pPr>
            <w:r>
              <w:rPr>
                <w:rFonts w:ascii="Calibri" w:hAnsi="Calibri"/>
                <w:color w:val="263238"/>
                <w:sz w:val="18"/>
              </w:rPr>
              <w:t xml:space="preserve">RG4 node proof of concept</w:t>
            </w:r>
          </w:p>
        </w:tc>
        <w:tc>
          <w:tcPr>
            <w:tcW w:w="5486" w:type="dxa"/>
            <w:tcMar>
              <w:top w:w="50" w:type="dxa"/>
              <w:start w:w="90" w:type="dxa"/>
              <w:bottom w:w="50" w:type="dxa"/>
              <w:end w:w="90" w:type="dxa"/>
            </w:tcMar>
          </w:tcPr>
          <w:p>
            <w:pPr>
              <w:pStyle w:val="Compact"/>
              <w:spacing w:after="40" w:before="0"/>
            </w:pPr>
            <w:r>
              <w:rPr>
                <w:rFonts w:ascii="Calibri" w:hAnsi="Calibri"/>
                <w:color w:val="263238"/>
                <w:sz w:val="18"/>
              </w:rPr>
              <w:t xml:space="preserve">Consumer integration and layout stabilization</w:t>
            </w:r>
          </w:p>
        </w:tc>
      </w:tr>
      <w:tr>
        <w:trPr>
          <w:cantSplit/>
        </w:trPr>
        <w:tc>
          <w:tcPr>
            <w:tcW w:w="3873" w:type="dxa"/>
            <w:tcMar>
              <w:top w:w="50" w:type="dxa"/>
              <w:start w:w="90" w:type="dxa"/>
              <w:bottom w:w="50" w:type="dxa"/>
              <w:end w:w="90" w:type="dxa"/>
            </w:tcMar>
          </w:tcPr>
          <w:p>
            <w:pPr>
              <w:pStyle w:val="Compact"/>
              <w:spacing w:after="40" w:before="0"/>
            </w:pPr>
            <w:r>
              <w:rPr>
                <w:rFonts w:ascii="Calibri" w:hAnsi="Calibri"/>
                <w:color w:val="263238"/>
                <w:sz w:val="18"/>
              </w:rPr>
              <w:t xml:space="preserve">RG5 consumer import</w:t>
            </w:r>
          </w:p>
        </w:tc>
        <w:tc>
          <w:tcPr>
            <w:tcW w:w="5486" w:type="dxa"/>
            <w:tcMar>
              <w:top w:w="50" w:type="dxa"/>
              <w:start w:w="90" w:type="dxa"/>
              <w:bottom w:w="50" w:type="dxa"/>
              <w:end w:w="90" w:type="dxa"/>
            </w:tcMar>
          </w:tcPr>
          <w:p>
            <w:pPr>
              <w:pStyle w:val="Compact"/>
              <w:spacing w:after="40" w:before="0"/>
            </w:pPr>
            <w:r>
              <w:rPr>
                <w:rFonts w:ascii="Calibri" w:hAnsi="Calibri"/>
                <w:color w:val="263238"/>
                <w:sz w:val="18"/>
              </w:rPr>
              <w:t xml:space="preserve">Completion of the consumer-integration boundary</w:t>
            </w:r>
          </w:p>
        </w:tc>
      </w:tr>
      <w:tr>
        <w:trPr>
          <w:cantSplit/>
        </w:trPr>
        <w:tc>
          <w:tcPr>
            <w:tcW w:w="3873" w:type="dxa"/>
            <w:tcMar>
              <w:top w:w="50" w:type="dxa"/>
              <w:start w:w="90" w:type="dxa"/>
              <w:bottom w:w="50" w:type="dxa"/>
              <w:end w:w="90" w:type="dxa"/>
            </w:tcMar>
          </w:tcPr>
          <w:p>
            <w:pPr>
              <w:pStyle w:val="Compact"/>
              <w:spacing w:after="40" w:before="0"/>
            </w:pPr>
            <w:r>
              <w:rPr>
                <w:rFonts w:ascii="Calibri" w:hAnsi="Calibri"/>
                <w:color w:val="263238"/>
                <w:sz w:val="18"/>
              </w:rPr>
              <w:t xml:space="preserve">Historical data access plus RG2/RG3</w:t>
            </w:r>
          </w:p>
        </w:tc>
        <w:tc>
          <w:tcPr>
            <w:tcW w:w="5486" w:type="dxa"/>
            <w:tcMar>
              <w:top w:w="50" w:type="dxa"/>
              <w:start w:w="90" w:type="dxa"/>
              <w:bottom w:w="50" w:type="dxa"/>
              <w:end w:w="90" w:type="dxa"/>
            </w:tcMar>
          </w:tcPr>
          <w:p>
            <w:pPr>
              <w:pStyle w:val="Compact"/>
              <w:spacing w:after="40" w:before="0"/>
            </w:pPr>
            <w:r>
              <w:rPr>
                <w:rFonts w:ascii="Calibri" w:hAnsi="Calibri"/>
                <w:color w:val="263238"/>
                <w:sz w:val="18"/>
              </w:rPr>
              <w:t xml:space="preserve">Calibration claims and Gate 2 promotion</w:t>
            </w:r>
          </w:p>
        </w:tc>
      </w:tr>
      <w:tr>
        <w:trPr>
          <w:cantSplit/>
        </w:trPr>
        <w:tc>
          <w:tcPr>
            <w:tcW w:w="3873" w:type="dxa"/>
            <w:tcMar>
              <w:top w:w="50" w:type="dxa"/>
              <w:start w:w="90" w:type="dxa"/>
              <w:bottom w:w="50" w:type="dxa"/>
              <w:end w:w="90" w:type="dxa"/>
            </w:tcMar>
          </w:tcPr>
          <w:p>
            <w:pPr>
              <w:pStyle w:val="Compact"/>
              <w:spacing w:after="40" w:before="0"/>
            </w:pPr>
            <w:r>
              <w:rPr>
                <w:rFonts w:ascii="Calibri" w:hAnsi="Calibri"/>
                <w:color w:val="263238"/>
                <w:sz w:val="18"/>
              </w:rPr>
              <w:t xml:space="preserve">Threat model, privacy decisions, and RG6</w:t>
            </w:r>
          </w:p>
        </w:tc>
        <w:tc>
          <w:tcPr>
            <w:tcW w:w="5486" w:type="dxa"/>
            <w:tcMar>
              <w:top w:w="50" w:type="dxa"/>
              <w:start w:w="90" w:type="dxa"/>
              <w:bottom w:w="50" w:type="dxa"/>
              <w:end w:w="90" w:type="dxa"/>
            </w:tcMar>
          </w:tcPr>
          <w:p>
            <w:pPr>
              <w:pStyle w:val="Compact"/>
              <w:spacing w:after="40" w:before="0"/>
            </w:pPr>
            <w:r>
              <w:rPr>
                <w:rFonts w:ascii="Calibri" w:hAnsi="Calibri"/>
                <w:color w:val="263238"/>
                <w:sz w:val="18"/>
              </w:rPr>
              <w:t xml:space="preserve">Sensitive evidence classes and production launch</w:t>
            </w:r>
          </w:p>
        </w:tc>
      </w:tr>
      <w:tr>
        <w:trPr>
          <w:cantSplit/>
        </w:trPr>
        <w:tc>
          <w:tcPr>
            <w:tcW w:w="3873" w:type="dxa"/>
            <w:tcMar>
              <w:top w:w="50" w:type="dxa"/>
              <w:start w:w="90" w:type="dxa"/>
              <w:bottom w:w="50" w:type="dxa"/>
              <w:end w:w="90" w:type="dxa"/>
            </w:tcMar>
          </w:tcPr>
          <w:p>
            <w:pPr>
              <w:pStyle w:val="Compact"/>
              <w:spacing w:after="40" w:before="0"/>
            </w:pPr>
            <w:r>
              <w:rPr>
                <w:rFonts w:ascii="Calibri" w:hAnsi="Calibri"/>
                <w:color w:val="263238"/>
                <w:sz w:val="18"/>
              </w:rPr>
              <w:t xml:space="preserve">Gate 2 decisions</w:t>
            </w:r>
          </w:p>
        </w:tc>
        <w:tc>
          <w:tcPr>
            <w:tcW w:w="5486" w:type="dxa"/>
            <w:tcMar>
              <w:top w:w="50" w:type="dxa"/>
              <w:start w:w="90" w:type="dxa"/>
              <w:bottom w:w="50" w:type="dxa"/>
              <w:end w:w="90" w:type="dxa"/>
            </w:tcMar>
          </w:tcPr>
          <w:p>
            <w:pPr>
              <w:pStyle w:val="Compact"/>
              <w:spacing w:after="40" w:before="0"/>
            </w:pPr>
            <w:r>
              <w:rPr>
                <w:rFonts w:ascii="Calibri" w:hAnsi="Calibri"/>
                <w:color w:val="263238"/>
                <w:sz w:val="18"/>
              </w:rPr>
              <w:t xml:space="preserve">Any bounded incentive activation</w:t>
            </w:r>
          </w:p>
        </w:tc>
      </w:tr>
      <w:tr>
        <w:trPr>
          <w:cantSplit/>
        </w:trPr>
        <w:tc>
          <w:tcPr>
            <w:tcW w:w="3873" w:type="dxa"/>
            <w:tcMar>
              <w:top w:w="50" w:type="dxa"/>
              <w:start w:w="90" w:type="dxa"/>
              <w:bottom w:w="50" w:type="dxa"/>
              <w:end w:w="90" w:type="dxa"/>
            </w:tcMar>
          </w:tcPr>
          <w:p>
            <w:pPr>
              <w:pStyle w:val="Compact"/>
              <w:spacing w:after="40" w:before="0"/>
            </w:pPr>
            <w:r>
              <w:rPr>
                <w:rFonts w:ascii="Calibri" w:hAnsi="Calibri"/>
                <w:color w:val="263238"/>
                <w:sz w:val="18"/>
              </w:rPr>
              <w:t xml:space="preserve">Independent governance approval</w:t>
            </w:r>
          </w:p>
        </w:tc>
        <w:tc>
          <w:tcPr>
            <w:tcW w:w="5486" w:type="dxa"/>
            <w:tcMar>
              <w:top w:w="50" w:type="dxa"/>
              <w:start w:w="90" w:type="dxa"/>
              <w:bottom w:w="50" w:type="dxa"/>
              <w:end w:w="90" w:type="dxa"/>
            </w:tcMar>
          </w:tcPr>
          <w:p>
            <w:pPr>
              <w:pStyle w:val="Compact"/>
              <w:spacing w:after="40" w:before="0"/>
            </w:pPr>
            <w:r>
              <w:rPr>
                <w:rFonts w:ascii="Calibri" w:hAnsi="Calibri"/>
                <w:color w:val="263238"/>
                <w:sz w:val="18"/>
              </w:rPr>
              <w:t xml:space="preserve">Safety-sensitive control or V2 promotion</w:t>
            </w:r>
          </w:p>
        </w:tc>
      </w:tr>
    </w:tbl>
    <w:bookmarkEnd w:id="23"/>
    <w:bookmarkStart w:id="24" w:name="Xdec47e04972a845cd146180f995b188bf902858"/>
    <w:p>
      <w:pPr>
        <w:pStyle w:val="Heading1"/>
      </w:pPr>
      <w:r>
        <w:t xml:space="preserve">8. Open-question decision points</w:t>
      </w:r>
    </w:p>
    <w:p>
      <w:pPr>
        <w:pStyle w:val="FirstParagraph"/>
      </w:pPr>
      <w:r>
        <w:t xml:space="preserve">SNet can accept the design package conditionally while some decisions remain open, provided each has an owner and a deadline stage. That acceptance is not final sign-off: every question tied to a</w:t>
      </w:r>
      <w:r>
        <w:t xml:space="preserve"> </w:t>
      </w:r>
      <w:r>
        <w:rPr>
          <w:rStyle w:val="VerbatimChar"/>
        </w:rPr>
        <w:t xml:space="preserve">Blocks PRD sign-off</w:t>
      </w:r>
      <w:r>
        <w:t xml:space="preserve"> </w:t>
      </w:r>
      <w:r>
        <w:t xml:space="preserve">risk must be actually decided, and every other open question must be decided or explicitly dropped from the agreed V1 scope. Implementation cannot pass a named contract freeze while a decision that freeze depends on is still open.</w:t>
      </w:r>
    </w:p>
    <w:p>
      <w:pPr>
        <w:pStyle w:val="BodyText"/>
      </w:pPr>
      <w:r>
        <w:t xml:space="preserve">The names below are the shared decision-point vocabulary used by the Open Question Register.</w:t>
      </w:r>
    </w:p>
    <w:tbl>
      <w:tblPr>
        <w:tblStyle w:val="Table"/>
        <w:tblLook w:firstRow="1" w:lastRow="0" w:firstColumn="0" w:lastColumn="0" w:noHBand="0" w:noVBand="0" w:val="0020"/>
        <w:tblW w:w="9358"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87"/>
        <w:gridCol w:w="5336"/>
        <w:gridCol w:w="1735"/>
      </w:tblGrid>
      <w:tr>
        <w:trPr>
          <w:tblHeader w:val="on"/>
          <w:tblHeader w:val="true"/>
          <w:cantSplit/>
        </w:trPr>
        <w:tc>
          <w:tcPr>
            <w:tcW w:w="2287"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Decision point</w:t>
            </w:r>
          </w:p>
        </w:tc>
        <w:tc>
          <w:tcPr>
            <w:tcW w:w="533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Purpose</w:t>
            </w:r>
          </w:p>
        </w:tc>
        <w:tc>
          <w:tcPr>
            <w:tcW w:w="1735"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Questions that must be decided, not merely deferred</w:t>
            </w:r>
          </w:p>
        </w:tc>
      </w:tr>
      <w:tr>
        <w:trPr>
          <w:cantSplit/>
        </w:trPr>
        <w:tc>
          <w:tcPr>
            <w:tcW w:w="2287" w:type="dxa"/>
            <w:tcMar>
              <w:top w:w="50" w:type="dxa"/>
              <w:start w:w="90" w:type="dxa"/>
              <w:bottom w:w="50" w:type="dxa"/>
              <w:end w:w="90" w:type="dxa"/>
            </w:tcMar>
          </w:tcPr>
          <w:p>
            <w:pPr>
              <w:pStyle w:val="Compact"/>
              <w:spacing w:after="40" w:before="0"/>
            </w:pPr>
            <w:r>
              <w:rPr>
                <w:rFonts w:ascii="Calibri" w:hAnsi="Calibri"/>
                <w:color w:val="263238"/>
                <w:sz w:val="18"/>
              </w:rPr>
              <w:t xml:space="preserve">PoC contract freeze</w:t>
            </w:r>
          </w:p>
        </w:tc>
        <w:tc>
          <w:tcPr>
            <w:tcW w:w="5336" w:type="dxa"/>
            <w:tcMar>
              <w:top w:w="50" w:type="dxa"/>
              <w:start w:w="90" w:type="dxa"/>
              <w:bottom w:w="50" w:type="dxa"/>
              <w:end w:w="90" w:type="dxa"/>
            </w:tcMar>
          </w:tcPr>
          <w:p>
            <w:pPr>
              <w:pStyle w:val="Compact"/>
              <w:spacing w:after="40" w:before="0"/>
            </w:pPr>
            <w:r>
              <w:rPr>
                <w:rFonts w:ascii="Calibri" w:hAnsi="Calibri"/>
                <w:color w:val="263238"/>
                <w:sz w:val="18"/>
              </w:rPr>
              <w:t xml:space="preserve">Fix the initial identity, schema, authority, evidence-query, proof, correction, storage/index, query-access, atomic-write, staging, fixture, and benchmark contracts before implementation starts.</w:t>
            </w:r>
          </w:p>
        </w:tc>
        <w:tc>
          <w:tcPr>
            <w:tcW w:w="1735" w:type="dxa"/>
            <w:tcMar>
              <w:top w:w="50" w:type="dxa"/>
              <w:start w:w="90" w:type="dxa"/>
              <w:bottom w:w="50" w:type="dxa"/>
              <w:end w:w="90" w:type="dxa"/>
            </w:tcMar>
          </w:tcPr>
          <w:p>
            <w:pPr>
              <w:pStyle w:val="Compact"/>
              <w:spacing w:after="40" w:before="0"/>
            </w:pPr>
            <w:r>
              <w:rPr>
                <w:rFonts w:ascii="Calibri" w:hAnsi="Calibri"/>
                <w:color w:val="263238"/>
                <w:sz w:val="18"/>
              </w:rPr>
              <w:t xml:space="preserve">Q1-Q7, Q9, Q11, Q14, Q26, Q28-Q30</w:t>
            </w:r>
          </w:p>
        </w:tc>
      </w:tr>
      <w:tr>
        <w:trPr>
          <w:cantSplit/>
        </w:trPr>
        <w:tc>
          <w:tcPr>
            <w:tcW w:w="2287" w:type="dxa"/>
            <w:tcMar>
              <w:top w:w="50" w:type="dxa"/>
              <w:start w:w="90" w:type="dxa"/>
              <w:bottom w:w="50" w:type="dxa"/>
              <w:end w:w="90" w:type="dxa"/>
            </w:tcMar>
          </w:tcPr>
          <w:p>
            <w:pPr>
              <w:pStyle w:val="Compact"/>
              <w:spacing w:after="40" w:before="0"/>
            </w:pPr>
            <w:r>
              <w:rPr>
                <w:rFonts w:ascii="Calibri" w:hAnsi="Calibri"/>
                <w:color w:val="263238"/>
                <w:sz w:val="18"/>
              </w:rPr>
              <w:t xml:space="preserve">Projection contract freeze</w:t>
            </w:r>
          </w:p>
        </w:tc>
        <w:tc>
          <w:tcPr>
            <w:tcW w:w="5336" w:type="dxa"/>
            <w:tcMar>
              <w:top w:w="50" w:type="dxa"/>
              <w:start w:w="90" w:type="dxa"/>
              <w:bottom w:w="50" w:type="dxa"/>
              <w:end w:w="90" w:type="dxa"/>
            </w:tcMar>
          </w:tcPr>
          <w:p>
            <w:pPr>
              <w:pStyle w:val="Compact"/>
              <w:spacing w:after="40" w:before="0"/>
            </w:pPr>
            <w:r>
              <w:rPr>
                <w:rFonts w:ascii="Calibri" w:hAnsi="Calibri"/>
                <w:color w:val="263238"/>
                <w:sz w:val="18"/>
              </w:rPr>
              <w:t xml:space="preserve">Fix the first projection, trigger/cadence, certification, and snapshot contracts.</w:t>
            </w:r>
          </w:p>
        </w:tc>
        <w:tc>
          <w:tcPr>
            <w:tcW w:w="1735" w:type="dxa"/>
            <w:tcMar>
              <w:top w:w="50" w:type="dxa"/>
              <w:start w:w="90" w:type="dxa"/>
              <w:bottom w:w="50" w:type="dxa"/>
              <w:end w:w="90" w:type="dxa"/>
            </w:tcMar>
          </w:tcPr>
          <w:p>
            <w:pPr>
              <w:pStyle w:val="Compact"/>
              <w:spacing w:after="40" w:before="0"/>
            </w:pPr>
            <w:r>
              <w:rPr>
                <w:rFonts w:ascii="Calibri" w:hAnsi="Calibri"/>
                <w:color w:val="263238"/>
                <w:sz w:val="18"/>
              </w:rPr>
              <w:t xml:space="preserve">Q8, Q10, Q12, Q14, Q15</w:t>
            </w:r>
          </w:p>
        </w:tc>
      </w:tr>
      <w:tr>
        <w:trPr>
          <w:cantSplit/>
        </w:trPr>
        <w:tc>
          <w:tcPr>
            <w:tcW w:w="2287" w:type="dxa"/>
            <w:tcMar>
              <w:top w:w="50" w:type="dxa"/>
              <w:start w:w="90" w:type="dxa"/>
              <w:bottom w:w="50" w:type="dxa"/>
              <w:end w:w="90" w:type="dxa"/>
            </w:tcMar>
          </w:tcPr>
          <w:p>
            <w:pPr>
              <w:pStyle w:val="Compact"/>
              <w:spacing w:after="40" w:before="0"/>
            </w:pPr>
            <w:r>
              <w:rPr>
                <w:rFonts w:ascii="Calibri" w:hAnsi="Calibri"/>
                <w:color w:val="263238"/>
                <w:sz w:val="18"/>
              </w:rPr>
              <w:t xml:space="preserve">Consumer-integration contract freeze</w:t>
            </w:r>
          </w:p>
        </w:tc>
        <w:tc>
          <w:tcPr>
            <w:tcW w:w="5336" w:type="dxa"/>
            <w:tcMar>
              <w:top w:w="50" w:type="dxa"/>
              <w:start w:w="90" w:type="dxa"/>
              <w:bottom w:w="50" w:type="dxa"/>
              <w:end w:w="90" w:type="dxa"/>
            </w:tcMar>
          </w:tcPr>
          <w:p>
            <w:pPr>
              <w:pStyle w:val="Compact"/>
              <w:spacing w:after="40" w:before="0"/>
            </w:pPr>
            <w:r>
              <w:rPr>
                <w:rFonts w:ascii="Calibri" w:hAnsi="Calibri"/>
                <w:color w:val="263238"/>
                <w:sz w:val="18"/>
              </w:rPr>
              <w:t xml:space="preserve">Fix the RG5 envelope, retrieval/import, trust, freshness, query-access, and transport contracts.</w:t>
            </w:r>
          </w:p>
        </w:tc>
        <w:tc>
          <w:tcPr>
            <w:tcW w:w="1735" w:type="dxa"/>
            <w:tcMar>
              <w:top w:w="50" w:type="dxa"/>
              <w:start w:w="90" w:type="dxa"/>
              <w:bottom w:w="50" w:type="dxa"/>
              <w:end w:w="90" w:type="dxa"/>
            </w:tcMar>
          </w:tcPr>
          <w:p>
            <w:pPr>
              <w:pStyle w:val="Compact"/>
              <w:spacing w:after="40" w:before="0"/>
            </w:pPr>
            <w:r>
              <w:rPr>
                <w:rFonts w:ascii="Calibri" w:hAnsi="Calibri"/>
                <w:color w:val="263238"/>
                <w:sz w:val="18"/>
              </w:rPr>
              <w:t xml:space="preserve">Q11-Q14, Q27, Q29</w:t>
            </w:r>
          </w:p>
        </w:tc>
      </w:tr>
      <w:tr>
        <w:trPr>
          <w:cantSplit/>
        </w:trPr>
        <w:tc>
          <w:tcPr>
            <w:tcW w:w="2287" w:type="dxa"/>
            <w:tcMar>
              <w:top w:w="50" w:type="dxa"/>
              <w:start w:w="90" w:type="dxa"/>
              <w:bottom w:w="50" w:type="dxa"/>
              <w:end w:w="90" w:type="dxa"/>
            </w:tcMar>
          </w:tcPr>
          <w:p>
            <w:pPr>
              <w:pStyle w:val="Compact"/>
              <w:spacing w:after="40" w:before="0"/>
            </w:pPr>
            <w:r>
              <w:rPr>
                <w:rFonts w:ascii="Calibri" w:hAnsi="Calibri"/>
                <w:color w:val="263238"/>
                <w:sz w:val="18"/>
              </w:rPr>
              <w:t xml:space="preserve">Policy-calibration plan freeze</w:t>
            </w:r>
          </w:p>
        </w:tc>
        <w:tc>
          <w:tcPr>
            <w:tcW w:w="5336" w:type="dxa"/>
            <w:tcMar>
              <w:top w:w="50" w:type="dxa"/>
              <w:start w:w="90" w:type="dxa"/>
              <w:bottom w:w="50" w:type="dxa"/>
              <w:end w:w="90" w:type="dxa"/>
            </w:tcMar>
          </w:tcPr>
          <w:p>
            <w:pPr>
              <w:pStyle w:val="Compact"/>
              <w:spacing w:after="40" w:before="0"/>
            </w:pPr>
            <w:r>
              <w:rPr>
                <w:rFonts w:ascii="Calibri" w:hAnsi="Calibri"/>
                <w:color w:val="263238"/>
                <w:sz w:val="18"/>
              </w:rPr>
              <w:t xml:space="preserve">Fix the models, aggregation, outcomes, and datasets that the hardening/calibration milestone will compare.</w:t>
            </w:r>
          </w:p>
        </w:tc>
        <w:tc>
          <w:tcPr>
            <w:tcW w:w="1735" w:type="dxa"/>
            <w:tcMar>
              <w:top w:w="50" w:type="dxa"/>
              <w:start w:w="90" w:type="dxa"/>
              <w:bottom w:w="50" w:type="dxa"/>
              <w:end w:w="90" w:type="dxa"/>
            </w:tcMar>
          </w:tcPr>
          <w:p>
            <w:pPr>
              <w:pStyle w:val="Compact"/>
              <w:spacing w:after="40" w:before="0"/>
            </w:pPr>
            <w:r>
              <w:rPr>
                <w:rFonts w:ascii="Calibri" w:hAnsi="Calibri"/>
                <w:color w:val="263238"/>
                <w:sz w:val="18"/>
              </w:rPr>
              <w:t xml:space="preserve">Q15, Q17, Q19</w:t>
            </w:r>
          </w:p>
        </w:tc>
      </w:tr>
      <w:tr>
        <w:trPr>
          <w:cantSplit/>
        </w:trPr>
        <w:tc>
          <w:tcPr>
            <w:tcW w:w="2287" w:type="dxa"/>
            <w:tcMar>
              <w:top w:w="50" w:type="dxa"/>
              <w:start w:w="90" w:type="dxa"/>
              <w:bottom w:w="50" w:type="dxa"/>
              <w:end w:w="90" w:type="dxa"/>
            </w:tcMar>
          </w:tcPr>
          <w:p>
            <w:pPr>
              <w:pStyle w:val="Compact"/>
              <w:spacing w:after="40" w:before="0"/>
            </w:pPr>
            <w:r>
              <w:rPr>
                <w:rFonts w:ascii="Calibri" w:hAnsi="Calibri"/>
                <w:color w:val="263238"/>
                <w:sz w:val="18"/>
              </w:rPr>
              <w:t xml:space="preserve">Gate 2 activation review</w:t>
            </w:r>
          </w:p>
        </w:tc>
        <w:tc>
          <w:tcPr>
            <w:tcW w:w="5336" w:type="dxa"/>
            <w:tcMar>
              <w:top w:w="50" w:type="dxa"/>
              <w:start w:w="90" w:type="dxa"/>
              <w:bottom w:w="50" w:type="dxa"/>
              <w:end w:w="90" w:type="dxa"/>
            </w:tcMar>
          </w:tcPr>
          <w:p>
            <w:pPr>
              <w:pStyle w:val="Compact"/>
              <w:spacing w:after="40" w:before="0"/>
            </w:pPr>
            <w:r>
              <w:rPr>
                <w:rFonts w:ascii="Calibri" w:hAnsi="Calibri"/>
                <w:color w:val="263238"/>
                <w:sz w:val="18"/>
              </w:rPr>
              <w:t xml:space="preserve">Decide every Gate 2 question before reputation affects incentives.</w:t>
            </w:r>
          </w:p>
        </w:tc>
        <w:tc>
          <w:tcPr>
            <w:tcW w:w="1735" w:type="dxa"/>
            <w:tcMar>
              <w:top w:w="50" w:type="dxa"/>
              <w:start w:w="90" w:type="dxa"/>
              <w:bottom w:w="50" w:type="dxa"/>
              <w:end w:w="90" w:type="dxa"/>
            </w:tcMar>
          </w:tcPr>
          <w:p>
            <w:pPr>
              <w:pStyle w:val="Compact"/>
              <w:spacing w:after="40" w:before="0"/>
            </w:pPr>
            <w:r>
              <w:rPr>
                <w:rFonts w:ascii="Calibri" w:hAnsi="Calibri"/>
                <w:color w:val="263238"/>
                <w:sz w:val="18"/>
              </w:rPr>
              <w:t xml:space="preserve">Q15-Q20</w:t>
            </w:r>
          </w:p>
        </w:tc>
      </w:tr>
      <w:tr>
        <w:trPr>
          <w:cantSplit/>
        </w:trPr>
        <w:tc>
          <w:tcPr>
            <w:tcW w:w="2287" w:type="dxa"/>
            <w:tcMar>
              <w:top w:w="50" w:type="dxa"/>
              <w:start w:w="90" w:type="dxa"/>
              <w:bottom w:w="50" w:type="dxa"/>
              <w:end w:w="90" w:type="dxa"/>
            </w:tcMar>
          </w:tcPr>
          <w:p>
            <w:pPr>
              <w:pStyle w:val="Compact"/>
              <w:spacing w:after="40" w:before="0"/>
            </w:pPr>
            <w:r>
              <w:rPr>
                <w:rFonts w:ascii="Calibri" w:hAnsi="Calibri"/>
                <w:color w:val="263238"/>
                <w:sz w:val="18"/>
              </w:rPr>
              <w:t xml:space="preserve">Sensitive-evidence production approval</w:t>
            </w:r>
          </w:p>
        </w:tc>
        <w:tc>
          <w:tcPr>
            <w:tcW w:w="5336" w:type="dxa"/>
            <w:tcMar>
              <w:top w:w="50" w:type="dxa"/>
              <w:start w:w="90" w:type="dxa"/>
              <w:bottom w:w="50" w:type="dxa"/>
              <w:end w:w="90" w:type="dxa"/>
            </w:tcMar>
          </w:tcPr>
          <w:p>
            <w:pPr>
              <w:pStyle w:val="Compact"/>
              <w:spacing w:after="40" w:before="0"/>
            </w:pPr>
            <w:r>
              <w:rPr>
                <w:rFonts w:ascii="Calibri" w:hAnsi="Calibri"/>
                <w:color w:val="263238"/>
                <w:sz w:val="18"/>
              </w:rPr>
              <w:t xml:space="preserve">Approve production use of sensitive evidence and any advanced privacy mechanism.</w:t>
            </w:r>
          </w:p>
        </w:tc>
        <w:tc>
          <w:tcPr>
            <w:tcW w:w="1735" w:type="dxa"/>
            <w:tcMar>
              <w:top w:w="50" w:type="dxa"/>
              <w:start w:w="90" w:type="dxa"/>
              <w:bottom w:w="50" w:type="dxa"/>
              <w:end w:w="90" w:type="dxa"/>
            </w:tcMar>
          </w:tcPr>
          <w:p>
            <w:pPr>
              <w:pStyle w:val="Compact"/>
              <w:spacing w:after="40" w:before="0"/>
            </w:pPr>
            <w:r>
              <w:rPr>
                <w:rFonts w:ascii="Calibri" w:hAnsi="Calibri"/>
                <w:color w:val="263238"/>
                <w:sz w:val="18"/>
              </w:rPr>
              <w:t xml:space="preserve">Q3, Q4, Q23</w:t>
            </w:r>
          </w:p>
        </w:tc>
      </w:tr>
      <w:tr>
        <w:trPr>
          <w:cantSplit/>
        </w:trPr>
        <w:tc>
          <w:tcPr>
            <w:tcW w:w="2287" w:type="dxa"/>
            <w:tcMar>
              <w:top w:w="50" w:type="dxa"/>
              <w:start w:w="90" w:type="dxa"/>
              <w:bottom w:w="50" w:type="dxa"/>
              <w:end w:w="90" w:type="dxa"/>
            </w:tcMar>
          </w:tcPr>
          <w:p>
            <w:pPr>
              <w:pStyle w:val="Compact"/>
              <w:spacing w:after="40" w:before="0"/>
            </w:pPr>
            <w:r>
              <w:rPr>
                <w:rFonts w:ascii="Calibri" w:hAnsi="Calibri"/>
                <w:color w:val="263238"/>
                <w:sz w:val="18"/>
              </w:rPr>
              <w:t xml:space="preserve">V2/federation scope approval</w:t>
            </w:r>
          </w:p>
        </w:tc>
        <w:tc>
          <w:tcPr>
            <w:tcW w:w="5336" w:type="dxa"/>
            <w:tcMar>
              <w:top w:w="50" w:type="dxa"/>
              <w:start w:w="90" w:type="dxa"/>
              <w:bottom w:w="50" w:type="dxa"/>
              <w:end w:w="90" w:type="dxa"/>
            </w:tcMar>
          </w:tcPr>
          <w:p>
            <w:pPr>
              <w:pStyle w:val="Compact"/>
              <w:spacing w:after="40" w:before="0"/>
            </w:pPr>
            <w:r>
              <w:rPr>
                <w:rFonts w:ascii="Calibri" w:hAnsi="Calibri"/>
                <w:color w:val="263238"/>
                <w:sz w:val="18"/>
              </w:rPr>
              <w:t xml:space="preserve">Approve any V2 collateral/code-commitment or provider-federation program.</w:t>
            </w:r>
          </w:p>
        </w:tc>
        <w:tc>
          <w:tcPr>
            <w:tcW w:w="1735" w:type="dxa"/>
            <w:tcMar>
              <w:top w:w="50" w:type="dxa"/>
              <w:start w:w="90" w:type="dxa"/>
              <w:bottom w:w="50" w:type="dxa"/>
              <w:end w:w="90" w:type="dxa"/>
            </w:tcMar>
          </w:tcPr>
          <w:p>
            <w:pPr>
              <w:pStyle w:val="Compact"/>
              <w:spacing w:after="40" w:before="0"/>
            </w:pPr>
            <w:r>
              <w:rPr>
                <w:rFonts w:ascii="Calibri" w:hAnsi="Calibri"/>
                <w:color w:val="263238"/>
                <w:sz w:val="18"/>
              </w:rPr>
              <w:t xml:space="preserve">Q21, Q22, Q24</w:t>
            </w:r>
          </w:p>
        </w:tc>
      </w:tr>
      <w:tr>
        <w:trPr>
          <w:cantSplit/>
        </w:trPr>
        <w:tc>
          <w:tcPr>
            <w:tcW w:w="2287" w:type="dxa"/>
            <w:tcMar>
              <w:top w:w="50" w:type="dxa"/>
              <w:start w:w="90" w:type="dxa"/>
              <w:bottom w:w="50" w:type="dxa"/>
              <w:end w:w="90" w:type="dxa"/>
            </w:tcMar>
          </w:tcPr>
          <w:p>
            <w:pPr>
              <w:pStyle w:val="Compact"/>
              <w:spacing w:after="40" w:before="0"/>
            </w:pPr>
            <w:r>
              <w:rPr>
                <w:rFonts w:ascii="Calibri" w:hAnsi="Calibri"/>
                <w:color w:val="263238"/>
                <w:sz w:val="18"/>
              </w:rPr>
              <w:t xml:space="preserve">Reputation-weighted governance/consensus approval</w:t>
            </w:r>
          </w:p>
        </w:tc>
        <w:tc>
          <w:tcPr>
            <w:tcW w:w="5336" w:type="dxa"/>
            <w:tcMar>
              <w:top w:w="50" w:type="dxa"/>
              <w:start w:w="90" w:type="dxa"/>
              <w:bottom w:w="50" w:type="dxa"/>
              <w:end w:w="90" w:type="dxa"/>
            </w:tcMar>
          </w:tcPr>
          <w:p>
            <w:pPr>
              <w:pStyle w:val="Compact"/>
              <w:spacing w:after="40" w:before="0"/>
            </w:pPr>
            <w:r>
              <w:rPr>
                <w:rFonts w:ascii="Calibri" w:hAnsi="Calibri"/>
                <w:color w:val="263238"/>
                <w:sz w:val="18"/>
              </w:rPr>
              <w:t xml:space="preserve">Authorize separate research and governance for any reputation-weighted authority.</w:t>
            </w:r>
          </w:p>
        </w:tc>
        <w:tc>
          <w:tcPr>
            <w:tcW w:w="1735" w:type="dxa"/>
            <w:tcMar>
              <w:top w:w="50" w:type="dxa"/>
              <w:start w:w="90" w:type="dxa"/>
              <w:bottom w:w="50" w:type="dxa"/>
              <w:end w:w="90" w:type="dxa"/>
            </w:tcMar>
          </w:tcPr>
          <w:p>
            <w:pPr>
              <w:pStyle w:val="Compact"/>
              <w:spacing w:after="40" w:before="0"/>
            </w:pPr>
            <w:r>
              <w:rPr>
                <w:rFonts w:ascii="Calibri" w:hAnsi="Calibri"/>
                <w:color w:val="263238"/>
                <w:sz w:val="18"/>
              </w:rPr>
              <w:t xml:space="preserve">Q25</w:t>
            </w:r>
          </w:p>
        </w:tc>
      </w:tr>
    </w:tbl>
    <w:bookmarkEnd w:id="24"/>
    <w:bookmarkEnd w:id="25"/>
    <w:sectPr>
      <w:headerReference w:type="default" r:id="rId10"/>
      <w:footerReference w:type="default" r:id="rId11"/>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Calibri" w:hAnsi="Calibri" w:eastAsia="Calibri"/>
        <w:color w:val="667085"/>
        <w:sz w:val="17"/>
      </w:rPr>
      <w:t>Milestone 5 design package  |  5 August 2026</w:t>
    </w:r>
    <w:r>
      <w:tab/>
    </w:r>
    <w:r>
      <w:rPr>
        <w:rFonts w:ascii="Calibri" w:hAnsi="Calibri" w:eastAsia="Calibri"/>
        <w:color w:val="667085"/>
        <w:sz w:val="17"/>
      </w:rPr>
      <w:t xml:space="preserve">Page </w:t>
    </w:r>
    <w:r>
      <w:rPr>
        <w:rFonts w:ascii="Calibri" w:hAnsi="Calibri" w:eastAsia="Calibri"/>
        <w:color w:val="667085"/>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2E74B5"/>
        <w:sz w:val="17"/>
      </w:rPr>
      <w:t>MILESTONE 5  |  IMPLEMENTATION ROADMAP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263238"/>
      <w:sz w:val="21"/>
    </w:rPr>
  </w:style>
  <w:style w:styleId="BodyText" w:type="paragraph">
    <w:name w:val="Body Text"/>
    <w:basedOn w:val="Normal"/>
    <w:link w:val="BodyTextChar"/>
    <w:qFormat/>
    <w:pPr>
      <w:spacing w:after="180" w:before="180"/>
    </w:pPr>
    <w:rPr>
      <w:rFonts w:ascii="Calibri" w:hAnsi="Calibri"/>
      <w:color w:val="263238"/>
      <w:sz w:val="21"/>
    </w:rPr>
  </w:style>
  <w:style w:customStyle="1" w:styleId="FirstParagraph" w:type="paragraph">
    <w:name w:val="First Paragraph"/>
    <w:basedOn w:val="BodyText"/>
    <w:next w:val="BodyText"/>
    <w:qFormat/>
    <w:rPr>
      <w:rFonts w:ascii="Calibri" w:hAnsi="Calibri"/>
      <w:color w:val="263238"/>
      <w:sz w:val="21"/>
    </w:rPr>
  </w:style>
  <w:style w:customStyle="1" w:styleId="Compact" w:type="paragraph">
    <w:name w:val="Compact"/>
    <w:basedOn w:val="BodyText"/>
    <w:qFormat/>
    <w:pPr>
      <w:spacing w:after="36" w:before="36"/>
    </w:pPr>
    <w:rPr>
      <w:rFonts w:ascii="Calibri" w:hAnsi="Calibri"/>
      <w:color w:val="263238"/>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Theme="majorHAnsi" w:cstheme="majorBidi" w:eastAsiaTheme="majorEastAsia" w:hAnsiTheme="majorHAnsi" w:ascii="Calibri" w:hAnsi="Calibri"/>
      <w:b/>
      <w:color w:val="2E74B5"/>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Theme="majorHAnsi" w:cstheme="majorBidi" w:eastAsiaTheme="majorEastAsia" w:hAnsiTheme="majorHAnsi" w:ascii="Calibri" w:hAnsi="Calibri"/>
      <w:b/>
      <w:color w:val="2E74B5"/>
      <w:sz w:val="25"/>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cstheme="majorBidi" w:eastAsiaTheme="majorEastAsia" w:ascii="Calibri" w:hAnsi="Calibri"/>
      <w:b/>
      <w:color w:val="1F4D78"/>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cstheme="majorBidi" w:eastAsiaTheme="majorEastAsia" w:ascii="Calibri" w:hAnsi="Calibri"/>
      <w:b/>
      <w:i/>
      <w:iCs/>
      <w:color w:val="1F4D78"/>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04%20-%20Evidence%20and%20Claims%20Model.md#10-projection-boundary" TargetMode="External"/><Relationship Id="rId9" Type="http://schemas.openxmlformats.org/officeDocument/2006/relationships/hyperlink" Target="07%20-%20Open%20Question%20Register.md"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6" Type="http://schemas.openxmlformats.org/officeDocument/2006/relationships/hyperlink" Target="04%20-%20Evidence%20and%20Claims%20Model.md#10-projection-boundary" TargetMode="External"/><Relationship Id="rId9" Type="http://schemas.openxmlformats.org/officeDocument/2006/relationships/hyperlink" Target="07%20-%20Open%20Question%20Regist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5: Implementation Roadmap</dc:title>
  <dc:creator>SingularityNET</dc:creator>
  <cp:keywords/>
  <dcterms:created xsi:type="dcterms:W3CDTF">2026-08-05T20:25:56Z</dcterms:created>
  <dcterms:modified xsi:type="dcterms:W3CDTF">2026-08-05T20:25:56Z</dcterms:modified>
  <dc:description>Styled edition generated from the Markdown source</dc:description>
</cp:coreProperties>
</file>

<file path=docProps/custom.xml><?xml version="1.0" encoding="utf-8"?>
<Properties xmlns="http://schemas.openxmlformats.org/officeDocument/2006/custom-properties" xmlns:vt="http://schemas.openxmlformats.org/officeDocument/2006/docPropsVTypes"/>
</file>