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ilestone-5-open-question-register"/>
    <w:p>
      <w:pPr>
        <w:pStyle w:val="Title"/>
        <w:spacing w:before="1200" w:after="360"/>
      </w:pPr>
      <w:r>
        <w:rPr>
          <w:rFonts w:ascii="Calibri" w:hAnsi="Calibri" w:eastAsia="Calibri"/>
          <w:b/>
          <w:color w:val="2E74B5"/>
          <w:sz w:val="22"/>
        </w:rPr>
        <w:t>MILESTONE 5</w:t>
        <w:br/>
      </w:r>
      <w:r>
        <w:rPr>
          <w:rFonts w:ascii="Calibri" w:hAnsi="Calibri" w:eastAsia="Calibri"/>
          <w:b/>
          <w:color w:val="1F4D78"/>
          <w:sz w:val="50"/>
        </w:rPr>
        <w:t>Open Question Register</w:t>
      </w:r>
    </w:p>
    <w:p>
      <w:pPr>
        <w:pStyle w:val="FirstParagraph"/>
        <w:spacing w:before="120" w:after="0" w:line="312" w:lineRule="auto"/>
        <w:ind w:left="173"/>
        <w:pBdr>
          <w:left w:val="single" w:sz="20" w:space="12" w:color="2E74B5"/>
        </w:pBdr>
      </w:pPr>
      <w:r>
        <w:rPr>
          <w:rFonts w:ascii="Calibri" w:hAnsi="Calibri" w:eastAsia="Calibri"/>
          <w:b/>
          <w:bCs/>
          <w:color w:val="1F4D78"/>
          <w:sz w:val="21"/>
        </w:rPr>
        <w:t xml:space="preserve">Date:</w:t>
      </w:r>
      <w:r>
        <w:rPr>
          <w:rFonts w:ascii="Calibri" w:hAnsi="Calibri" w:eastAsia="Calibri"/>
          <w:color w:val="263238"/>
          <w:sz w:val="21"/>
        </w:rPr>
        <w:t xml:space="preserve"> </w:t>
      </w:r>
      <w:r>
        <w:rPr>
          <w:rFonts w:ascii="Calibri" w:hAnsi="Calibri" w:eastAsia="Calibri"/>
          <w:color w:val="263238"/>
          <w:sz w:val="21"/>
        </w:rPr>
        <w:t xml:space="preserve">26 July 2026</w:t>
      </w:r>
      <w:r>
        <w:rPr>
          <w:rFonts w:ascii="Calibri" w:hAnsi="Calibri" w:eastAsia="Calibri"/>
          <w:color w:val="263238"/>
          <w:sz w:val="21"/>
        </w:rPr>
        <w:br/>
      </w:r>
      <w:r>
        <w:rPr>
          <w:rFonts w:ascii="Calibri" w:hAnsi="Calibri" w:eastAsia="Calibri"/>
          <w:b/>
          <w:bCs/>
          <w:color w:val="1F4D78"/>
          <w:sz w:val="21"/>
        </w:rPr>
        <w:t xml:space="preserve">Updated:</w:t>
      </w:r>
      <w:r>
        <w:rPr>
          <w:rFonts w:ascii="Calibri" w:hAnsi="Calibri" w:eastAsia="Calibri"/>
          <w:color w:val="263238"/>
          <w:sz w:val="21"/>
        </w:rPr>
        <w:t xml:space="preserve"> </w:t>
      </w:r>
      <w:r>
        <w:rPr>
          <w:rFonts w:ascii="Calibri" w:hAnsi="Calibri" w:eastAsia="Calibri"/>
          <w:color w:val="263238"/>
          <w:sz w:val="21"/>
        </w:rPr>
        <w:t xml:space="preserve">5 August 2026</w:t>
      </w:r>
      <w:r>
        <w:rPr>
          <w:rFonts w:ascii="Calibri" w:hAnsi="Calibri" w:eastAsia="Calibri"/>
          <w:color w:val="263238"/>
          <w:sz w:val="21"/>
        </w:rPr>
        <w:br/>
      </w:r>
      <w:r>
        <w:rPr>
          <w:rFonts w:ascii="Calibri" w:hAnsi="Calibri" w:eastAsia="Calibri"/>
          <w:b/>
          <w:bCs/>
          <w:color w:val="1F4D78"/>
          <w:sz w:val="21"/>
        </w:rPr>
        <w:t xml:space="preserve">Status:</w:t>
      </w:r>
      <w:r>
        <w:rPr>
          <w:rFonts w:ascii="Calibri" w:hAnsi="Calibri" w:eastAsia="Calibri"/>
          <w:color w:val="263238"/>
          <w:sz w:val="21"/>
        </w:rPr>
        <w:t xml:space="preserve"> </w:t>
      </w:r>
      <w:r>
        <w:rPr>
          <w:rFonts w:ascii="Calibri" w:hAnsi="Calibri" w:eastAsia="Calibri"/>
          <w:color w:val="263238"/>
          <w:sz w:val="21"/>
        </w:rPr>
        <w:t xml:space="preserve">Live — updated as decisions land. The single list of every unresolved technical, product, tokenomics, and governance decision.</w:t>
      </w:r>
      <w:r>
        <w:rPr>
          <w:rFonts w:ascii="Calibri" w:hAnsi="Calibri" w:eastAsia="Calibri"/>
          <w:color w:val="263238"/>
          <w:sz w:val="21"/>
        </w:rPr>
        <w:t xml:space="preserve"> </w:t>
      </w:r>
      <w:r>
        <w:rPr>
          <w:rFonts w:ascii="Calibri" w:hAnsi="Calibri" w:eastAsia="Calibri"/>
          <w:b/>
          <w:bCs/>
          <w:color w:val="1F4D78"/>
          <w:sz w:val="21"/>
        </w:rPr>
        <w:t xml:space="preserve">Reference IDs:</w:t>
      </w:r>
      <w:r>
        <w:rPr>
          <w:rFonts w:ascii="Calibri" w:hAnsi="Calibri" w:eastAsia="Calibri"/>
          <w:color w:val="263238"/>
          <w:sz w:val="21"/>
        </w:rPr>
        <w:t xml:space="preserve"> </w:t>
      </w:r>
      <w:r>
        <w:rPr>
          <w:rFonts w:ascii="Calibri" w:hAnsi="Calibri" w:eastAsia="Calibri"/>
          <w:color w:val="263238"/>
          <w:sz w:val="21"/>
        </w:rPr>
        <w:t xml:space="preserve">E/P/A point to findings in the synthesis; PRD, RG, and R IDs point to requirements, validation gates, and risks in the companion documents.</w:t>
      </w:r>
      <w:r>
        <w:rPr>
          <w:rFonts w:ascii="Calibri" w:hAnsi="Calibri" w:eastAsia="Calibri"/>
          <w:color w:val="263238"/>
          <w:sz w:val="21"/>
        </w:rPr>
        <w:br/>
      </w:r>
      <w:r>
        <w:rPr>
          <w:rFonts w:ascii="Calibri" w:hAnsi="Calibri" w:eastAsia="Calibri"/>
          <w:b/>
          <w:bCs/>
          <w:color w:val="1F4D78"/>
          <w:sz w:val="21"/>
        </w:rPr>
        <w:t xml:space="preserve">Usage:</w:t>
      </w:r>
      <w:r>
        <w:rPr>
          <w:rFonts w:ascii="Calibri" w:hAnsi="Calibri" w:eastAsia="Calibri"/>
          <w:color w:val="263238"/>
          <w:sz w:val="21"/>
        </w:rPr>
        <w:t xml:space="preserve"> </w:t>
      </w:r>
      <w:r>
        <w:rPr>
          <w:rFonts w:ascii="Calibri" w:hAnsi="Calibri" w:eastAsia="Calibri"/>
          <w:color w:val="263238"/>
          <w:sz w:val="21"/>
        </w:rPr>
        <w:t xml:space="preserve">record each decision and its evidence in the Owner / status column as it lands.</w:t>
      </w:r>
    </w:p>
    <w:p>
      <w:pPr>
        <w:spacing w:before="360"/>
      </w:pPr>
      <w:r>
        <w:rPr>
          <w:rFonts w:ascii="Calibri" w:hAnsi="Calibri" w:eastAsia="Calibri"/>
          <w:color w:val="667085"/>
          <w:sz w:val="19"/>
        </w:rPr>
        <w:t>The canonical decision instrument: every open question, its owner, its deadline stage, and its status.</w:t>
      </w:r>
      <w:r>
        <w:br w:type="page"/>
      </w:r>
    </w:p>
    <w:p>
      <w:pPr>
        <w:pStyle w:val="BodyText"/>
      </w:pPr>
      <w:r>
        <w:t xml:space="preserve">Question numbers are stable IDs, not a reading order: Q26-Q30 were added after Gates 2 and 3 had already established Q15-Q25, and renumbering would break the cross-references that use them.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Due by</w:t>
      </w:r>
      <w:r>
        <w:t xml:space="preserve"> </w:t>
      </w:r>
      <w:r>
        <w:t xml:space="preserve">column uses only the decision-point names defined in Implementation Roadmap Section 8.</w:t>
      </w:r>
    </w:p>
    <w:bookmarkStart w:id="10" w:name="X611300b9252120e04b64c2751e8e65ffffd0c9f"/>
    <w:p>
      <w:pPr>
        <w:pStyle w:val="Heading1"/>
      </w:pPr>
      <w:r>
        <w:t xml:space="preserve">Gate 1 - must resolve before PRD sign-off</w:t>
      </w:r>
    </w:p>
    <w:p>
      <w:pPr>
        <w:pStyle w:val="FirstParagraph"/>
      </w:pPr>
      <w:r>
        <w:rPr>
          <w:b/>
          <w:bCs/>
        </w:rPr>
        <w:t xml:space="preserve">Approval authority:</w:t>
      </w:r>
      <w:r>
        <w:t xml:space="preserve"> </w:t>
      </w:r>
      <w:r>
        <w:t xml:space="preserve">SNet.</w:t>
      </w:r>
      <w:r>
        <w:br/>
      </w:r>
      <w:r>
        <w:rPr>
          <w:b/>
          <w:bCs/>
        </w:rPr>
        <w:t xml:space="preserve">Owner convention:</w:t>
      </w:r>
      <w:r>
        <w:t xml:space="preserve"> </w:t>
      </w:r>
      <w:r>
        <w:t xml:space="preserve">role placeholders are intentionally used until named delegates are assigned.</w:t>
      </w:r>
      <w:r>
        <w:br/>
      </w:r>
      <w:r>
        <w:rPr>
          <w:b/>
          <w:bCs/>
        </w:rPr>
        <w:t xml:space="preserve">Status shorthand: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means that no decision evidence is recorded;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means that direction exists but closure evidence is incomplete.</w:t>
      </w:r>
      <w:r>
        <w:br/>
      </w:r>
      <w:r>
        <w:rPr>
          <w:b/>
          <w:bCs/>
        </w:rPr>
        <w:t xml:space="preserve">Closure rule:</w:t>
      </w:r>
      <w:r>
        <w:t xml:space="preserve"> </w:t>
      </w:r>
      <w:r>
        <w:t xml:space="preserve">at the conditional-acceptance stage, a row can close with either a decision or a deferral approved by SNet — but a deferral must name an owner, the stage the decision is required by, and the documents it affects. Deferrals do not count toward final PRD sign-off: every row tied to a</w:t>
      </w:r>
      <w:r>
        <w:t xml:space="preserve"> </w:t>
      </w:r>
      <w:r>
        <w:rPr>
          <w:rStyle w:val="VerbatimChar"/>
        </w:rPr>
        <w:t xml:space="preserve">Blocks PRD sign-off</w:t>
      </w:r>
      <w:r>
        <w:t xml:space="preserve"> </w:t>
      </w:r>
      <w:r>
        <w:t xml:space="preserve">risk needs an actual decision, and every other open row must be decided or explicitly dropped from the agreed V1 scope. A row that is blank, merely discussed, or has no owner is not closed.</w:t>
      </w:r>
    </w:p>
    <w:p>
      <w:pPr>
        <w:pStyle w:val="BodyText"/>
      </w:pPr>
      <w:r>
        <w:t xml:space="preserve">Artifact abbreviations: PRD = Product Requirements Document; ECM = Evidence and Claims Model; ARCH = Architecture Design; ROAD = Implementation Roadmap; RISK = Risk Register; SYN = Research and Tokenomics Synthesis. In the References column, blocking risk IDs follow the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separator.</w:t>
      </w:r>
    </w:p>
    <w:tbl>
      <w:tblPr>
        <w:tblStyle w:val="Table"/>
        <w:tblLook w:firstRow="1" w:lastRow="0" w:firstColumn="0" w:lastColumn="0" w:noHBand="0" w:noVBand="0" w:val="0020"/>
        <w:tblW w:w="9360" w:type="dxa"/>
        <w:tblInd w:w="6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04"/>
        <w:gridCol w:w="3576"/>
        <w:gridCol w:w="1325"/>
        <w:gridCol w:w="1325"/>
        <w:gridCol w:w="1230"/>
      </w:tblGrid>
      <w:tr>
        <w:trPr>
          <w:tblHeader w:val="on"/>
          <w:tblHeader w:val="true"/>
          <w:cantSplit/>
        </w:trP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Decision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Starting point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Owner / status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Due by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6"/>
              </w:rPr>
              <w:t xml:space="preserve">References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Q1 — Which validator and shard-health reputation types does the prototype include?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Start with the PRD candidate set; narrow it to the types needed by UJ-1 through UJ-4 and the slashed-in-epoch query.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product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 · R6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Q2 — How are node-native, self-claimed, peer-observed, and externally attested events classified, and who holds submit authority for each?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Preserve source role on every event; authorize per event kind/type/scope; do not infer truth or evidence strength from signature validity.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protocol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ARCH, RISK · R3, R6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Q3 — What are the canonical evidence-event/reputation-article schema and the minimum launch privacy profile?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Use the ECM minimum envelope and approve payload/privacy classes, public verification metadata, restricted access, redaction/availability signaling, access audit, and explicitly unsupported confidentiality guarantees.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protocol/security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freeze; Sensitive-evidence production approval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ARCH, RISK · R6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Q4 — Who are the launch actors, what are the first evidence queries, and what inspection depth does each human, agent/AI, and chain consumer class receive?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Begin with the UJ-1 through UJ-4 actors and slashed-in-epoch; define bounded visible/redacted detail per consumer role; return structured reputation objects separately from projection results.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product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freeze; Sensitive-evidence production approval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 · R6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Q5 — What does each layer of "stored in F1R3FLY" mean?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Keep finalized history, consensus-visible application evidence/roots, and required bounded core indexes in-node. Treat separately staged materializations, structured reputation objects, caches, and mirrors as rebuildable or consumer-local as appropriate; record payload availability separately.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protocol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ARCH, ECM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Q6 — Who are the V1 trusters, and how are their capabilities, rotation, and revocation governed?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Use an explicit SNet-managed permissioned manifest for the prototype; assign capabilities per source/event kind/type/scope rather than one unrestricted truster role.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governance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ARCH, RISK · R3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Q7 — How are coverage and completeness defined and measured?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Define a coverage rule per evidence type: compare enumerable duties where available; otherwise report monitored sources or intervals and their gaps. Keep statistical performance baselines separate from completeness, expose unavailable/redacted material, and never infer healthy from silence or a valid subset proof.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product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ARCH, RISK · R3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Q8 — Which bootstrap sources are accepted, and how are their weight and decay governed?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Label, cap, and expire bootstrap evidence; keep source acceptance separate from projection weighting and defer economic influence until calibration.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research/tokenomics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Projection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SYN, ECM, ROAD, RISK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Q9 — Which dispute, appeal, rehabilitation, and invalidation events are supported, and what correction effect does each have?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Use the separate append-only</w:t>
            </w:r>
            <w:r>
              <w:rPr>
                <w:rFonts w:ascii="Calibri" w:hAnsi="Calibri"/>
                <w:color w:val="263238"/>
                <w:sz w:val="16"/>
              </w:rPr>
              <w:t xml:space="preserve"> </w:t>
            </w:r>
            <w:r>
              <w:rPr>
                <w:rStyle w:val="VerbatimChar"/>
                <w:rFonts w:ascii="Calibri" w:hAnsi="Calibri"/>
                <w:color w:val="263238"/>
                <w:sz w:val="16"/>
              </w:rPr>
              <w:t xml:space="preserve">dispute_case_status</w:t>
            </w:r>
            <w:r>
              <w:rPr>
                <w:rFonts w:ascii="Calibri" w:hAnsi="Calibri"/>
                <w:color w:val="263238"/>
                <w:sz w:val="16"/>
              </w:rPr>
              <w:t xml:space="preserve"> </w:t>
            </w:r>
            <w:r>
              <w:rPr>
                <w:rFonts w:ascii="Calibri" w:hAnsi="Calibri"/>
                <w:color w:val="263238"/>
                <w:sz w:val="16"/>
              </w:rPr>
              <w:t xml:space="preserve">namespace proposed in ECM Section 9; choose prospective, bounded-lookback, or retrospective effect per versioned type/scope policy.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governance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ARCH, RISK · R3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Q10 — How do conflicting supporting proofs and refuting traces affect projections?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Preserve conflict in the structured reputation object; require each projection policy to declare evidence-level weights and conflict treatment rather than creating an unversioned canonical adjudication.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research/tokenomics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Projection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ECM, SYN, ROAD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Q11 — What response envelopes, serialization, proof material, and root binding do the query and result contracts use?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Use separate evidence-query and projection-result contracts over an explicit source commitment -&gt; evidence root -&gt; result root -&gt; consumer-accepted root hierarchy. Evaluate an optional projection-input manifest and proof scheme, explicitly distinguishing retrieval completeness from selection completeness.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integration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freeze; Consumer-integration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ECM, ARCH, ROAD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Q12 — What snapshot-certification trust model and node/validator topology does V1 use?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Start by evaluating reputation-shard validator-set certification; add separate committee/key roles only if the required fault separation justifies them. Record quorum, anchoring, rotation, and recomputation assumptions.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governance/protocol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Projection contract freeze; Consumer-integration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ARCH, ROAD, RISK · R3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Q13 — What projection-result retrieval/import model and required consumer-local state does V1 use?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Consumers fund result retrieval, verification, and import; caching may vary; continuous per-claim push remains deferred. Fix relayer authority, funding, liveness, cache/mirror state, and the local acceptance contract for RG5.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DDEB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SNet integration</w:t>
            </w:r>
            <w:r>
              <w:rPr>
                <w:rFonts w:ascii="Calibri" w:hAnsi="Calibri"/>
                <w:b/>
                <w:color w:val="1F4E79"/>
                <w:sz w:val="16"/>
              </w:rPr>
              <w:br/>
            </w:r>
            <w:r>
              <w:rPr>
                <w:rFonts w:ascii="Calibri" w:hAnsi="Calibri"/>
                <w:b/>
                <w:color w:val="1F4E79"/>
                <w:sz w:val="16"/>
              </w:rPr>
              <w:t xml:space="preserve">Partial — direction recorded; contract evidence missing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Consumer-integration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ARCH, ROAD, RISK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Q14 — What freshness, order, correction-horizon, conflict, and historical-restatement behavior applies to published results?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Keep published snapshots immutable; require expiry/order/replay checks and labeled newer snapshots or restatements under the applicable versioned correction policy resolved from the corrected evidence's context.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governance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freeze; Projection contract freeze; Consumer-integration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ARCH, ROAD · R3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Q26 — What state/index contract, contract/channel partitioning, shard-wide idempotency mechanism, receipt representation, and prototype benchmark thresholds must be set before the physical layout is fixed?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Preserve separate typed evidence and lifecycle/correction ingress families; reject an untyped catch-all ingress or one channel containing the complete history; compare partitioning by event kind, type/scope, and state key; identify and measure every shared ID registry, root accumulator, epoch manifest, index, or other convergence key; require recoverable finalized receipts, outgoing/incoming adjacency, reverse invalidation, replay, and agreed contention/throughput/size/fanout/latency/storage/recomputation bounds.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DDEB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E79"/>
                <w:sz w:val="16"/>
              </w:rPr>
              <w:t xml:space="preserve">SNet protocol/performance</w:t>
            </w:r>
            <w:r>
              <w:rPr>
                <w:rFonts w:ascii="Calibri" w:hAnsi="Calibri"/>
                <w:b/>
                <w:color w:val="1F4E79"/>
                <w:sz w:val="16"/>
              </w:rPr>
              <w:br/>
            </w:r>
            <w:r>
              <w:rPr>
                <w:rFonts w:ascii="Calibri" w:hAnsi="Calibri"/>
                <w:b/>
                <w:color w:val="1F4E79"/>
                <w:sz w:val="16"/>
              </w:rPr>
              <w:t xml:space="preserve">Partial — design-package position recorded; stakeholder approval pending. See Q26.a-Q26.e.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ARCH, ROAD, RISK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Q27 — If remote/reified RSpace is used for cross-shard transport, what are its semantics?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Specify authentication, authorization, source finality, order, replay, retry/failure, and payload type; do not treat transport as proof. Defer the mechanism if the first consumer path does not need it.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integration/protocol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Consumer-integration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ARCH, ROAD, RISK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Q28 — What is the stable-subject and versioned controller/cross-chain/algorithm authority-bundle contract?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Separate subject identity from ordinary signing and governance/recovery authority; bind events to the controller/authority-bundle version effective at event time; preserve historical verification through rotation, revocation, and recovery.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identity/protocol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ARCH, RISK · R3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Q29 — What query and completion-notification path does V1 require for in-shard contracts, F1R3FLY cross-shard consumers, and external clients or chains?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Keep query semantics in on-chain contracts. Prove one direct native-node path for the PoC; use RSpace continuations for native asynchronous composition where appropriate; allow external clients to use block-triggered polling or an optional adapter; make reified RSpaces conditional on Q27; require a relayer or bridge for external chains.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integration/protocol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freeze; Consumer-integration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ARCH, ROAD</w:t>
            </w:r>
          </w:p>
        </w:tc>
      </w:tr>
      <w:tr>
        <w:tc>
          <w:tcPr>
            <w:tcW w:w="1904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6"/>
              </w:rPr>
              <w:t xml:space="preserve">Q30 — Which evidence and index writes must finalize atomically, what deploy/block bounds must they fit, and what staged-publication protocol applies when work exceeds that boundary?</w:t>
            </w:r>
          </w:p>
        </w:tc>
        <w:tc>
          <w:tcPr>
            <w:tcW w:w="3576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Finalize the evidence event, primary lookup, direct provenance/reverse-dependency, idempotency, and receipt entries together. Stage larger traversals, rebuilds, and materializations under inactive versions; activate one only after its declared completion and validation checks pass. Use Q26/RG4 to set write-set, fanout, cost, chunking, recovery, and activation limits.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6"/>
              </w:rPr>
              <w:t xml:space="preserve">SNet protocol/performance</w:t>
            </w:r>
            <w:r>
              <w:rPr>
                <w:rFonts w:ascii="Calibri" w:hAnsi="Calibri"/>
                <w:b/>
                <w:color w:val="7F6000"/>
                <w:sz w:val="16"/>
              </w:rPr>
              <w:br/>
            </w:r>
            <w:r>
              <w:rPr>
                <w:rFonts w:ascii="Calibri" w:hAnsi="Calibri"/>
                <w:b/>
                <w:color w:val="7F6000"/>
                <w:sz w:val="16"/>
              </w:rPr>
              <w:t xml:space="preserve">Open</w:t>
            </w:r>
          </w:p>
        </w:tc>
        <w:tc>
          <w:tcPr>
            <w:tcW w:w="132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PoC contract freeze</w:t>
            </w:r>
          </w:p>
        </w:tc>
        <w:tc>
          <w:tcPr>
            <w:tcW w:w="123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6"/>
              </w:rPr>
              <w:t xml:space="preserve">PRD, ECM, ARCH, ROAD, RISK · R17, R20</w:t>
            </w:r>
          </w:p>
        </w:tc>
      </w:tr>
    </w:tbl>
    <w:bookmarkStart w:id="9" w:name="q26-decision-and-evidence-breakdown"/>
    <w:p>
      <w:pPr>
        <w:pStyle w:val="Heading2"/>
      </w:pPr>
      <w:r>
        <w:t xml:space="preserve">Q26 decision and evidence breakdown</w:t>
      </w:r>
    </w:p>
    <w:tbl>
      <w:tblPr>
        <w:tblStyle w:val="Table"/>
        <w:tblLook w:firstRow="1" w:lastRow="0" w:firstColumn="0" w:lastColumn="0" w:noHBand="0" w:noVBand="0" w:val="0020"/>
        <w:tblW w:w="9360" w:type="dxa"/>
        <w:tblInd w:w="6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755"/>
        <w:gridCol w:w="2288"/>
        <w:gridCol w:w="3577"/>
        <w:gridCol w:w="2740"/>
      </w:tblGrid>
      <w:tr>
        <w:trPr>
          <w:tblHeader w:val="on"/>
          <w:tblHeader w:val="true"/>
          <w:cantSplit/>
        </w:trPr>
        <w:tc>
          <w:tcPr>
            <w:tcW w:w="75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Sub-ID</w:t>
            </w:r>
          </w:p>
        </w:tc>
        <w:tc>
          <w:tcPr>
            <w:tcW w:w="2288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Sub-decision</w:t>
            </w:r>
          </w:p>
        </w:tc>
        <w:tc>
          <w:tcPr>
            <w:tcW w:w="3577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Current package position</w:t>
            </w:r>
          </w:p>
        </w:tc>
        <w:tc>
          <w:tcPr>
            <w:tcW w:w="2740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Approval / closure evidence</w:t>
            </w:r>
          </w:p>
        </w:tc>
      </w:tr>
      <w:tr>
        <w:tc>
          <w:tcPr>
            <w:tcW w:w="75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Q26.a</w:t>
            </w:r>
          </w:p>
        </w:tc>
        <w:tc>
          <w:tcPr>
            <w:tcW w:w="2288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Public contract/channel family direction</w:t>
            </w:r>
          </w:p>
        </w:tc>
        <w:tc>
          <w:tcPr>
            <w:tcW w:w="3577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Proposed design constraint: separate typed evidence and lifecycle/correction families; no untyped catch-all ingress or whole-history channel</w:t>
            </w:r>
          </w:p>
        </w:tc>
        <w:tc>
          <w:tcPr>
            <w:tcW w:w="274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SNet approval pending; Architecture AD-13 is the proposed decision record</w:t>
            </w:r>
          </w:p>
        </w:tc>
      </w:tr>
      <w:tr>
        <w:tc>
          <w:tcPr>
            <w:tcW w:w="75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Q26.b</w:t>
            </w:r>
          </w:p>
        </w:tc>
        <w:tc>
          <w:tcPr>
            <w:tcW w:w="2288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Physical state partitions and bounded shared convergence keys</w:t>
            </w:r>
          </w:p>
        </w:tc>
        <w:tc>
          <w:tcPr>
            <w:tcW w:w="3577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Open; compare event-kind, type/scope, and state-key partitions and measure every shared key in RG4</w:t>
            </w:r>
          </w:p>
        </w:tc>
        <w:tc>
          <w:tcPr>
            <w:tcW w:w="274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Approved layout plus RG4 benchmark report required</w:t>
            </w:r>
          </w:p>
        </w:tc>
      </w:tr>
      <w:tr>
        <w:tc>
          <w:tcPr>
            <w:tcW w:w="75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Q26.c</w:t>
            </w:r>
          </w:p>
        </w:tc>
        <w:tc>
          <w:tcPr>
            <w:tcW w:w="2288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Shard-wide event-ID and idempotency representation</w:t>
            </w:r>
          </w:p>
        </w:tc>
        <w:tc>
          <w:tcPr>
            <w:tcW w:w="3577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Semantic domain fixed; physical registry/content-derived mechanism open</w:t>
            </w:r>
          </w:p>
        </w:tc>
        <w:tc>
          <w:tcPr>
            <w:tcW w:w="274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Approved mechanism plus cross-family duplicate/retry evidence required</w:t>
            </w:r>
          </w:p>
        </w:tc>
      </w:tr>
      <w:tr>
        <w:tc>
          <w:tcPr>
            <w:tcW w:w="75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Q26.d</w:t>
            </w:r>
          </w:p>
        </w:tc>
        <w:tc>
          <w:tcPr>
            <w:tcW w:w="2288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Receipt representation and recovery</w:t>
            </w:r>
          </w:p>
        </w:tc>
        <w:tc>
          <w:tcPr>
            <w:tcW w:w="3577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Node deploy-response/finalization mapping and separate application-outcome semantics fixed in Architecture Section 9.1; storage/index representation open</w:t>
            </w:r>
          </w:p>
        </w:tc>
        <w:tc>
          <w:tcPr>
            <w:tcW w:w="274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Approved representation plus finalized receipt recovery/replay evidence required</w:t>
            </w:r>
          </w:p>
        </w:tc>
      </w:tr>
      <w:tr>
        <w:tc>
          <w:tcPr>
            <w:tcW w:w="75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Q26.e</w:t>
            </w:r>
          </w:p>
        </w:tc>
        <w:tc>
          <w:tcPr>
            <w:tcW w:w="2288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Workload, contention, size, fanout, latency, storage, replay, and recomputation bounds</w:t>
            </w:r>
          </w:p>
        </w:tc>
        <w:tc>
          <w:tcPr>
            <w:tcW w:w="3577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Open</w:t>
            </w:r>
          </w:p>
        </w:tc>
        <w:tc>
          <w:tcPr>
            <w:tcW w:w="2740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Approved thresholds plus RG4 measurement report required</w:t>
            </w:r>
          </w:p>
        </w:tc>
      </w:tr>
    </w:tbl>
    <w:bookmarkEnd w:id="9"/>
    <w:bookmarkEnd w:id="10"/>
    <w:bookmarkStart w:id="11" w:name="Xd7369a8f551581fdca4c659d13aca4d9b81e933"/>
    <w:p>
      <w:pPr>
        <w:pStyle w:val="Heading1"/>
      </w:pPr>
      <w:r>
        <w:t xml:space="preserve">Gate 2 - must resolve before reputation affects incentives</w:t>
      </w:r>
    </w:p>
    <w:tbl>
      <w:tblPr>
        <w:tblStyle w:val="Table"/>
        <w:tblLook w:firstRow="1" w:lastRow="0" w:firstColumn="0" w:lastColumn="0" w:noHBand="0" w:noVBand="0" w:val="0020"/>
        <w:tblW w:w="9360" w:type="dxa"/>
        <w:tblInd w:w="6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962"/>
        <w:gridCol w:w="945"/>
        <w:gridCol w:w="2468"/>
        <w:gridCol w:w="1985"/>
      </w:tblGrid>
      <w:tr>
        <w:trPr>
          <w:tblHeader w:val="on"/>
          <w:tblHeader w:val="true"/>
          <w:cantSplit/>
        </w:trPr>
        <w:tc>
          <w:tcPr>
            <w:tcW w:w="3962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Decision</w:t>
            </w:r>
          </w:p>
        </w:tc>
        <w:tc>
          <w:tcPr>
            <w:tcW w:w="94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Related claims</w:t>
            </w:r>
          </w:p>
        </w:tc>
        <w:tc>
          <w:tcPr>
            <w:tcW w:w="2468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Owner / status</w:t>
            </w:r>
          </w:p>
        </w:tc>
        <w:tc>
          <w:tcPr>
            <w:tcW w:w="1985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Due by</w:t>
            </w:r>
          </w:p>
        </w:tc>
      </w:tr>
      <w:tr>
        <w:tc>
          <w:tcPr>
            <w:tcW w:w="3962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Q15 — Which periodic projection is used, and what trigger principal, placement, cadence, parameters, correction behavior, and calibration basis apply?</w:t>
            </w:r>
          </w:p>
        </w:tc>
        <w:tc>
          <w:tcPr>
            <w:tcW w:w="94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P3, P11, E1</w:t>
            </w:r>
          </w:p>
        </w:tc>
        <w:tc>
          <w:tcPr>
            <w:tcW w:w="2468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DDEB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E79"/>
                <w:sz w:val="17"/>
              </w:rPr>
              <w:t xml:space="preserve">SNet research/tokenomics</w:t>
            </w:r>
            <w:r>
              <w:rPr>
                <w:rFonts w:ascii="Calibri" w:hAnsi="Calibri"/>
                <w:b/>
                <w:color w:val="1F4E79"/>
                <w:sz w:val="17"/>
              </w:rPr>
              <w:br/>
            </w:r>
            <w:r>
              <w:rPr>
                <w:rFonts w:ascii="Calibri" w:hAnsi="Calibri"/>
                <w:b/>
                <w:color w:val="1F4E79"/>
                <w:sz w:val="17"/>
              </w:rPr>
              <w:t xml:space="preserve">Partial — periodic direction recorded; PoC policy manifest, trigger principal, and cadence must close at projection contract freeze. Parameters, calibration, and comparison with temporal liquid rank remain open.</w:t>
            </w:r>
          </w:p>
        </w:tc>
        <w:tc>
          <w:tcPr>
            <w:tcW w:w="198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Projection contract freeze; Policy-calibration plan freeze; Gate 2 activation review</w:t>
            </w:r>
          </w:p>
        </w:tc>
      </w:tr>
      <w:tr>
        <w:tc>
          <w:tcPr>
            <w:tcW w:w="3962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Q16 — How are stake and fees prevented from being counted both directly and indirectly?</w:t>
            </w:r>
          </w:p>
        </w:tc>
        <w:tc>
          <w:tcPr>
            <w:tcW w:w="94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P6, P10</w:t>
            </w:r>
          </w:p>
        </w:tc>
        <w:tc>
          <w:tcPr>
            <w:tcW w:w="2468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SNet tokenomics</w:t>
            </w:r>
            <w:r>
              <w:rPr>
                <w:rFonts w:ascii="Calibri" w:hAnsi="Calibri"/>
                <w:b/>
                <w:color w:val="7F6000"/>
                <w:sz w:val="17"/>
              </w:rPr>
              <w:br/>
            </w:r>
            <w:r>
              <w:rPr>
                <w:rFonts w:ascii="Calibri" w:hAnsi="Calibri"/>
                <w:b/>
                <w:color w:val="7F6000"/>
                <w:sz w:val="17"/>
              </w:rPr>
              <w:t xml:space="preserve">Open</w:t>
            </w:r>
          </w:p>
        </w:tc>
        <w:tc>
          <w:tcPr>
            <w:tcW w:w="198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Gate 2 activation review</w:t>
            </w:r>
          </w:p>
        </w:tc>
      </w:tr>
      <w:tr>
        <w:tc>
          <w:tcPr>
            <w:tcW w:w="3962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Q17 — How do local projections combine without a large shard or incumbent dominating?</w:t>
            </w:r>
          </w:p>
        </w:tc>
        <w:tc>
          <w:tcPr>
            <w:tcW w:w="94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P5</w:t>
            </w:r>
          </w:p>
        </w:tc>
        <w:tc>
          <w:tcPr>
            <w:tcW w:w="2468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SNet research/protocol</w:t>
            </w:r>
            <w:r>
              <w:rPr>
                <w:rFonts w:ascii="Calibri" w:hAnsi="Calibri"/>
                <w:b/>
                <w:color w:val="7F6000"/>
                <w:sz w:val="17"/>
              </w:rPr>
              <w:br/>
            </w:r>
            <w:r>
              <w:rPr>
                <w:rFonts w:ascii="Calibri" w:hAnsi="Calibri"/>
                <w:b/>
                <w:color w:val="7F6000"/>
                <w:sz w:val="17"/>
              </w:rPr>
              <w:t xml:space="preserve">Open</w:t>
            </w:r>
          </w:p>
        </w:tc>
        <w:tc>
          <w:tcPr>
            <w:tcW w:w="198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Policy-calibration plan freeze; Gate 2 activation review</w:t>
            </w:r>
          </w:p>
        </w:tc>
      </w:tr>
      <w:tr>
        <w:tc>
          <w:tcPr>
            <w:tcW w:w="3962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Q18 — What caps, hysteresis, timelocks, and rollback rules constrain any tokenomic influence?</w:t>
            </w:r>
          </w:p>
        </w:tc>
        <w:tc>
          <w:tcPr>
            <w:tcW w:w="94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P9, P10</w:t>
            </w:r>
          </w:p>
        </w:tc>
        <w:tc>
          <w:tcPr>
            <w:tcW w:w="2468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SNet governance/tokenomics</w:t>
            </w:r>
            <w:r>
              <w:rPr>
                <w:rFonts w:ascii="Calibri" w:hAnsi="Calibri"/>
                <w:b/>
                <w:color w:val="7F6000"/>
                <w:sz w:val="17"/>
              </w:rPr>
              <w:br/>
            </w:r>
            <w:r>
              <w:rPr>
                <w:rFonts w:ascii="Calibri" w:hAnsi="Calibri"/>
                <w:b/>
                <w:color w:val="7F6000"/>
                <w:sz w:val="17"/>
              </w:rPr>
              <w:t xml:space="preserve">Open</w:t>
            </w:r>
          </w:p>
        </w:tc>
        <w:tc>
          <w:tcPr>
            <w:tcW w:w="198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Gate 2 activation review</w:t>
            </w:r>
          </w:p>
        </w:tc>
      </w:tr>
      <w:tr>
        <w:tc>
          <w:tcPr>
            <w:tcW w:w="3962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Q19 — Which health formula is canonical, and what are its normalization, evaluation order, and missing/negative-value semantics?</w:t>
            </w:r>
          </w:p>
        </w:tc>
        <w:tc>
          <w:tcPr>
            <w:tcW w:w="94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P9</w:t>
            </w:r>
          </w:p>
        </w:tc>
        <w:tc>
          <w:tcPr>
            <w:tcW w:w="2468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SNet product/tokenomics</w:t>
            </w:r>
            <w:r>
              <w:rPr>
                <w:rFonts w:ascii="Calibri" w:hAnsi="Calibri"/>
                <w:b/>
                <w:color w:val="7F6000"/>
                <w:sz w:val="17"/>
              </w:rPr>
              <w:br/>
            </w:r>
            <w:r>
              <w:rPr>
                <w:rFonts w:ascii="Calibri" w:hAnsi="Calibri"/>
                <w:b/>
                <w:color w:val="7F6000"/>
                <w:sz w:val="17"/>
              </w:rPr>
              <w:t xml:space="preserve">Open</w:t>
            </w:r>
          </w:p>
        </w:tc>
        <w:tc>
          <w:tcPr>
            <w:tcW w:w="198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Policy-calibration plan freeze; Gate 2 activation review</w:t>
            </w:r>
          </w:p>
        </w:tc>
      </w:tr>
      <w:tr>
        <w:tc>
          <w:tcPr>
            <w:tcW w:w="3962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Q20 — What adversarial and control-loop acceptance metrics must pass before activation?</w:t>
            </w:r>
          </w:p>
        </w:tc>
        <w:tc>
          <w:tcPr>
            <w:tcW w:w="94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P10; RG2, RG3</w:t>
            </w:r>
          </w:p>
        </w:tc>
        <w:tc>
          <w:tcPr>
            <w:tcW w:w="2468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SNet risk/research</w:t>
            </w:r>
            <w:r>
              <w:rPr>
                <w:rFonts w:ascii="Calibri" w:hAnsi="Calibri"/>
                <w:b/>
                <w:color w:val="7F6000"/>
                <w:sz w:val="17"/>
              </w:rPr>
              <w:br/>
            </w:r>
            <w:r>
              <w:rPr>
                <w:rFonts w:ascii="Calibri" w:hAnsi="Calibri"/>
                <w:b/>
                <w:color w:val="7F6000"/>
                <w:sz w:val="17"/>
              </w:rPr>
              <w:t xml:space="preserve">Open</w:t>
            </w:r>
          </w:p>
        </w:tc>
        <w:tc>
          <w:tcPr>
            <w:tcW w:w="1985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Gate 2 activation review</w:t>
            </w:r>
          </w:p>
        </w:tc>
      </w:tr>
    </w:tbl>
    <w:bookmarkEnd w:id="11"/>
    <w:bookmarkStart w:id="12" w:name="gate-3---may-be-deferred-beyond-v1"/>
    <w:p>
      <w:pPr>
        <w:pStyle w:val="Heading1"/>
      </w:pPr>
      <w:r>
        <w:t xml:space="preserve">Gate 3 - may be deferred beyond V1</w:t>
      </w:r>
    </w:p>
    <w:tbl>
      <w:tblPr>
        <w:tblStyle w:val="Table"/>
        <w:tblLook w:firstRow="1" w:lastRow="0" w:firstColumn="0" w:lastColumn="0" w:noHBand="0" w:noVBand="0" w:val="0020"/>
        <w:tblW w:w="9359" w:type="dxa"/>
        <w:tblInd w:w="60" w:type="dxa"/>
        <w:tblLayout w:type="fixed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198"/>
        <w:gridCol w:w="963"/>
        <w:gridCol w:w="2011"/>
        <w:gridCol w:w="2187"/>
      </w:tblGrid>
      <w:tr>
        <w:trPr>
          <w:tblHeader w:val="on"/>
          <w:tblHeader w:val="true"/>
          <w:cantSplit/>
        </w:trPr>
        <w:tc>
          <w:tcPr>
            <w:tcW w:w="4198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Decision</w:t>
            </w:r>
          </w:p>
        </w:tc>
        <w:tc>
          <w:tcPr>
            <w:tcW w:w="963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Related claims</w:t>
            </w:r>
          </w:p>
        </w:tc>
        <w:tc>
          <w:tcPr>
            <w:tcW w:w="2011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Owner / status</w:t>
            </w:r>
          </w:p>
        </w:tc>
        <w:tc>
          <w:tcPr>
            <w:tcW w:w="2187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2F4F7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1F4D78"/>
                <w:sz w:val="17"/>
              </w:rPr>
              <w:t xml:space="preserve">Due by</w:t>
            </w:r>
          </w:p>
        </w:tc>
      </w:tr>
      <w:tr>
        <w:trPr>
          <w:cantSplit/>
        </w:trPr>
        <w:tc>
          <w:tcPr>
            <w:tcW w:w="4198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Q21 — What triggers V2, and what security-budget ratio is required?</w:t>
            </w:r>
          </w:p>
        </w:tc>
        <w:tc>
          <w:tcPr>
            <w:tcW w:w="963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A1</w:t>
            </w:r>
          </w:p>
        </w:tc>
        <w:tc>
          <w:tcPr>
            <w:tcW w:w="2011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SNet governance/tokenomics</w:t>
            </w:r>
            <w:r>
              <w:rPr>
                <w:rFonts w:ascii="Calibri" w:hAnsi="Calibri"/>
                <w:b/>
                <w:color w:val="7F6000"/>
                <w:sz w:val="17"/>
              </w:rPr>
              <w:br/>
            </w:r>
            <w:r>
              <w:rPr>
                <w:rFonts w:ascii="Calibri" w:hAnsi="Calibri"/>
                <w:b/>
                <w:color w:val="7F6000"/>
                <w:sz w:val="17"/>
              </w:rPr>
              <w:t xml:space="preserve">Open</w:t>
            </w:r>
          </w:p>
        </w:tc>
        <w:tc>
          <w:tcPr>
            <w:tcW w:w="2187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V2/federation scope approval</w:t>
            </w:r>
          </w:p>
        </w:tc>
      </w:tr>
      <w:tr>
        <w:trPr>
          <w:cantSplit/>
        </w:trPr>
        <w:tc>
          <w:tcPr>
            <w:tcW w:w="4198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Q22 — Which code-commitment approach, if any, is justified?</w:t>
            </w:r>
          </w:p>
        </w:tc>
        <w:tc>
          <w:tcPr>
            <w:tcW w:w="963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A10</w:t>
            </w:r>
          </w:p>
        </w:tc>
        <w:tc>
          <w:tcPr>
            <w:tcW w:w="2011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SNet security/protocol</w:t>
            </w:r>
            <w:r>
              <w:rPr>
                <w:rFonts w:ascii="Calibri" w:hAnsi="Calibri"/>
                <w:b/>
                <w:color w:val="7F6000"/>
                <w:sz w:val="17"/>
              </w:rPr>
              <w:br/>
            </w:r>
            <w:r>
              <w:rPr>
                <w:rFonts w:ascii="Calibri" w:hAnsi="Calibri"/>
                <w:b/>
                <w:color w:val="7F6000"/>
                <w:sz w:val="17"/>
              </w:rPr>
              <w:t xml:space="preserve">Open</w:t>
            </w:r>
          </w:p>
        </w:tc>
        <w:tc>
          <w:tcPr>
            <w:tcW w:w="2187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V2/federation scope approval</w:t>
            </w:r>
          </w:p>
        </w:tc>
      </w:tr>
      <w:tr>
        <w:trPr>
          <w:cantSplit/>
        </w:trPr>
        <w:tc>
          <w:tcPr>
            <w:tcW w:w="4198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Q23 — Which advanced privacy mechanisms are required, and against what approved production threat model?</w:t>
            </w:r>
          </w:p>
        </w:tc>
        <w:tc>
          <w:tcPr>
            <w:tcW w:w="963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E11</w:t>
            </w:r>
          </w:p>
        </w:tc>
        <w:tc>
          <w:tcPr>
            <w:tcW w:w="2011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SNet security/privacy</w:t>
            </w:r>
            <w:r>
              <w:rPr>
                <w:rFonts w:ascii="Calibri" w:hAnsi="Calibri"/>
                <w:b/>
                <w:color w:val="7F6000"/>
                <w:sz w:val="17"/>
              </w:rPr>
              <w:br/>
            </w:r>
            <w:r>
              <w:rPr>
                <w:rFonts w:ascii="Calibri" w:hAnsi="Calibri"/>
                <w:b/>
                <w:color w:val="7F6000"/>
                <w:sz w:val="17"/>
              </w:rPr>
              <w:t xml:space="preserve">Open</w:t>
            </w:r>
          </w:p>
        </w:tc>
        <w:tc>
          <w:tcPr>
            <w:tcW w:w="2187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Sensitive-evidence production approval</w:t>
            </w:r>
          </w:p>
        </w:tc>
      </w:tr>
      <w:tr>
        <w:trPr>
          <w:cantSplit/>
        </w:trPr>
        <w:tc>
          <w:tcPr>
            <w:tcW w:w="4198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Q24 — How do independently authoritative reputation shards or providers federate and verify one another?</w:t>
            </w:r>
          </w:p>
        </w:tc>
        <w:tc>
          <w:tcPr>
            <w:tcW w:w="963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A11</w:t>
            </w:r>
          </w:p>
        </w:tc>
        <w:tc>
          <w:tcPr>
            <w:tcW w:w="2011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SNet protocol/governance</w:t>
            </w:r>
            <w:r>
              <w:rPr>
                <w:rFonts w:ascii="Calibri" w:hAnsi="Calibri"/>
                <w:b/>
                <w:color w:val="7F6000"/>
                <w:sz w:val="17"/>
              </w:rPr>
              <w:br/>
            </w:r>
            <w:r>
              <w:rPr>
                <w:rFonts w:ascii="Calibri" w:hAnsi="Calibri"/>
                <w:b/>
                <w:color w:val="7F6000"/>
                <w:sz w:val="17"/>
              </w:rPr>
              <w:t xml:space="preserve">Open</w:t>
            </w:r>
          </w:p>
        </w:tc>
        <w:tc>
          <w:tcPr>
            <w:tcW w:w="2187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V2/federation scope approval</w:t>
            </w:r>
          </w:p>
        </w:tc>
      </w:tr>
      <w:tr>
        <w:trPr>
          <w:cantSplit/>
        </w:trPr>
        <w:tc>
          <w:tcPr>
            <w:tcW w:w="4198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bCs/>
                <w:color w:val="263238"/>
                <w:sz w:val="17"/>
              </w:rPr>
              <w:t xml:space="preserve">Q25 — May any future governance or consensus process use reputation weight?</w:t>
            </w:r>
          </w:p>
        </w:tc>
        <w:tc>
          <w:tcPr>
            <w:tcW w:w="963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P7, P4</w:t>
            </w:r>
          </w:p>
        </w:tc>
        <w:tc>
          <w:tcPr>
            <w:tcW w:w="2011" w:type="dxa"/>
            <w:tcMar>
              <w:top w:w="50" w:type="dxa"/>
              <w:start w:w="90" w:type="dxa"/>
              <w:bottom w:w="50" w:type="dxa"/>
              <w:end w:w="90" w:type="dxa"/>
            </w:tcMar>
            <w:shd w:val="clear" w:fill="FFF2CC"/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b/>
                <w:color w:val="7F6000"/>
                <w:sz w:val="17"/>
              </w:rPr>
              <w:t xml:space="preserve">SNet governance/protocol</w:t>
            </w:r>
            <w:r>
              <w:rPr>
                <w:rFonts w:ascii="Calibri" w:hAnsi="Calibri"/>
                <w:b/>
                <w:color w:val="7F6000"/>
                <w:sz w:val="17"/>
              </w:rPr>
              <w:br/>
            </w:r>
            <w:r>
              <w:rPr>
                <w:rFonts w:ascii="Calibri" w:hAnsi="Calibri"/>
                <w:b/>
                <w:color w:val="7F6000"/>
                <w:sz w:val="17"/>
              </w:rPr>
              <w:t xml:space="preserve">Open</w:t>
            </w:r>
          </w:p>
        </w:tc>
        <w:tc>
          <w:tcPr>
            <w:tcW w:w="2187" w:type="dxa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pStyle w:val="Compact"/>
              <w:spacing w:after="40" w:before="0"/>
            </w:pPr>
            <w:r>
              <w:rPr>
                <w:rFonts w:ascii="Calibri" w:hAnsi="Calibri"/>
                <w:color w:val="263238"/>
                <w:sz w:val="17"/>
              </w:rPr>
              <w:t xml:space="preserve">Reputation-weighted governance/consensus approval</w:t>
            </w:r>
          </w:p>
        </w:tc>
      </w:tr>
    </w:tbl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bottom="1440" w:left="1440" w:right="144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/>
    <w:r>
      <w:rPr>
        <w:rFonts w:ascii="Calibri" w:hAnsi="Calibri" w:eastAsia="Calibri"/>
        <w:color w:val="667085"/>
        <w:sz w:val="17"/>
      </w:rPr>
      <w:t>Milestone 5 design package  |  5 August 2026</w:t>
    </w:r>
    <w:r>
      <w:tab/>
    </w:r>
    <w:r>
      <w:rPr>
        <w:rFonts w:ascii="Calibri" w:hAnsi="Calibri" w:eastAsia="Calibri"/>
        <w:color w:val="667085"/>
        <w:sz w:val="17"/>
      </w:rPr>
      <w:t xml:space="preserve">Page </w:t>
    </w:r>
    <w:r>
      <w:rPr>
        <w:rFonts w:ascii="Calibri" w:hAnsi="Calibri" w:eastAsia="Calibr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2E74B5"/>
        <w:sz w:val="17"/>
      </w:rPr>
      <w:t>MILESTONE 5  |  OPEN QUESTION REGISTER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line="259" w:lineRule="auto"/>
    </w:pPr>
    <w:rPr>
      <w:rFonts w:ascii="Calibri" w:hAnsi="Calibri"/>
      <w:color w:val="263238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color w:val="263238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63238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63238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rFonts w:asciiTheme="majorHAnsi" w:cstheme="majorBidi" w:eastAsiaTheme="majorEastAsia" w:hAnsiTheme="majorHAnsi" w:ascii="Calibri" w:hAnsi="Calibri"/>
      <w:b/>
      <w:color w:val="2E74B5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Calibri" w:hAnsi="Calibri"/>
      <w:b/>
      <w:color w:val="2E74B5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cstheme="majorBidi" w:eastAsiaTheme="majorEastAsia" w:ascii="Calibri" w:hAnsi="Calibri"/>
      <w:b/>
      <w:color w:val="1F4D78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cstheme="majorBidi" w:eastAsiaTheme="majorEastAsia" w:ascii="Calibri" w:hAnsi="Calibri"/>
      <w:b/>
      <w:i/>
      <w:iCs/>
      <w:color w:val="1F4D78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5: Open Question Register</dc:title>
  <dc:creator>SingularityNET</dc:creator>
  <cp:keywords/>
  <dcterms:created xsi:type="dcterms:W3CDTF">2026-08-10T14:26:35Z</dcterms:created>
  <dcterms:modified xsi:type="dcterms:W3CDTF">2026-08-10T14:26:35Z</dcterms:modified>
  <dc:description>Styled edition generated from the Markdown source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