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milestone-5-risk-register"/>
    <w:p>
      <w:pPr>
        <w:pStyle w:val="Title"/>
        <w:spacing w:before="1200" w:after="360"/>
      </w:pPr>
      <w:r>
        <w:rPr>
          <w:rFonts w:ascii="Calibri" w:hAnsi="Calibri" w:eastAsia="Calibri"/>
          <w:b/>
          <w:color w:val="2E74B5"/>
          <w:sz w:val="22"/>
        </w:rPr>
        <w:t>MILESTONE 5</w:t>
        <w:br/>
      </w:r>
      <w:r>
        <w:rPr>
          <w:rFonts w:ascii="Calibri" w:hAnsi="Calibri" w:eastAsia="Calibri"/>
          <w:b/>
          <w:color w:val="1F4D78"/>
          <w:sz w:val="50"/>
        </w:rPr>
        <w:t>Risk Register</w:t>
      </w:r>
    </w:p>
    <w:p>
      <w:pPr>
        <w:pStyle w:val="FirstParagraph"/>
        <w:spacing w:before="120" w:after="0" w:line="312" w:lineRule="auto"/>
        <w:ind w:left="173"/>
        <w:pBdr>
          <w:left w:val="single" w:sz="20" w:space="12" w:color="2E74B5"/>
        </w:pBdr>
      </w:pPr>
      <w:r>
        <w:rPr>
          <w:rFonts w:ascii="Calibri" w:hAnsi="Calibri" w:eastAsia="Calibri"/>
          <w:b/>
          <w:bCs/>
          <w:color w:val="1F4D78"/>
          <w:sz w:val="21"/>
        </w:rPr>
        <w:t xml:space="preserve">Date:</w:t>
      </w:r>
      <w:r>
        <w:rPr>
          <w:rFonts w:ascii="Calibri" w:hAnsi="Calibri" w:eastAsia="Calibri"/>
          <w:color w:val="263238"/>
          <w:sz w:val="21"/>
        </w:rPr>
        <w:t xml:space="preserve"> </w:t>
      </w:r>
      <w:r>
        <w:rPr>
          <w:rFonts w:ascii="Calibri" w:hAnsi="Calibri" w:eastAsia="Calibri"/>
          <w:color w:val="263238"/>
          <w:sz w:val="21"/>
        </w:rPr>
        <w:t xml:space="preserve">26 July 2026</w:t>
      </w:r>
      <w:r>
        <w:rPr>
          <w:rFonts w:ascii="Calibri" w:hAnsi="Calibri" w:eastAsia="Calibri"/>
          <w:color w:val="263238"/>
          <w:sz w:val="21"/>
        </w:rPr>
        <w:br/>
      </w:r>
      <w:r>
        <w:rPr>
          <w:rFonts w:ascii="Calibri" w:hAnsi="Calibri" w:eastAsia="Calibri"/>
          <w:b/>
          <w:bCs/>
          <w:color w:val="1F4D78"/>
          <w:sz w:val="21"/>
        </w:rPr>
        <w:t xml:space="preserve">Updated:</w:t>
      </w:r>
      <w:r>
        <w:rPr>
          <w:rFonts w:ascii="Calibri" w:hAnsi="Calibri" w:eastAsia="Calibri"/>
          <w:color w:val="263238"/>
          <w:sz w:val="21"/>
        </w:rPr>
        <w:t xml:space="preserve"> </w:t>
      </w:r>
      <w:r>
        <w:rPr>
          <w:rFonts w:ascii="Calibri" w:hAnsi="Calibri" w:eastAsia="Calibri"/>
          <w:color w:val="263238"/>
          <w:sz w:val="21"/>
        </w:rPr>
        <w:t xml:space="preserve">5 August 2026</w:t>
      </w:r>
      <w:r>
        <w:rPr>
          <w:rFonts w:ascii="Calibri" w:hAnsi="Calibri" w:eastAsia="Calibri"/>
          <w:color w:val="263238"/>
          <w:sz w:val="21"/>
        </w:rPr>
        <w:br/>
      </w:r>
      <w:r>
        <w:rPr>
          <w:rFonts w:ascii="Calibri" w:hAnsi="Calibri" w:eastAsia="Calibri"/>
          <w:b/>
          <w:bCs/>
          <w:color w:val="1F4D78"/>
          <w:sz w:val="21"/>
        </w:rPr>
        <w:t xml:space="preserve">Status:</w:t>
      </w:r>
      <w:r>
        <w:rPr>
          <w:rFonts w:ascii="Calibri" w:hAnsi="Calibri" w:eastAsia="Calibri"/>
          <w:color w:val="263238"/>
          <w:sz w:val="21"/>
        </w:rPr>
        <w:t xml:space="preserve"> </w:t>
      </w:r>
      <w:r>
        <w:rPr>
          <w:rFonts w:ascii="Calibri" w:hAnsi="Calibri" w:eastAsia="Calibri"/>
          <w:color w:val="263238"/>
          <w:sz w:val="21"/>
        </w:rPr>
        <w:t xml:space="preserve">For review.</w:t>
      </w:r>
      <w:r>
        <w:rPr>
          <w:rFonts w:ascii="Calibri" w:hAnsi="Calibri" w:eastAsia="Calibri"/>
          <w:color w:val="263238"/>
          <w:sz w:val="21"/>
        </w:rPr>
        <w:br/>
      </w:r>
      <w:r>
        <w:rPr>
          <w:rFonts w:ascii="Calibri" w:hAnsi="Calibri" w:eastAsia="Calibri"/>
          <w:b/>
          <w:bCs/>
          <w:color w:val="1F4D78"/>
          <w:sz w:val="21"/>
        </w:rPr>
        <w:t xml:space="preserve">Covers:</w:t>
      </w:r>
      <w:r>
        <w:rPr>
          <w:rFonts w:ascii="Calibri" w:hAnsi="Calibri" w:eastAsia="Calibri"/>
          <w:color w:val="263238"/>
          <w:sz w:val="21"/>
        </w:rPr>
        <w:t xml:space="preserve"> </w:t>
      </w:r>
      <w:r>
        <w:rPr>
          <w:rFonts w:ascii="Calibri" w:hAnsi="Calibri" w:eastAsia="Calibri"/>
          <w:color w:val="263238"/>
          <w:sz w:val="21"/>
        </w:rPr>
        <w:t xml:space="preserve">What can go wrong, how serious each risk is, how it is mitigated, and which risks block which stage — assessed against the threat model summarized below.</w:t>
      </w:r>
    </w:p>
    <w:p>
      <w:pPr>
        <w:spacing w:before="360"/>
      </w:pPr>
      <w:r>
        <w:rPr>
          <w:rFonts w:ascii="Calibri" w:hAnsi="Calibri" w:eastAsia="Calibri"/>
          <w:color w:val="667085"/>
          <w:sz w:val="19"/>
        </w:rPr>
        <w:t>Prioritized risks, required mitigations, validation gates, and what blocks what.</w:t>
      </w:r>
      <w:r>
        <w:br w:type="page"/>
      </w:r>
    </w:p>
    <w:bookmarkStart w:id="9" w:name="threat-model-in-brief"/>
    <w:p>
      <w:pPr>
        <w:pStyle w:val="Heading1"/>
      </w:pPr>
      <w:r>
        <w:t xml:space="preserve">Threat model in brief</w:t>
      </w:r>
    </w:p>
    <w:p>
      <w:pPr>
        <w:pStyle w:val="FirstParagraph"/>
      </w:pPr>
      <w:r>
        <w:t xml:space="preserve">The risks below assume a capable, rule-following adversary. An attacker may control many identities, validators, counterparties, and evidence issuers; buy or borrow capital; compromise a truster or signing key; delay or withhold data; coordinate with governance participants; and optimize openly against every published scoring rule. In V1, authorized trusters must themselves be assumed capable of lying, colluding, or omitting evidence: permissioning makes submitters accountable, not honest.</w:t>
      </w:r>
    </w:p>
    <w:p>
      <w:pPr>
        <w:pStyle w:val="BodyText"/>
      </w:pPr>
      <w:r>
        <w:t xml:space="preserve">The central danger is</w:t>
      </w:r>
      <w:r>
        <w:t xml:space="preserve"> </w:t>
      </w:r>
      <w:r>
        <w:rPr>
          <w:b/>
          <w:bCs/>
        </w:rPr>
        <w:t xml:space="preserve">manufactured credibility</w:t>
      </w:r>
      <w:r>
        <w:t xml:space="preserve"> </w:t>
      </w:r>
      <w:r>
        <w:t xml:space="preserve">rather than broken cryptography. The system can faithfully record and prove a large body of signed evidence that is false, collusive, duplicated, selectively incomplete, or economically self-generated. A signature proves who made a claim; an inclusion proof proves a claim was recorded; a code commitment identifies which code was referenced — none of them proves that an observation is truthful, independent, complete, or that referenced code actually ran on complete inputs. The recurring patterns, in plain terms:</w:t>
      </w:r>
    </w:p>
    <w:p>
      <w:pPr>
        <w:pStyle w:val="Compact"/>
        <w:numPr>
          <w:ilvl w:val="0"/>
          <w:numId w:val="1001"/>
        </w:numPr>
      </w:pPr>
      <w:r>
        <w:rPr>
          <w:b/>
          <w:bCs/>
        </w:rPr>
        <w:t xml:space="preserve">Fake corroboration.</w:t>
      </w:r>
      <w:r>
        <w:t xml:space="preserve"> </w:t>
      </w:r>
      <w:r>
        <w:t xml:space="preserve">One real event, wrapped and relayed by many cooperating accounts, is made to look like many independent confirmations. Defense: every event carries its source lineage, and copies inherit — rather than multiply — the weight of their origin.</w:t>
      </w:r>
    </w:p>
    <w:p>
      <w:pPr>
        <w:pStyle w:val="Compact"/>
        <w:numPr>
          <w:ilvl w:val="0"/>
          <w:numId w:val="1001"/>
        </w:numPr>
      </w:pPr>
      <w:r>
        <w:rPr>
          <w:b/>
          <w:bCs/>
        </w:rPr>
        <w:t xml:space="preserve">Self-dealing activity.</w:t>
      </w:r>
      <w:r>
        <w:t xml:space="preserve"> </w:t>
      </w:r>
      <w:r>
        <w:t xml:space="preserve">Stake, fees, and traffic circulated among an attacker's own accounts imitate genuine economic health. Defense: stake and fees are treated as</w:t>
      </w:r>
      <w:r>
        <w:t xml:space="preserve"> </w:t>
      </w:r>
      <w:r>
        <w:rPr>
          <w:i/>
          <w:iCs/>
        </w:rPr>
        <w:t xml:space="preserve">exposure</w:t>
      </w:r>
      <w:r>
        <w:t xml:space="preserve">, never as evidence of honesty, and each signal may only be counted once.</w:t>
      </w:r>
    </w:p>
    <w:p>
      <w:pPr>
        <w:pStyle w:val="Compact"/>
        <w:numPr>
          <w:ilvl w:val="0"/>
          <w:numId w:val="1001"/>
        </w:numPr>
      </w:pPr>
      <w:r>
        <w:rPr>
          <w:b/>
          <w:bCs/>
        </w:rPr>
        <w:t xml:space="preserve">Selective truth.</w:t>
      </w:r>
      <w:r>
        <w:t xml:space="preserve"> </w:t>
      </w:r>
      <w:r>
        <w:t xml:space="preserve">A submitter reports only favorable facts, and cryptographic proofs verify the subset perfectly. Defense: coverage is measured against the evidence type's declared observation boundary — enumerable duties or monitored sources and intervals — so gaps are visible, and a valid proof over a partial record is never presented as the complete story.</w:t>
      </w:r>
    </w:p>
    <w:p>
      <w:pPr>
        <w:pStyle w:val="Compact"/>
        <w:numPr>
          <w:ilvl w:val="0"/>
          <w:numId w:val="1001"/>
        </w:numPr>
      </w:pPr>
      <w:r>
        <w:rPr>
          <w:b/>
          <w:bCs/>
        </w:rPr>
        <w:t xml:space="preserve">Captured gatekeepers.</w:t>
      </w:r>
      <w:r>
        <w:t xml:space="preserve"> </w:t>
      </w:r>
      <w:r>
        <w:t xml:space="preserve">The authorized submitters and validators themselves collude to fabricate or censor. Defense: separated roles, published authorization manifests, submission receipts that make censorship detectable, and an independently governed dispute path.</w:t>
      </w:r>
    </w:p>
    <w:p>
      <w:pPr>
        <w:pStyle w:val="FirstParagraph"/>
      </w:pPr>
      <w:r>
        <w:t xml:space="preserve">The most plausible attack composes these into a loop: acquire bootstrap standing, create controlled identities and activity, cross-attest and recycle capital, gain issuer weight and rewards, and use those to produce more apparently credible evidence. If reputation later influences eligibility, rewards, or who may submit evidence, that loop becomes self-reinforcing — which is why the dispositions below separate what must be resolved before design sign-off, before the prototype, before the architecture is confirmed, before any incentive activation, and before production.</w:t>
      </w:r>
    </w:p>
    <w:bookmarkEnd w:id="9"/>
    <w:bookmarkStart w:id="11" w:name="X52ec54e6a0de9423548b60b63e412792eeeaf82"/>
    <w:p>
      <w:pPr>
        <w:pStyle w:val="Heading1"/>
      </w:pPr>
      <w:r>
        <w:t xml:space="preserve">1. Disposition vocabulary</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92"/>
        <w:gridCol w:w="6167"/>
      </w:tblGrid>
      <w:tr>
        <w:trPr>
          <w:tblHeader w:val="on"/>
          <w:tblHeader w:val="true"/>
          <w:cantSplit/>
        </w:trPr>
        <w:tc>
          <w:tcPr>
            <w:tcW w:w="3192"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Disposition</w:t>
            </w:r>
          </w:p>
        </w:tc>
        <w:tc>
          <w:tcPr>
            <w:tcW w:w="6167"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Meaning</w:t>
            </w:r>
          </w:p>
        </w:tc>
      </w:tr>
      <w:tr>
        <w:trPr>
          <w:cantSplit/>
        </w:trPr>
        <w:tc>
          <w:tcPr>
            <w:tcW w:w="3192" w:type="dxa"/>
            <w:tcMar>
              <w:top w:w="50" w:type="dxa"/>
              <w:start w:w="90" w:type="dxa"/>
              <w:bottom w:w="50" w:type="dxa"/>
              <w:end w:w="90" w:type="dxa"/>
            </w:tcMar>
            <w:shd w:val="clear" w:fill="FFC7CE"/>
          </w:tcPr>
          <w:p>
            <w:pPr>
              <w:pStyle w:val="Compact"/>
              <w:spacing w:after="40" w:before="0"/>
            </w:pPr>
            <w:r>
              <w:rPr>
                <w:rFonts w:ascii="Calibri" w:hAnsi="Calibri"/>
                <w:b/>
                <w:color w:val="9C0006"/>
                <w:sz w:val="18"/>
              </w:rPr>
              <w:t xml:space="preserve">Blocks PRD sign-off</w:t>
            </w:r>
          </w:p>
        </w:tc>
        <w:tc>
          <w:tcPr>
            <w:tcW w:w="6167" w:type="dxa"/>
            <w:tcMar>
              <w:top w:w="50" w:type="dxa"/>
              <w:start w:w="90" w:type="dxa"/>
              <w:bottom w:w="50" w:type="dxa"/>
              <w:end w:w="90" w:type="dxa"/>
            </w:tcMar>
          </w:tcPr>
          <w:p>
            <w:pPr>
              <w:pStyle w:val="Compact"/>
              <w:spacing w:after="40" w:before="0"/>
            </w:pPr>
            <w:r>
              <w:rPr>
                <w:rFonts w:ascii="Calibri" w:hAnsi="Calibri"/>
                <w:color w:val="263238"/>
                <w:sz w:val="18"/>
              </w:rPr>
              <w:t xml:space="preserve">Product or semantic boundary cannot be specified safely</w:t>
            </w:r>
          </w:p>
        </w:tc>
      </w:tr>
      <w:tr>
        <w:trPr>
          <w:cantSplit/>
        </w:trPr>
        <w:tc>
          <w:tcPr>
            <w:tcW w:w="3192" w:type="dxa"/>
            <w:tcMar>
              <w:top w:w="50" w:type="dxa"/>
              <w:start w:w="90" w:type="dxa"/>
              <w:bottom w:w="50" w:type="dxa"/>
              <w:end w:w="90" w:type="dxa"/>
            </w:tcMar>
            <w:shd w:val="clear" w:fill="F8CBAD"/>
          </w:tcPr>
          <w:p>
            <w:pPr>
              <w:pStyle w:val="Compact"/>
              <w:spacing w:after="40" w:before="0"/>
            </w:pPr>
            <w:r>
              <w:rPr>
                <w:rFonts w:ascii="Calibri" w:hAnsi="Calibri"/>
                <w:b/>
                <w:color w:val="833C00"/>
                <w:sz w:val="18"/>
              </w:rPr>
              <w:t xml:space="preserve">Blocks prototype implementation</w:t>
            </w:r>
          </w:p>
        </w:tc>
        <w:tc>
          <w:tcPr>
            <w:tcW w:w="6167" w:type="dxa"/>
            <w:tcMar>
              <w:top w:w="50" w:type="dxa"/>
              <w:start w:w="90" w:type="dxa"/>
              <w:bottom w:w="50" w:type="dxa"/>
              <w:end w:w="90" w:type="dxa"/>
            </w:tcMar>
          </w:tcPr>
          <w:p>
            <w:pPr>
              <w:pStyle w:val="Compact"/>
              <w:spacing w:after="40" w:before="0"/>
            </w:pPr>
            <w:r>
              <w:rPr>
                <w:rFonts w:ascii="Calibri" w:hAnsi="Calibri"/>
                <w:color w:val="263238"/>
                <w:sz w:val="18"/>
              </w:rPr>
              <w:t xml:space="preserve">Required authority or semantic rule must be resolved before coding the proof of concept</w:t>
            </w:r>
          </w:p>
        </w:tc>
      </w:tr>
      <w:tr>
        <w:trPr>
          <w:cantSplit/>
        </w:trPr>
        <w:tc>
          <w:tcPr>
            <w:tcW w:w="3192" w:type="dxa"/>
            <w:tcMar>
              <w:top w:w="50" w:type="dxa"/>
              <w:start w:w="90" w:type="dxa"/>
              <w:bottom w:w="50" w:type="dxa"/>
              <w:end w:w="90" w:type="dxa"/>
            </w:tcMar>
            <w:shd w:val="clear" w:fill="F8CBAD"/>
          </w:tcPr>
          <w:p>
            <w:pPr>
              <w:pStyle w:val="Compact"/>
              <w:spacing w:after="40" w:before="0"/>
            </w:pPr>
            <w:r>
              <w:rPr>
                <w:rFonts w:ascii="Calibri" w:hAnsi="Calibri"/>
                <w:b/>
                <w:color w:val="833C00"/>
                <w:sz w:val="18"/>
              </w:rPr>
              <w:t xml:space="preserve">Blocks architecture confirmation</w:t>
            </w:r>
          </w:p>
        </w:tc>
        <w:tc>
          <w:tcPr>
            <w:tcW w:w="6167" w:type="dxa"/>
            <w:tcMar>
              <w:top w:w="50" w:type="dxa"/>
              <w:start w:w="90" w:type="dxa"/>
              <w:bottom w:w="50" w:type="dxa"/>
              <w:end w:w="90" w:type="dxa"/>
            </w:tcMar>
          </w:tcPr>
          <w:p>
            <w:pPr>
              <w:pStyle w:val="Compact"/>
              <w:spacing w:after="40" w:before="0"/>
            </w:pPr>
            <w:r>
              <w:rPr>
                <w:rFonts w:ascii="Calibri" w:hAnsi="Calibri"/>
                <w:color w:val="263238"/>
                <w:sz w:val="18"/>
              </w:rPr>
              <w:t xml:space="preserve">In-node design cannot be accepted without evidence</w:t>
            </w:r>
          </w:p>
        </w:tc>
      </w:tr>
      <w:tr>
        <w:trPr>
          <w:cantSplit/>
        </w:trPr>
        <w:tc>
          <w:tcPr>
            <w:tcW w:w="3192" w:type="dxa"/>
            <w:tcMar>
              <w:top w:w="50" w:type="dxa"/>
              <w:start w:w="90" w:type="dxa"/>
              <w:bottom w:w="50" w:type="dxa"/>
              <w:end w:w="90" w:type="dxa"/>
            </w:tcMar>
            <w:shd w:val="clear" w:fill="F8CBAD"/>
          </w:tcPr>
          <w:p>
            <w:pPr>
              <w:pStyle w:val="Compact"/>
              <w:spacing w:after="40" w:before="0"/>
            </w:pPr>
            <w:r>
              <w:rPr>
                <w:rFonts w:ascii="Calibri" w:hAnsi="Calibri"/>
                <w:b/>
                <w:color w:val="833C00"/>
                <w:sz w:val="18"/>
              </w:rPr>
              <w:t xml:space="preserve">Blocks incentive activation</w:t>
            </w:r>
          </w:p>
        </w:tc>
        <w:tc>
          <w:tcPr>
            <w:tcW w:w="6167" w:type="dxa"/>
            <w:tcMar>
              <w:top w:w="50" w:type="dxa"/>
              <w:start w:w="90" w:type="dxa"/>
              <w:bottom w:w="50" w:type="dxa"/>
              <w:end w:w="90" w:type="dxa"/>
            </w:tcMar>
          </w:tcPr>
          <w:p>
            <w:pPr>
              <w:pStyle w:val="Compact"/>
              <w:spacing w:after="40" w:before="0"/>
            </w:pPr>
            <w:r>
              <w:rPr>
                <w:rFonts w:ascii="Calibri" w:hAnsi="Calibri"/>
                <w:color w:val="263238"/>
                <w:sz w:val="18"/>
              </w:rPr>
              <w:t xml:space="preserve">Observation/shadow work may proceed; economic or operational actuation may not</w:t>
            </w:r>
          </w:p>
        </w:tc>
      </w:tr>
      <w:tr>
        <w:trPr>
          <w:cantSplit/>
        </w:trPr>
        <w:tc>
          <w:tcPr>
            <w:tcW w:w="3192" w:type="dxa"/>
            <w:tcMar>
              <w:top w:w="50" w:type="dxa"/>
              <w:start w:w="90" w:type="dxa"/>
              <w:bottom w:w="50" w:type="dxa"/>
              <w:end w:w="90" w:type="dxa"/>
            </w:tcMar>
            <w:shd w:val="clear" w:fill="F8CBAD"/>
          </w:tcPr>
          <w:p>
            <w:pPr>
              <w:pStyle w:val="Compact"/>
              <w:spacing w:after="40" w:before="0"/>
            </w:pPr>
            <w:r>
              <w:rPr>
                <w:rFonts w:ascii="Calibri" w:hAnsi="Calibri"/>
                <w:b/>
                <w:color w:val="833C00"/>
                <w:sz w:val="18"/>
              </w:rPr>
              <w:t xml:space="preserve">Blocks production</w:t>
            </w:r>
          </w:p>
        </w:tc>
        <w:tc>
          <w:tcPr>
            <w:tcW w:w="6167" w:type="dxa"/>
            <w:tcMar>
              <w:top w:w="50" w:type="dxa"/>
              <w:start w:w="90" w:type="dxa"/>
              <w:bottom w:w="50" w:type="dxa"/>
              <w:end w:w="90" w:type="dxa"/>
            </w:tcMar>
          </w:tcPr>
          <w:p>
            <w:pPr>
              <w:pStyle w:val="Compact"/>
              <w:spacing w:after="40" w:before="0"/>
            </w:pPr>
            <w:r>
              <w:rPr>
                <w:rFonts w:ascii="Calibri" w:hAnsi="Calibri"/>
                <w:color w:val="263238"/>
                <w:sz w:val="18"/>
              </w:rPr>
              <w:t xml:space="preserve">Prototype may proceed; production launch may not</w:t>
            </w:r>
          </w:p>
        </w:tc>
      </w:tr>
      <w:tr>
        <w:trPr>
          <w:cantSplit/>
        </w:trPr>
        <w:tc>
          <w:tcPr>
            <w:tcW w:w="3192" w:type="dxa"/>
            <w:tcMar>
              <w:top w:w="50" w:type="dxa"/>
              <w:start w:w="90" w:type="dxa"/>
              <w:bottom w:w="50" w:type="dxa"/>
              <w:end w:w="90" w:type="dxa"/>
            </w:tcMar>
            <w:shd w:val="clear" w:fill="E7E6E6"/>
          </w:tcPr>
          <w:p>
            <w:pPr>
              <w:pStyle w:val="Compact"/>
              <w:spacing w:after="40" w:before="0"/>
            </w:pPr>
            <w:r>
              <w:rPr>
                <w:rFonts w:ascii="Calibri" w:hAnsi="Calibri"/>
                <w:b/>
                <w:color w:val="595959"/>
                <w:sz w:val="18"/>
              </w:rPr>
              <w:t xml:space="preserve">Monitor / defer</w:t>
            </w:r>
          </w:p>
        </w:tc>
        <w:tc>
          <w:tcPr>
            <w:tcW w:w="6167" w:type="dxa"/>
            <w:tcMar>
              <w:top w:w="50" w:type="dxa"/>
              <w:start w:w="90" w:type="dxa"/>
              <w:bottom w:w="50" w:type="dxa"/>
              <w:end w:w="90" w:type="dxa"/>
            </w:tcMar>
          </w:tcPr>
          <w:p>
            <w:pPr>
              <w:pStyle w:val="Compact"/>
              <w:spacing w:after="40" w:before="0"/>
            </w:pPr>
            <w:r>
              <w:rPr>
                <w:rFonts w:ascii="Calibri" w:hAnsi="Calibri"/>
                <w:color w:val="263238"/>
                <w:sz w:val="18"/>
              </w:rPr>
              <w:t xml:space="preserve">Record and observe; not required for current prototype scope</w:t>
            </w:r>
          </w:p>
        </w:tc>
      </w:tr>
    </w:tbl>
    <w:bookmarkStart w:id="10" w:name="Xeebd5233630c6bd1d7877cd1e5abd77184f3040"/>
    <w:p>
      <w:pPr>
        <w:pStyle w:val="Heading2"/>
      </w:pPr>
      <w:r>
        <w:t xml:space="preserve">1.1 PRD sign-off risk mapping</w:t>
      </w:r>
    </w:p>
    <w:p>
      <w:pPr>
        <w:pStyle w:val="FirstParagraph"/>
      </w:pPr>
      <w:r>
        <w:t xml:space="preserve">These are the only current risks with a</w:t>
      </w:r>
      <w:r>
        <w:t xml:space="preserve"> </w:t>
      </w:r>
      <w:r>
        <w:rPr>
          <w:rStyle w:val="VerbatimChar"/>
        </w:rPr>
        <w:t xml:space="preserve">Blocks PRD sign-off</w:t>
      </w:r>
      <w:r>
        <w:t xml:space="preserve"> </w:t>
      </w:r>
      <w:r>
        <w:t xml:space="preserve">disposition. Their related Gate 1 rows require actual decisions rather than deferral for final PRD/architecture sign-off.</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83"/>
        <w:gridCol w:w="4476"/>
      </w:tblGrid>
      <w:tr>
        <w:trPr>
          <w:tblHeader w:val="on"/>
          <w:tblHeader w:val="true"/>
          <w:cantSplit/>
        </w:trPr>
        <w:tc>
          <w:tcPr>
            <w:tcW w:w="4883"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Blocking risk</w:t>
            </w:r>
          </w:p>
        </w:tc>
        <w:tc>
          <w:tcPr>
            <w:tcW w:w="447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Required Gate 1 decisions</w:t>
            </w:r>
          </w:p>
        </w:tc>
      </w:tr>
      <w:tr>
        <w:trPr>
          <w:cantSplit/>
        </w:trPr>
        <w:tc>
          <w:tcPr>
            <w:tcW w:w="4883" w:type="dxa"/>
            <w:tcMar>
              <w:top w:w="50" w:type="dxa"/>
              <w:start w:w="90" w:type="dxa"/>
              <w:bottom w:w="50" w:type="dxa"/>
              <w:end w:w="90" w:type="dxa"/>
            </w:tcMar>
          </w:tcPr>
          <w:p>
            <w:pPr>
              <w:pStyle w:val="Compact"/>
              <w:spacing w:after="40" w:before="0"/>
            </w:pPr>
            <w:r>
              <w:rPr>
                <w:rFonts w:ascii="Calibri" w:hAnsi="Calibri"/>
                <w:b/>
                <w:color w:val="9C0006"/>
                <w:sz w:val="18"/>
              </w:rPr>
              <w:t xml:space="preserve">R3 Truster or validator cartel capture</w:t>
            </w:r>
          </w:p>
        </w:tc>
        <w:tc>
          <w:tcPr>
            <w:tcW w:w="4476" w:type="dxa"/>
            <w:tcMar>
              <w:top w:w="50" w:type="dxa"/>
              <w:start w:w="90" w:type="dxa"/>
              <w:bottom w:w="50" w:type="dxa"/>
              <w:end w:w="90" w:type="dxa"/>
            </w:tcMar>
          </w:tcPr>
          <w:p>
            <w:pPr>
              <w:pStyle w:val="Compact"/>
              <w:spacing w:after="40" w:before="0"/>
            </w:pPr>
            <w:r>
              <w:rPr>
                <w:rFonts w:ascii="Calibri" w:hAnsi="Calibri"/>
                <w:color w:val="263238"/>
                <w:sz w:val="18"/>
              </w:rPr>
              <w:t xml:space="preserve">Q2, Q6, Q7, Q9, Q12, Q14, Q28</w:t>
            </w:r>
          </w:p>
        </w:tc>
      </w:tr>
      <w:tr>
        <w:trPr>
          <w:cantSplit/>
        </w:trPr>
        <w:tc>
          <w:tcPr>
            <w:tcW w:w="4883" w:type="dxa"/>
            <w:tcMar>
              <w:top w:w="50" w:type="dxa"/>
              <w:start w:w="90" w:type="dxa"/>
              <w:bottom w:w="50" w:type="dxa"/>
              <w:end w:w="90" w:type="dxa"/>
            </w:tcMar>
          </w:tcPr>
          <w:p>
            <w:pPr>
              <w:pStyle w:val="Compact"/>
              <w:spacing w:after="40" w:before="0"/>
            </w:pPr>
            <w:r>
              <w:rPr>
                <w:rFonts w:ascii="Calibri" w:hAnsi="Calibri"/>
                <w:b/>
                <w:color w:val="9C0006"/>
                <w:sz w:val="18"/>
              </w:rPr>
              <w:t xml:space="preserve">R6 Scope or type laundering</w:t>
            </w:r>
          </w:p>
        </w:tc>
        <w:tc>
          <w:tcPr>
            <w:tcW w:w="4476" w:type="dxa"/>
            <w:tcMar>
              <w:top w:w="50" w:type="dxa"/>
              <w:start w:w="90" w:type="dxa"/>
              <w:bottom w:w="50" w:type="dxa"/>
              <w:end w:w="90" w:type="dxa"/>
            </w:tcMar>
          </w:tcPr>
          <w:p>
            <w:pPr>
              <w:pStyle w:val="Compact"/>
              <w:spacing w:after="40" w:before="0"/>
            </w:pPr>
            <w:r>
              <w:rPr>
                <w:rFonts w:ascii="Calibri" w:hAnsi="Calibri"/>
                <w:color w:val="263238"/>
                <w:sz w:val="18"/>
              </w:rPr>
              <w:t xml:space="preserve">Q1, Q2, Q3, Q4</w:t>
            </w:r>
          </w:p>
        </w:tc>
      </w:tr>
    </w:tbl>
    <w:bookmarkEnd w:id="10"/>
    <w:bookmarkEnd w:id="11"/>
    <w:bookmarkStart w:id="12" w:name="Xefac9c45a52483c5de848b6152d5342a55987ac"/>
    <w:p>
      <w:pPr>
        <w:pStyle w:val="Heading1"/>
      </w:pPr>
      <w:r>
        <w:t xml:space="preserve">2. Prioritized risks</w:t>
      </w:r>
    </w:p>
    <w:p>
      <w:pPr>
        <w:pStyle w:val="FirstParagraph"/>
      </w:pPr>
      <w:r>
        <w:t xml:space="preserve">The register covers adversarial manipulation (R1, R5-R9), economic/control risks (R2, R11-R13, R18-R19), governance/authority risks (R3, R10), and technical/architecture/privacy risks (R4, R14-R17, R20). Several risks cross categories; their disposition is determined by the earliest milestone they can invalidate.</w:t>
      </w:r>
    </w:p>
    <w:tbl>
      <w:tblPr>
        <w:tblStyle w:val="Table"/>
        <w:tblLook w:firstRow="1" w:lastRow="0" w:firstColumn="0" w:lastColumn="0" w:noHBand="0" w:noVBand="0" w:val="0020"/>
        <w:tblW w:w="9360"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00"/>
        <w:gridCol w:w="1040"/>
        <w:gridCol w:w="1705"/>
        <w:gridCol w:w="1515"/>
        <w:gridCol w:w="2790"/>
        <w:gridCol w:w="1610"/>
      </w:tblGrid>
      <w:tr>
        <w:trPr>
          <w:tblHeader w:val="on"/>
          <w:tblHeader w:val="true"/>
          <w:cantSplit/>
        </w:trPr>
        <w:tc>
          <w:tcPr>
            <w:tcW w:w="700"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ID</w:t>
            </w:r>
          </w:p>
        </w:tc>
        <w:tc>
          <w:tcPr>
            <w:tcW w:w="1040"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Priority</w:t>
            </w:r>
          </w:p>
        </w:tc>
        <w:tc>
          <w:tcPr>
            <w:tcW w:w="1705"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Risk</w:t>
            </w:r>
          </w:p>
        </w:tc>
        <w:tc>
          <w:tcPr>
            <w:tcW w:w="1515"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Principal impact</w:t>
            </w:r>
          </w:p>
        </w:tc>
        <w:tc>
          <w:tcPr>
            <w:tcW w:w="2790"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Required mitigation and evidence</w:t>
            </w:r>
          </w:p>
        </w:tc>
        <w:tc>
          <w:tcPr>
            <w:tcW w:w="1610"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Disposition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w:t>
            </w:r>
          </w:p>
        </w:tc>
        <w:tc>
          <w:tcPr>
            <w:tcW w:w="1040" w:type="dxa"/>
            <w:tcMar>
              <w:top w:w="50" w:type="dxa"/>
              <w:start w:w="90" w:type="dxa"/>
              <w:bottom w:w="50" w:type="dxa"/>
              <w:end w:w="90" w:type="dxa"/>
            </w:tcMar>
            <w:shd w:val="clear" w:fill="FFC7CE"/>
          </w:tcPr>
          <w:p>
            <w:pPr>
              <w:pStyle w:val="Compact"/>
              <w:spacing w:after="40" w:before="0"/>
            </w:pPr>
            <w:r>
              <w:rPr>
                <w:rFonts w:ascii="Calibri" w:hAnsi="Calibri"/>
                <w:b/>
                <w:color w:val="9C0006"/>
                <w:sz w:val="16"/>
              </w:rPr>
              <w:t xml:space="preserve">Critical</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Collusive attestation ring</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Controlled identities manufacture issuer credibility and suppress honest participants</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Provenance independence, source canonicalization, outbound normalization/caps, correlated-cluster analysis; metamorphic test that a closed subgraph creates no net influence</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incentive activation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R2</w:t>
            </w:r>
          </w:p>
        </w:tc>
        <w:tc>
          <w:tcPr>
            <w:tcW w:w="1040" w:type="dxa"/>
            <w:tcMar>
              <w:top w:w="50" w:type="dxa"/>
              <w:start w:w="90" w:type="dxa"/>
              <w:bottom w:w="50" w:type="dxa"/>
              <w:end w:w="90" w:type="dxa"/>
            </w:tcMar>
            <w:shd w:val="clear" w:fill="FFC7CE"/>
          </w:tcPr>
          <w:p>
            <w:pPr>
              <w:pStyle w:val="Compact"/>
              <w:spacing w:after="40" w:before="0"/>
            </w:pPr>
            <w:r>
              <w:rPr>
                <w:rFonts w:ascii="Calibri" w:hAnsi="Calibri"/>
                <w:b/>
                <w:color w:val="9C0006"/>
                <w:sz w:val="16"/>
              </w:rPr>
              <w:t xml:space="preserve">Critical</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Wash activity and double-counted exposure</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Self-funded fees, stake, locks, or rewards manufacture health and profitable feedback</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Net-of-rebate cost, holding duration, counterparty diversity, common-control flow, one semantic role per signal; wash-ring simulation</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incentive activation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R3</w:t>
            </w:r>
          </w:p>
        </w:tc>
        <w:tc>
          <w:tcPr>
            <w:tcW w:w="1040" w:type="dxa"/>
            <w:tcMar>
              <w:top w:w="50" w:type="dxa"/>
              <w:start w:w="90" w:type="dxa"/>
              <w:bottom w:w="50" w:type="dxa"/>
              <w:end w:w="90" w:type="dxa"/>
            </w:tcMar>
            <w:shd w:val="clear" w:fill="FFC7CE"/>
          </w:tcPr>
          <w:p>
            <w:pPr>
              <w:pStyle w:val="Compact"/>
              <w:spacing w:after="40" w:before="0"/>
            </w:pPr>
            <w:r>
              <w:rPr>
                <w:rFonts w:ascii="Calibri" w:hAnsi="Calibri"/>
                <w:b/>
                <w:color w:val="9C0006"/>
                <w:sz w:val="16"/>
              </w:rPr>
              <w:t xml:space="preserve">Critical</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Truster or validator cartel capture</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Authorized parties fabricate history, censor refutations, or publish selective roots</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Per-action source/event/type/scope capabilities, explicit manifests, role separation, threshold rules, accepted/rejected receipts, inclusion-delay monitoring, rotation/revocation, independently governed dispute/replay path</w:t>
            </w:r>
          </w:p>
        </w:tc>
        <w:tc>
          <w:tcPr>
            <w:tcW w:w="1610" w:type="dxa"/>
            <w:tcMar>
              <w:top w:w="50" w:type="dxa"/>
              <w:start w:w="90" w:type="dxa"/>
              <w:bottom w:w="50" w:type="dxa"/>
              <w:end w:w="90" w:type="dxa"/>
            </w:tcMar>
            <w:shd w:val="clear" w:fill="FFC7CE"/>
          </w:tcPr>
          <w:p>
            <w:pPr>
              <w:pStyle w:val="Compact"/>
              <w:spacing w:after="40" w:before="0"/>
            </w:pPr>
            <w:r>
              <w:rPr>
                <w:rFonts w:ascii="Calibri" w:hAnsi="Calibri"/>
                <w:b/>
                <w:color w:val="9C0006"/>
                <w:sz w:val="16"/>
              </w:rPr>
              <w:t xml:space="preserve">Blocks PRD sign-off, prototype implementation, and production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R4</w:t>
            </w:r>
          </w:p>
        </w:tc>
        <w:tc>
          <w:tcPr>
            <w:tcW w:w="1040" w:type="dxa"/>
            <w:tcMar>
              <w:top w:w="50" w:type="dxa"/>
              <w:start w:w="90" w:type="dxa"/>
              <w:bottom w:w="50" w:type="dxa"/>
              <w:end w:w="90" w:type="dxa"/>
            </w:tcMar>
            <w:shd w:val="clear" w:fill="FFC7CE"/>
          </w:tcPr>
          <w:p>
            <w:pPr>
              <w:pStyle w:val="Compact"/>
              <w:spacing w:after="40" w:before="0"/>
            </w:pPr>
            <w:r>
              <w:rPr>
                <w:rFonts w:ascii="Calibri" w:hAnsi="Calibri"/>
                <w:b/>
                <w:color w:val="9C0006"/>
                <w:sz w:val="16"/>
              </w:rPr>
              <w:t xml:space="preserve">Critical</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Incomplete-but-valid commitment</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Inclusion proof authenticates a favorable subset while negative evidence is omitted or unavailable</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Ordered ingestion manifests, sequence/gap detection, domain/epoch binding, payload availability policy, independently verifiable coverage</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architecture confirmation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R5</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Sybil splitting and whitewashing</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Actors reset damaged identity or multiply aggregate influence</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Stable identity history, unknown-by-default newcomers, split/merge/recovery semantics, bootstrap caps; partition-invariance tests</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incentive activation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R6</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Scope or type laundering</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Easy standing in one domain becomes authority in another</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Strict type/scope schema, no implicit coercion, explicit bounded cross-context-reuse policy and tests</w:t>
            </w:r>
          </w:p>
        </w:tc>
        <w:tc>
          <w:tcPr>
            <w:tcW w:w="1610" w:type="dxa"/>
            <w:tcMar>
              <w:top w:w="50" w:type="dxa"/>
              <w:start w:w="90" w:type="dxa"/>
              <w:bottom w:w="50" w:type="dxa"/>
              <w:end w:w="90" w:type="dxa"/>
            </w:tcMar>
            <w:shd w:val="clear" w:fill="FFC7CE"/>
          </w:tcPr>
          <w:p>
            <w:pPr>
              <w:pStyle w:val="Compact"/>
              <w:spacing w:after="40" w:before="0"/>
            </w:pPr>
            <w:r>
              <w:rPr>
                <w:rFonts w:ascii="Calibri" w:hAnsi="Calibri"/>
                <w:b/>
                <w:color w:val="9C0006"/>
                <w:sz w:val="16"/>
              </w:rPr>
              <w:t xml:space="preserve">Blocks PRD sign-off and prototype implementation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R7</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Coverage gaming and evidence suppression</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Silence or self-generated volume appears healthy</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Evidence-type-specific observation boundaries, observer diversity, missing-evidence reporting, and minimum coverage before positive inference</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incentive activation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R8</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Negative-evidence weaponization</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Cheap accusations impose censorship, delay, or extortion</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Separate allegations from adjudicated facts, provisional-impact caps, rate limits, response rights, deadlines, abuse consequences</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production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R9</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Evidence cloning and replay</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One event is counted through multiple wrappers, contract families, partitions, shards, or replays</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Shard-wide event-ID/idempotency domain across all state-changing contracts, source-lineage and duplicate-detection rules, cross-family replay fixtures, and order checks; relay inherits rather than multiplies influence</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architecture confirmation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R10</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Policy and governance manipulation</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Versioned but targeted policy changes enrich or exclude actors</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Timelocks, replay diffs, conflict disclosure, bounded deltas, independent approval, rollback, concurrent shadow comparison</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incentive activation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R11</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Bootstrap capture and incumbent lock-in</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Purchased or duplicated bootstrap credit becomes durable authority</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Labeled/capped/expiring prior, source mapping, renormalization, newcomer path, sensitivity replay; bootstrap cannot grant blocking authority</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incentive activation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R12</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Reflexive tokenomic control loop</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Rewards change the evidence used to justify later rewards</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Keep tokenomics separate, exclude endogenous rewards, caps, lag, hysteresis, rate limits, shadow mode, manual rollback</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incentive activation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R13</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Goodhart and model instability</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Visible proxies replace real outcomes or smoothing hides shocks</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Outcome validation, non-substitutable severe faults, out-of-sample tests, ablations, multi-timescale metrics, circuit breakers</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incentive activation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R14</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Cross-shard import failure</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Forged, stale, reordered, duplicated, conflicting, or unavailable results mislead consumers</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Transport-independent envelope, source/quorum/rotation verification, freshness/order/replay checks, retries, lag monitoring, conflict procedure</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architecture confirmation and production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R15</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Privacy and capability leakage</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Payloads, channels, proof trees, or metadata expose sensitive evidence or authority</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Evidence classes, commitments, selective disclosure, authorization, metadata threat model, access audit</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production for affected evidence classes</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R16</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Dependency invalidation failure</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Bad input remains embedded in projections or over-invalidates unrelated state</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Forward provenance, reverse dependency index, append-only correction, deterministic replay, exact dependency-derived affected-context tests</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architecture confirmation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R17</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Storage/query/replay growth or hot-channel contention</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Provenance, graph operations, or serialized reputation writes exceed node bounds</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Separate capability-secured contract/channel families, partitioned state, rebuildable indexes, explicit retention, mixed-write contention/throughput tests, size/fanout benchmarks, capacity thresholds</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architecture confirmation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R18</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V2 collateral illusion</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Borrowed/concentrated/illiquid collateral appears to secure truth</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Long unbonding, concentration/liquidity haircuts, objective slash predicates, stressed value, adversarial testnet evidence</w:t>
            </w:r>
          </w:p>
        </w:tc>
        <w:tc>
          <w:tcPr>
            <w:tcW w:w="1610" w:type="dxa"/>
            <w:tcMar>
              <w:top w:w="50" w:type="dxa"/>
              <w:start w:w="90" w:type="dxa"/>
              <w:bottom w:w="50" w:type="dxa"/>
              <w:end w:w="90" w:type="dxa"/>
            </w:tcMar>
            <w:shd w:val="clear" w:fill="E7E6E6"/>
          </w:tcPr>
          <w:p>
            <w:pPr>
              <w:pStyle w:val="Compact"/>
              <w:spacing w:after="40" w:before="0"/>
            </w:pPr>
            <w:r>
              <w:rPr>
                <w:rFonts w:ascii="Calibri" w:hAnsi="Calibri"/>
                <w:b/>
                <w:color w:val="595959"/>
                <w:sz w:val="16"/>
              </w:rPr>
              <w:t xml:space="preserve">Deferred; blocks any V2 promotion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R20</w:t>
            </w:r>
          </w:p>
        </w:tc>
        <w:tc>
          <w:tcPr>
            <w:tcW w:w="104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High</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Atomic write overflow or partial materialization publication</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A required core write exceeds deploy/block bounds, or incomplete staged state becomes queryable</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Define and benchmark the atomic core write set; use inactive versioned staging, idempotent chunks, declared completion/validation checks, and one finalized activation reference; inject interruption and activation failures</w:t>
            </w:r>
          </w:p>
        </w:tc>
        <w:tc>
          <w:tcPr>
            <w:tcW w:w="1610" w:type="dxa"/>
            <w:tcMar>
              <w:top w:w="50" w:type="dxa"/>
              <w:start w:w="90" w:type="dxa"/>
              <w:bottom w:w="50" w:type="dxa"/>
              <w:end w:w="90" w:type="dxa"/>
            </w:tcMar>
            <w:shd w:val="clear" w:fill="F8CBAD"/>
          </w:tcPr>
          <w:p>
            <w:pPr>
              <w:pStyle w:val="Compact"/>
              <w:spacing w:after="40" w:before="0"/>
            </w:pPr>
            <w:r>
              <w:rPr>
                <w:rFonts w:ascii="Calibri" w:hAnsi="Calibri"/>
                <w:b/>
                <w:color w:val="833C00"/>
                <w:sz w:val="16"/>
              </w:rPr>
              <w:t xml:space="preserve">Blocks architecture confirmation</w:t>
            </w:r>
          </w:p>
        </w:tc>
      </w:tr>
      <w:tr>
        <w:tc>
          <w:tcPr>
            <w:tcW w:w="700" w:type="dxa"/>
            <w:tcMar>
              <w:top w:w="50" w:type="dxa"/>
              <w:start w:w="90" w:type="dxa"/>
              <w:bottom w:w="50" w:type="dxa"/>
              <w:end w:w="90" w:type="dxa"/>
            </w:tcMar>
          </w:tcPr>
          <w:p>
            <w:pPr>
              <w:pStyle w:val="Compact"/>
              <w:spacing w:after="40" w:before="0"/>
            </w:pPr>
            <w:r>
              <w:rPr>
                <w:rFonts w:ascii="Calibri" w:hAnsi="Calibri"/>
                <w:color w:val="263238"/>
                <w:sz w:val="16"/>
              </w:rPr>
              <w:t xml:space="preserve">R19</w:t>
            </w:r>
          </w:p>
        </w:tc>
        <w:tc>
          <w:tcPr>
            <w:tcW w:w="1040" w:type="dxa"/>
            <w:tcMar>
              <w:top w:w="50" w:type="dxa"/>
              <w:start w:w="90" w:type="dxa"/>
              <w:bottom w:w="50" w:type="dxa"/>
              <w:end w:w="90" w:type="dxa"/>
            </w:tcMar>
            <w:shd w:val="clear" w:fill="FFF2CC"/>
          </w:tcPr>
          <w:p>
            <w:pPr>
              <w:pStyle w:val="Compact"/>
              <w:spacing w:after="40" w:before="0"/>
            </w:pPr>
            <w:r>
              <w:rPr>
                <w:rFonts w:ascii="Calibri" w:hAnsi="Calibri"/>
                <w:b/>
                <w:color w:val="7F6000"/>
                <w:sz w:val="16"/>
              </w:rPr>
              <w:t xml:space="preserve">Medium</w:t>
            </w:r>
          </w:p>
        </w:tc>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Reputation-weighted consensus capture</w:t>
            </w:r>
          </w:p>
        </w:tc>
        <w:tc>
          <w:tcPr>
            <w:tcW w:w="1515" w:type="dxa"/>
            <w:tcMar>
              <w:top w:w="50" w:type="dxa"/>
              <w:start w:w="90" w:type="dxa"/>
              <w:bottom w:w="50" w:type="dxa"/>
              <w:end w:w="90" w:type="dxa"/>
            </w:tcMar>
          </w:tcPr>
          <w:p>
            <w:pPr>
              <w:pStyle w:val="Compact"/>
              <w:spacing w:after="40" w:before="0"/>
            </w:pPr>
            <w:r>
              <w:rPr>
                <w:rFonts w:ascii="Calibri" w:hAnsi="Calibri"/>
                <w:color w:val="263238"/>
                <w:sz w:val="16"/>
              </w:rPr>
              <w:t xml:space="preserve">Reputation errors or cartels become consensus authority</w:t>
            </w:r>
          </w:p>
        </w:tc>
        <w:tc>
          <w:tcPr>
            <w:tcW w:w="2790" w:type="dxa"/>
            <w:tcMar>
              <w:top w:w="50" w:type="dxa"/>
              <w:start w:w="90" w:type="dxa"/>
              <w:bottom w:w="50" w:type="dxa"/>
              <w:end w:w="90" w:type="dxa"/>
            </w:tcMar>
          </w:tcPr>
          <w:p>
            <w:pPr>
              <w:pStyle w:val="Compact"/>
              <w:spacing w:after="40" w:before="0"/>
            </w:pPr>
            <w:r>
              <w:rPr>
                <w:rFonts w:ascii="Calibri" w:hAnsi="Calibri"/>
                <w:color w:val="263238"/>
                <w:sz w:val="16"/>
              </w:rPr>
              <w:t xml:space="preserve">Exclude from V1; require separate research, threat model, governance, and consensus review</w:t>
            </w:r>
          </w:p>
        </w:tc>
        <w:tc>
          <w:tcPr>
            <w:tcW w:w="1610" w:type="dxa"/>
            <w:tcMar>
              <w:top w:w="50" w:type="dxa"/>
              <w:start w:w="90" w:type="dxa"/>
              <w:bottom w:w="50" w:type="dxa"/>
              <w:end w:w="90" w:type="dxa"/>
            </w:tcMar>
            <w:shd w:val="clear" w:fill="E7E6E6"/>
          </w:tcPr>
          <w:p>
            <w:pPr>
              <w:pStyle w:val="Compact"/>
              <w:spacing w:after="40" w:before="0"/>
            </w:pPr>
            <w:r>
              <w:rPr>
                <w:rFonts w:ascii="Calibri" w:hAnsi="Calibri"/>
                <w:b/>
                <w:color w:val="595959"/>
                <w:sz w:val="16"/>
              </w:rPr>
              <w:t xml:space="preserve">Deferred beyond V1</w:t>
            </w:r>
          </w:p>
        </w:tc>
      </w:tr>
    </w:tbl>
    <w:bookmarkEnd w:id="12"/>
    <w:bookmarkStart w:id="13" w:name="Xfa1052c5111f0a2e9f62935393b6311e2612c55"/>
    <w:p>
      <w:pPr>
        <w:pStyle w:val="Heading1"/>
      </w:pPr>
      <w:r>
        <w:t xml:space="preserve">3. Validation gates</w:t>
      </w:r>
    </w:p>
    <w:p>
      <w:pPr>
        <w:pStyle w:val="FirstParagraph"/>
      </w:pPr>
      <w:r>
        <w:t xml:space="preserve">These RG identifiers are stable test-evidence categories, not a chronological sequence. They are distinct from the Open Question Register's decision Gates 1-3 and the Roadmap's contract freezes. This register defines what each RG gate must demonstrate; the Roadmap assigns them to implementation stages, while Architecture Section 14 expands RG4 and RG5.</w:t>
      </w:r>
    </w:p>
    <w:tbl>
      <w:tblPr>
        <w:tblStyle w:val="Table"/>
        <w:tblLook w:firstRow="1" w:lastRow="0" w:firstColumn="0" w:lastColumn="0" w:noHBand="0" w:noVBand="0" w:val="0020"/>
        <w:tblW w:w="9358"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33"/>
        <w:gridCol w:w="6565"/>
        <w:gridCol w:w="1260"/>
      </w:tblGrid>
      <w:tr>
        <w:trPr>
          <w:tblHeader w:val="on"/>
          <w:tblHeader w:val="true"/>
          <w:cantSplit/>
        </w:trPr>
        <w:tc>
          <w:tcPr>
            <w:tcW w:w="1533"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Gate</w:t>
            </w:r>
          </w:p>
        </w:tc>
        <w:tc>
          <w:tcPr>
            <w:tcW w:w="6565"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Must demonstrate</w:t>
            </w:r>
          </w:p>
        </w:tc>
        <w:tc>
          <w:tcPr>
            <w:tcW w:w="126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Principal risks</w:t>
            </w:r>
          </w:p>
        </w:tc>
      </w:tr>
      <w:tr>
        <w:tc>
          <w:tcPr>
            <w:tcW w:w="1533" w:type="dxa"/>
            <w:tcMar>
              <w:top w:w="50" w:type="dxa"/>
              <w:start w:w="90" w:type="dxa"/>
              <w:bottom w:w="50" w:type="dxa"/>
              <w:end w:w="90" w:type="dxa"/>
            </w:tcMar>
          </w:tcPr>
          <w:p>
            <w:pPr>
              <w:pStyle w:val="Compact"/>
              <w:spacing w:after="40" w:before="0"/>
            </w:pPr>
            <w:r>
              <w:rPr>
                <w:rFonts w:ascii="Calibri" w:hAnsi="Calibri"/>
                <w:color w:val="263238"/>
                <w:sz w:val="18"/>
              </w:rPr>
              <w:t xml:space="preserve">RG1 Evidence and replay</w:t>
            </w:r>
          </w:p>
        </w:tc>
        <w:tc>
          <w:tcPr>
            <w:tcW w:w="6565" w:type="dxa"/>
            <w:tcMar>
              <w:top w:w="50" w:type="dxa"/>
              <w:start w:w="90" w:type="dxa"/>
              <w:bottom w:w="50" w:type="dxa"/>
              <w:end w:w="90" w:type="dxa"/>
            </w:tcMar>
          </w:tcPr>
          <w:p>
            <w:pPr>
              <w:pStyle w:val="Compact"/>
              <w:spacing w:after="40" w:before="0"/>
            </w:pPr>
            <w:r>
              <w:rPr>
                <w:rFonts w:ascii="Calibri" w:hAnsi="Calibri"/>
                <w:color w:val="263238"/>
                <w:sz w:val="18"/>
              </w:rPr>
              <w:t xml:space="preserve">Deterministic replay over direct, witnessed, hearsay, conflicting, late, duplicated, superseded, and invalidated events; dependency-derived affected-context correctness; incremental/full recomputation equivalence under the identical Architecture Section 14 evaluation context</w:t>
            </w:r>
          </w:p>
        </w:tc>
        <w:tc>
          <w:tcPr>
            <w:tcW w:w="1260" w:type="dxa"/>
            <w:tcMar>
              <w:top w:w="50" w:type="dxa"/>
              <w:start w:w="90" w:type="dxa"/>
              <w:bottom w:w="50" w:type="dxa"/>
              <w:end w:w="90" w:type="dxa"/>
            </w:tcMar>
          </w:tcPr>
          <w:p>
            <w:pPr>
              <w:pStyle w:val="Compact"/>
              <w:spacing w:after="40" w:before="0"/>
            </w:pPr>
            <w:r>
              <w:rPr>
                <w:rFonts w:ascii="Calibri" w:hAnsi="Calibri"/>
                <w:color w:val="263238"/>
                <w:sz w:val="18"/>
              </w:rPr>
              <w:t xml:space="preserve">R9, R16, R17</w:t>
            </w:r>
          </w:p>
        </w:tc>
      </w:tr>
      <w:tr>
        <w:tc>
          <w:tcPr>
            <w:tcW w:w="1533" w:type="dxa"/>
            <w:tcMar>
              <w:top w:w="50" w:type="dxa"/>
              <w:start w:w="90" w:type="dxa"/>
              <w:bottom w:w="50" w:type="dxa"/>
              <w:end w:w="90" w:type="dxa"/>
            </w:tcMar>
          </w:tcPr>
          <w:p>
            <w:pPr>
              <w:pStyle w:val="Compact"/>
              <w:spacing w:after="40" w:before="0"/>
            </w:pPr>
            <w:r>
              <w:rPr>
                <w:rFonts w:ascii="Calibri" w:hAnsi="Calibri"/>
                <w:color w:val="263238"/>
                <w:sz w:val="18"/>
              </w:rPr>
              <w:t xml:space="preserve">RG2 Metamorphic and adversarial</w:t>
            </w:r>
          </w:p>
        </w:tc>
        <w:tc>
          <w:tcPr>
            <w:tcW w:w="6565" w:type="dxa"/>
            <w:tcMar>
              <w:top w:w="50" w:type="dxa"/>
              <w:start w:w="90" w:type="dxa"/>
              <w:bottom w:w="50" w:type="dxa"/>
              <w:end w:w="90" w:type="dxa"/>
            </w:tcMar>
          </w:tcPr>
          <w:p>
            <w:pPr>
              <w:pStyle w:val="Compact"/>
              <w:spacing w:after="40" w:before="0"/>
            </w:pPr>
            <w:r>
              <w:rPr>
                <w:rFonts w:ascii="Calibri" w:hAnsi="Calibri"/>
                <w:color w:val="263238"/>
                <w:sz w:val="18"/>
              </w:rPr>
              <w:t xml:space="preserve">Identity splitting, relayed cycles, unrelated scope, wash rings, missing coverage, and policy replay do not create unearned influence</w:t>
            </w:r>
          </w:p>
        </w:tc>
        <w:tc>
          <w:tcPr>
            <w:tcW w:w="1260" w:type="dxa"/>
            <w:tcMar>
              <w:top w:w="50" w:type="dxa"/>
              <w:start w:w="90" w:type="dxa"/>
              <w:bottom w:w="50" w:type="dxa"/>
              <w:end w:w="90" w:type="dxa"/>
            </w:tcMar>
          </w:tcPr>
          <w:p>
            <w:pPr>
              <w:pStyle w:val="Compact"/>
              <w:spacing w:after="40" w:before="0"/>
            </w:pPr>
            <w:r>
              <w:rPr>
                <w:rFonts w:ascii="Calibri" w:hAnsi="Calibri"/>
                <w:color w:val="263238"/>
                <w:sz w:val="18"/>
              </w:rPr>
              <w:t xml:space="preserve">R1, R2, R5-R7, R10-R13</w:t>
            </w:r>
          </w:p>
        </w:tc>
      </w:tr>
      <w:tr>
        <w:tc>
          <w:tcPr>
            <w:tcW w:w="1533" w:type="dxa"/>
            <w:tcMar>
              <w:top w:w="50" w:type="dxa"/>
              <w:start w:w="90" w:type="dxa"/>
              <w:bottom w:w="50" w:type="dxa"/>
              <w:end w:w="90" w:type="dxa"/>
            </w:tcMar>
          </w:tcPr>
          <w:p>
            <w:pPr>
              <w:pStyle w:val="Compact"/>
              <w:spacing w:after="40" w:before="0"/>
            </w:pPr>
            <w:r>
              <w:rPr>
                <w:rFonts w:ascii="Calibri" w:hAnsi="Calibri"/>
                <w:color w:val="263238"/>
                <w:sz w:val="18"/>
              </w:rPr>
              <w:t xml:space="preserve">RG3 Historical and simulation</w:t>
            </w:r>
          </w:p>
        </w:tc>
        <w:tc>
          <w:tcPr>
            <w:tcW w:w="6565" w:type="dxa"/>
            <w:tcMar>
              <w:top w:w="50" w:type="dxa"/>
              <w:start w:w="90" w:type="dxa"/>
              <w:bottom w:w="50" w:type="dxa"/>
              <w:end w:w="90" w:type="dxa"/>
            </w:tcMar>
          </w:tcPr>
          <w:p>
            <w:pPr>
              <w:pStyle w:val="Compact"/>
              <w:spacing w:after="40" w:before="0"/>
            </w:pPr>
            <w:r>
              <w:rPr>
                <w:rFonts w:ascii="Calibri" w:hAnsi="Calibri"/>
                <w:color w:val="263238"/>
                <w:sz w:val="18"/>
              </w:rPr>
              <w:t xml:space="preserve">Calibration, precision/recall, lead time, false-positive cost, strategic actors, missing/delayed data, correlated shards, control stability</w:t>
            </w:r>
          </w:p>
        </w:tc>
        <w:tc>
          <w:tcPr>
            <w:tcW w:w="1260" w:type="dxa"/>
            <w:tcMar>
              <w:top w:w="50" w:type="dxa"/>
              <w:start w:w="90" w:type="dxa"/>
              <w:bottom w:w="50" w:type="dxa"/>
              <w:end w:w="90" w:type="dxa"/>
            </w:tcMar>
          </w:tcPr>
          <w:p>
            <w:pPr>
              <w:pStyle w:val="Compact"/>
              <w:spacing w:after="40" w:before="0"/>
            </w:pPr>
            <w:r>
              <w:rPr>
                <w:rFonts w:ascii="Calibri" w:hAnsi="Calibri"/>
                <w:color w:val="263238"/>
                <w:sz w:val="18"/>
              </w:rPr>
              <w:t xml:space="preserve">R1, R2, R7, R10-R13</w:t>
            </w:r>
          </w:p>
        </w:tc>
      </w:tr>
      <w:tr>
        <w:tc>
          <w:tcPr>
            <w:tcW w:w="1533" w:type="dxa"/>
            <w:tcMar>
              <w:top w:w="50" w:type="dxa"/>
              <w:start w:w="90" w:type="dxa"/>
              <w:bottom w:w="50" w:type="dxa"/>
              <w:end w:w="90" w:type="dxa"/>
            </w:tcMar>
          </w:tcPr>
          <w:p>
            <w:pPr>
              <w:pStyle w:val="Compact"/>
              <w:spacing w:after="40" w:before="0"/>
            </w:pPr>
            <w:r>
              <w:rPr>
                <w:rFonts w:ascii="Calibri" w:hAnsi="Calibri"/>
                <w:color w:val="263238"/>
                <w:sz w:val="18"/>
              </w:rPr>
              <w:t xml:space="preserve">RG4 Node proof of concept</w:t>
            </w:r>
          </w:p>
        </w:tc>
        <w:tc>
          <w:tcPr>
            <w:tcW w:w="6565" w:type="dxa"/>
            <w:tcMar>
              <w:top w:w="50" w:type="dxa"/>
              <w:start w:w="90" w:type="dxa"/>
              <w:bottom w:w="50" w:type="dxa"/>
              <w:end w:w="90" w:type="dxa"/>
            </w:tcMar>
          </w:tcPr>
          <w:p>
            <w:pPr>
              <w:pStyle w:val="Compact"/>
              <w:spacing w:after="40" w:before="0"/>
            </w:pPr>
            <w:r>
              <w:rPr>
                <w:rFonts w:ascii="Calibri" w:hAnsi="Calibri"/>
                <w:color w:val="263238"/>
                <w:sz w:val="18"/>
              </w:rPr>
              <w:t xml:space="preserve">All five Architecture Section 14 RG4 criteria: deterministic multi-validator ingest/evidence-query/invalidate/replay with ordered manifests, sequence/gap detection, and omitted-negative-evidence fixtures; root-consistent query responses with atomic core indexes and safe staged-version behavior; bounded write sets, contention, lookup/traversal/invalidation/update/replay/projection cost; canonical/index rebuild and incremental/full projection equivalence; and authorization, key/version, embedded-event signature, cross-family idempotency, receipt finality/retry, correction, privacy, and no-automatic-type/scope-carry-over behavior</w:t>
            </w:r>
          </w:p>
        </w:tc>
        <w:tc>
          <w:tcPr>
            <w:tcW w:w="1260" w:type="dxa"/>
            <w:tcMar>
              <w:top w:w="50" w:type="dxa"/>
              <w:start w:w="90" w:type="dxa"/>
              <w:bottom w:w="50" w:type="dxa"/>
              <w:end w:w="90" w:type="dxa"/>
            </w:tcMar>
          </w:tcPr>
          <w:p>
            <w:pPr>
              <w:pStyle w:val="Compact"/>
              <w:spacing w:after="40" w:before="0"/>
            </w:pPr>
            <w:r>
              <w:rPr>
                <w:rFonts w:ascii="Calibri" w:hAnsi="Calibri"/>
                <w:color w:val="263238"/>
                <w:sz w:val="18"/>
              </w:rPr>
              <w:t xml:space="preserve">R3, R4, R6, R9, R15-R17, R20</w:t>
            </w:r>
          </w:p>
        </w:tc>
      </w:tr>
      <w:tr>
        <w:tc>
          <w:tcPr>
            <w:tcW w:w="1533" w:type="dxa"/>
            <w:tcMar>
              <w:top w:w="50" w:type="dxa"/>
              <w:start w:w="90" w:type="dxa"/>
              <w:bottom w:w="50" w:type="dxa"/>
              <w:end w:w="90" w:type="dxa"/>
            </w:tcMar>
          </w:tcPr>
          <w:p>
            <w:pPr>
              <w:pStyle w:val="Compact"/>
              <w:spacing w:after="40" w:before="0"/>
            </w:pPr>
            <w:r>
              <w:rPr>
                <w:rFonts w:ascii="Calibri" w:hAnsi="Calibri"/>
                <w:color w:val="263238"/>
                <w:sz w:val="18"/>
              </w:rPr>
              <w:t xml:space="preserve">RG5 Consumer import</w:t>
            </w:r>
          </w:p>
        </w:tc>
        <w:tc>
          <w:tcPr>
            <w:tcW w:w="6565" w:type="dxa"/>
            <w:tcMar>
              <w:top w:w="50" w:type="dxa"/>
              <w:start w:w="90" w:type="dxa"/>
              <w:bottom w:w="50" w:type="dxa"/>
              <w:end w:w="90" w:type="dxa"/>
            </w:tcMar>
          </w:tcPr>
          <w:p>
            <w:pPr>
              <w:pStyle w:val="Compact"/>
              <w:spacing w:after="40" w:before="0"/>
            </w:pPr>
            <w:r>
              <w:rPr>
                <w:rFonts w:ascii="Calibri" w:hAnsi="Calibri"/>
                <w:color w:val="263238"/>
                <w:sz w:val="18"/>
              </w:rPr>
              <w:t xml:space="preserve">Reject invalid signers/quorum, payloads/proofs, duplicates, freshness/order violations, conflicts; handle retry, transport failure, and lag</w:t>
            </w:r>
          </w:p>
        </w:tc>
        <w:tc>
          <w:tcPr>
            <w:tcW w:w="1260" w:type="dxa"/>
            <w:tcMar>
              <w:top w:w="50" w:type="dxa"/>
              <w:start w:w="90" w:type="dxa"/>
              <w:bottom w:w="50" w:type="dxa"/>
              <w:end w:w="90" w:type="dxa"/>
            </w:tcMar>
          </w:tcPr>
          <w:p>
            <w:pPr>
              <w:pStyle w:val="Compact"/>
              <w:spacing w:after="40" w:before="0"/>
            </w:pPr>
            <w:r>
              <w:rPr>
                <w:rFonts w:ascii="Calibri" w:hAnsi="Calibri"/>
                <w:color w:val="263238"/>
                <w:sz w:val="18"/>
              </w:rPr>
              <w:t xml:space="preserve">R14</w:t>
            </w:r>
          </w:p>
        </w:tc>
      </w:tr>
      <w:tr>
        <w:tc>
          <w:tcPr>
            <w:tcW w:w="1533" w:type="dxa"/>
            <w:tcMar>
              <w:top w:w="50" w:type="dxa"/>
              <w:start w:w="90" w:type="dxa"/>
              <w:bottom w:w="50" w:type="dxa"/>
              <w:end w:w="90" w:type="dxa"/>
            </w:tcMar>
          </w:tcPr>
          <w:p>
            <w:pPr>
              <w:pStyle w:val="Compact"/>
              <w:spacing w:after="40" w:before="0"/>
            </w:pPr>
            <w:r>
              <w:rPr>
                <w:rFonts w:ascii="Calibri" w:hAnsi="Calibri"/>
                <w:color w:val="263238"/>
                <w:sz w:val="18"/>
              </w:rPr>
              <w:t xml:space="preserve">RG6 Security and privacy</w:t>
            </w:r>
          </w:p>
        </w:tc>
        <w:tc>
          <w:tcPr>
            <w:tcW w:w="6565" w:type="dxa"/>
            <w:tcMar>
              <w:top w:w="50" w:type="dxa"/>
              <w:start w:w="90" w:type="dxa"/>
              <w:bottom w:w="50" w:type="dxa"/>
              <w:end w:w="90" w:type="dxa"/>
            </w:tcMar>
          </w:tcPr>
          <w:p>
            <w:pPr>
              <w:pStyle w:val="Compact"/>
              <w:spacing w:after="40" w:before="0"/>
            </w:pPr>
            <w:r>
              <w:rPr>
                <w:rFonts w:ascii="Calibri" w:hAnsi="Calibri"/>
                <w:color w:val="263238"/>
                <w:sz w:val="18"/>
              </w:rPr>
              <w:t xml:space="preserve">Authorization, rotation/revocation, dispute abuse, payload access, metadata leakage, and operational incident handling</w:t>
            </w:r>
          </w:p>
        </w:tc>
        <w:tc>
          <w:tcPr>
            <w:tcW w:w="1260" w:type="dxa"/>
            <w:tcMar>
              <w:top w:w="50" w:type="dxa"/>
              <w:start w:w="90" w:type="dxa"/>
              <w:bottom w:w="50" w:type="dxa"/>
              <w:end w:w="90" w:type="dxa"/>
            </w:tcMar>
          </w:tcPr>
          <w:p>
            <w:pPr>
              <w:pStyle w:val="Compact"/>
              <w:spacing w:after="40" w:before="0"/>
            </w:pPr>
            <w:r>
              <w:rPr>
                <w:rFonts w:ascii="Calibri" w:hAnsi="Calibri"/>
                <w:color w:val="263238"/>
                <w:sz w:val="18"/>
              </w:rPr>
              <w:t xml:space="preserve">R3, R8, R15</w:t>
            </w:r>
          </w:p>
        </w:tc>
      </w:tr>
    </w:tbl>
    <w:bookmarkEnd w:id="13"/>
    <w:bookmarkStart w:id="14" w:name="Xa9cdaa9bbf9fd304e5ffb7f86f134c6026365b7"/>
    <w:p>
      <w:pPr>
        <w:pStyle w:val="Heading1"/>
      </w:pPr>
      <w:r>
        <w:t xml:space="preserve">4. Risk ownership and updates</w:t>
      </w:r>
    </w:p>
    <w:p>
      <w:pPr>
        <w:pStyle w:val="Compact"/>
        <w:numPr>
          <w:ilvl w:val="0"/>
          <w:numId w:val="1002"/>
        </w:numPr>
      </w:pPr>
      <w:r>
        <w:t xml:space="preserve">Product decisions update risk disposition but do not rewrite the threat analysis.</w:t>
      </w:r>
    </w:p>
    <w:p>
      <w:pPr>
        <w:pStyle w:val="Compact"/>
        <w:numPr>
          <w:ilvl w:val="0"/>
          <w:numId w:val="1002"/>
        </w:numPr>
      </w:pPr>
      <w:r>
        <w:t xml:space="preserve">Architecture records which mitigations are implemented or deferred.</w:t>
      </w:r>
    </w:p>
    <w:p>
      <w:pPr>
        <w:pStyle w:val="Compact"/>
        <w:numPr>
          <w:ilvl w:val="0"/>
          <w:numId w:val="1002"/>
        </w:numPr>
      </w:pPr>
      <w:r>
        <w:t xml:space="preserve">Roadmap exit evidence links to the applicable RG gate and risk IDs.</w:t>
      </w:r>
    </w:p>
    <w:p>
      <w:pPr>
        <w:pStyle w:val="Compact"/>
        <w:numPr>
          <w:ilvl w:val="0"/>
          <w:numId w:val="1002"/>
        </w:numPr>
      </w:pPr>
      <w:r>
        <w:t xml:space="preserve">The Open Question Register owns unresolved choices that materially change exposure.</w:t>
      </w:r>
    </w:p>
    <w:p>
      <w:pPr>
        <w:pStyle w:val="Compact"/>
        <w:numPr>
          <w:ilvl w:val="0"/>
          <w:numId w:val="1002"/>
        </w:numPr>
      </w:pPr>
      <w:r>
        <w:t xml:space="preserve">This register is where the milestone's threat analysis becomes tracked actions and statuses; the threat model above states the assumptions the risks are assessed against.</w:t>
      </w:r>
    </w:p>
    <w:bookmarkEnd w:id="14"/>
    <w:bookmarkEnd w:id="15"/>
    <w:sectPr>
      <w:headerReference w:type="default" r:id="rId9"/>
      <w:footerReference w:type="default" r:id="rId10"/>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Calibri" w:hAnsi="Calibri" w:eastAsia="Calibri"/>
        <w:color w:val="667085"/>
        <w:sz w:val="17"/>
      </w:rPr>
      <w:t>Milestone 5 design package  |  5 August 2026</w:t>
    </w:r>
    <w:r>
      <w:tab/>
    </w:r>
    <w:r>
      <w:rPr>
        <w:rFonts w:ascii="Calibri" w:hAnsi="Calibri" w:eastAsia="Calibri"/>
        <w:color w:val="667085"/>
        <w:sz w:val="17"/>
      </w:rPr>
      <w:t xml:space="preserve">Page </w:t>
    </w:r>
    <w:r>
      <w:rPr>
        <w:rFonts w:ascii="Calibri" w:hAnsi="Calibri" w:eastAsia="Calibri"/>
        <w:color w:val="667085"/>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2E74B5"/>
        <w:sz w:val="17"/>
      </w:rPr>
      <w:t>MILESTONE 5  |  RISK REGISTER</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263238"/>
      <w:sz w:val="21"/>
    </w:rPr>
  </w:style>
  <w:style w:styleId="BodyText" w:type="paragraph">
    <w:name w:val="Body Text"/>
    <w:basedOn w:val="Normal"/>
    <w:link w:val="BodyTextChar"/>
    <w:qFormat/>
    <w:pPr>
      <w:spacing w:after="180" w:before="180"/>
    </w:pPr>
    <w:rPr>
      <w:rFonts w:ascii="Calibri" w:hAnsi="Calibri"/>
      <w:color w:val="263238"/>
      <w:sz w:val="21"/>
    </w:rPr>
  </w:style>
  <w:style w:customStyle="1" w:styleId="FirstParagraph" w:type="paragraph">
    <w:name w:val="First Paragraph"/>
    <w:basedOn w:val="BodyText"/>
    <w:next w:val="BodyText"/>
    <w:qFormat/>
    <w:rPr>
      <w:rFonts w:ascii="Calibri" w:hAnsi="Calibri"/>
      <w:color w:val="263238"/>
      <w:sz w:val="21"/>
    </w:rPr>
  </w:style>
  <w:style w:customStyle="1" w:styleId="Compact" w:type="paragraph">
    <w:name w:val="Compact"/>
    <w:basedOn w:val="BodyText"/>
    <w:qFormat/>
    <w:pPr>
      <w:spacing w:after="36" w:before="36"/>
    </w:pPr>
    <w:rPr>
      <w:rFonts w:ascii="Calibri" w:hAnsi="Calibri"/>
      <w:color w:val="263238"/>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Theme="majorHAnsi" w:cstheme="majorBidi" w:eastAsiaTheme="majorEastAsia" w:hAnsiTheme="majorHAnsi" w:ascii="Calibri" w:hAnsi="Calibri"/>
      <w:b/>
      <w:color w:val="2E74B5"/>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Theme="majorHAnsi" w:cstheme="majorBidi" w:eastAsiaTheme="majorEastAsia" w:hAnsiTheme="majorHAnsi" w:ascii="Calibri" w:hAnsi="Calibri"/>
      <w:b/>
      <w:color w:val="2E74B5"/>
      <w:sz w:val="25"/>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cstheme="majorBidi" w:eastAsiaTheme="majorEastAsia" w:ascii="Calibri" w:hAnsi="Calibri"/>
      <w:b/>
      <w:color w:val="1F4D78"/>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cstheme="majorBidi" w:eastAsiaTheme="majorEastAsia" w:ascii="Calibri" w:hAnsi="Calibri"/>
      <w:b/>
      <w:i/>
      <w:iCs/>
      <w:color w:val="1F4D78"/>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5: Risk Register</dc:title>
  <dc:creator>SingularityNET</dc:creator>
  <cp:keywords/>
  <dcterms:created xsi:type="dcterms:W3CDTF">2026-08-05T20:25:57Z</dcterms:created>
  <dcterms:modified xsi:type="dcterms:W3CDTF">2026-08-05T20:25:57Z</dcterms:modified>
  <dc:description>Styled edition generated from the Markdown source</dc:description>
</cp:coreProperties>
</file>

<file path=docProps/custom.xml><?xml version="1.0" encoding="utf-8"?>
<Properties xmlns="http://schemas.openxmlformats.org/officeDocument/2006/custom-properties" xmlns:vt="http://schemas.openxmlformats.org/officeDocument/2006/docPropsVTypes"/>
</file>