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UOS Blake" w:cs="TUOS Blake" w:eastAsia="TUOS Blake" w:hAnsi="TUOS Blake"/>
          <w:b w:val="1"/>
          <w:color w:val="000000"/>
          <w:sz w:val="28"/>
          <w:szCs w:val="28"/>
          <w:u w:val="single"/>
        </w:rPr>
      </w:pPr>
      <w:bookmarkStart w:colFirst="0" w:colLast="0" w:name="_heading=h.30j0zll" w:id="0"/>
      <w:bookmarkEnd w:id="0"/>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Associations between Gambling Severity, Alternate Reinforcement and Meaning in Life, Moderated via the Gambling Pathways Model.</w:t>
      </w:r>
    </w:p>
    <w:p w:rsidR="00000000" w:rsidDel="00000000" w:rsidP="00000000" w:rsidRDefault="00000000" w:rsidRPr="00000000" w14:paraId="00000003">
      <w:pPr>
        <w:spacing w:line="240" w:lineRule="auto"/>
        <w:jc w:val="center"/>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 you for taking part in this study</w:t>
      </w:r>
    </w:p>
    <w:p w:rsidR="00000000" w:rsidDel="00000000" w:rsidP="00000000" w:rsidRDefault="00000000" w:rsidRPr="00000000" w14:paraId="00000007">
      <w:pPr>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widowControl w:val="0"/>
        <w:spacing w:after="0" w:before="550" w:line="282.6825428009033" w:lineRule="auto"/>
        <w:ind w:left="0" w:right="26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assess the association between gambling severity and meaning in life via the moderation of gambling pathway classification and mediation of environmental reinforcement. This builds upon previous research assessing gambling severity and meaning in life with the inclusion of additional measures commonly utilised within other areas of addiction.</w:t>
      </w:r>
    </w:p>
    <w:p w:rsidR="00000000" w:rsidDel="00000000" w:rsidP="00000000" w:rsidRDefault="00000000" w:rsidRPr="00000000" w14:paraId="00000009">
      <w:pPr>
        <w:spacing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A">
      <w:pPr>
        <w:ind w:right="265.275590551182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This research is valuable as it will help inform on factors associated with the development of regular gambling behaviour. If at any time you feel distressed about gambling behaviour or wish to speak to someone about this you can find help through the following links:</w:t>
      </w: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NHS </w:t>
      </w:r>
      <w:hyperlink r:id="rId7">
        <w:r w:rsidDel="00000000" w:rsidR="00000000" w:rsidRPr="00000000">
          <w:rPr>
            <w:rFonts w:ascii="Arial" w:cs="Arial" w:eastAsia="Arial" w:hAnsi="Arial"/>
            <w:color w:val="0000ff"/>
            <w:sz w:val="20"/>
            <w:szCs w:val="20"/>
            <w:u w:val="single"/>
            <w:rtl w:val="0"/>
          </w:rPr>
          <w:t xml:space="preserve">https://www.nhs.uk/live-well/healthy-body/gambling-addiction/</w:t>
        </w:r>
      </w:hyperlink>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GamCare </w:t>
      </w:r>
      <w:hyperlink r:id="rId8">
        <w:r w:rsidDel="00000000" w:rsidR="00000000" w:rsidRPr="00000000">
          <w:rPr>
            <w:rFonts w:ascii="Arial" w:cs="Arial" w:eastAsia="Arial" w:hAnsi="Arial"/>
            <w:color w:val="0000ff"/>
            <w:sz w:val="20"/>
            <w:szCs w:val="20"/>
            <w:u w:val="single"/>
            <w:rtl w:val="0"/>
          </w:rPr>
          <w:t xml:space="preserve">https://www.gamcare.org.uk/</w:t>
        </w:r>
      </w:hyperlink>
      <w:r w:rsidDel="00000000" w:rsidR="00000000" w:rsidRPr="00000000">
        <w:rPr>
          <w:rtl w:val="0"/>
        </w:rPr>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National Gambling Helpline (0808 8020 133)</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contact details for further information:</w:t>
      </w:r>
    </w:p>
    <w:p w:rsidR="00000000" w:rsidDel="00000000" w:rsidP="00000000" w:rsidRDefault="00000000" w:rsidRPr="00000000" w14:paraId="00000013">
      <w:pPr>
        <w:spacing w:line="240" w:lineRule="auto"/>
        <w:rPr>
          <w:rFonts w:ascii="Arial" w:cs="Arial" w:eastAsia="Arial" w:hAnsi="Arial"/>
          <w:sz w:val="20"/>
          <w:szCs w:val="20"/>
        </w:rPr>
      </w:pPr>
      <w:bookmarkStart w:colFirst="0" w:colLast="0" w:name="_heading=h.9mtm8pik5tcs" w:id="1"/>
      <w:bookmarkEnd w:id="1"/>
      <w:r w:rsidDel="00000000" w:rsidR="00000000" w:rsidRPr="00000000">
        <w:rPr>
          <w:rFonts w:ascii="Arial" w:cs="Arial" w:eastAsia="Arial" w:hAnsi="Arial"/>
          <w:sz w:val="20"/>
          <w:szCs w:val="20"/>
          <w:rtl w:val="0"/>
        </w:rPr>
        <w:t xml:space="preserve">Eliot Kelly-Reilly, Department of Psychology, University of Sheffield, 07740 178358, emkelly-reilly1@sheffield.ac.uk</w:t>
      </w:r>
    </w:p>
    <w:p w:rsidR="00000000" w:rsidDel="00000000" w:rsidP="00000000" w:rsidRDefault="00000000" w:rsidRPr="00000000" w14:paraId="00000014">
      <w:pPr>
        <w:spacing w:line="240" w:lineRule="auto"/>
        <w:rPr>
          <w:rFonts w:ascii="Arial" w:cs="Arial" w:eastAsia="Arial" w:hAnsi="Arial"/>
          <w:color w:val="000000"/>
          <w:sz w:val="20"/>
          <w:szCs w:val="20"/>
        </w:rPr>
      </w:pPr>
      <w:bookmarkStart w:colFirst="0" w:colLast="0" w:name="_heading=h.gjdgxs" w:id="2"/>
      <w:bookmarkEnd w:id="2"/>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the event of a complaint, contact the</w:t>
      </w:r>
      <w:r w:rsidDel="00000000" w:rsidR="00000000" w:rsidRPr="00000000">
        <w:rPr>
          <w:rFonts w:ascii="Arial" w:cs="Arial" w:eastAsia="Arial" w:hAnsi="Arial"/>
          <w:sz w:val="20"/>
          <w:szCs w:val="20"/>
          <w:rtl w:val="0"/>
        </w:rPr>
        <w:t xml:space="preserve"> research supervisor: Prof Matt Field, Department of Psychology, University of Sheffield, </w:t>
      </w:r>
      <w:hyperlink r:id="rId9">
        <w:r w:rsidDel="00000000" w:rsidR="00000000" w:rsidRPr="00000000">
          <w:rPr>
            <w:rFonts w:ascii="Arial" w:cs="Arial" w:eastAsia="Arial" w:hAnsi="Arial"/>
            <w:color w:val="0000ff"/>
            <w:sz w:val="20"/>
            <w:szCs w:val="20"/>
            <w:u w:val="single"/>
            <w:rtl w:val="0"/>
          </w:rPr>
          <w:t xml:space="preserve">matt.field@sheffield.ac.uk</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18">
      <w:pPr>
        <w:spacing w:line="240" w:lineRule="auto"/>
        <w:rPr>
          <w:rFonts w:ascii="Arial" w:cs="Arial" w:eastAsia="Arial" w:hAnsi="Arial"/>
          <w:color w:val="ff0000"/>
          <w:sz w:val="20"/>
          <w:szCs w:val="20"/>
        </w:rPr>
      </w:pPr>
      <w:r w:rsidDel="00000000" w:rsidR="00000000" w:rsidRPr="00000000">
        <w:rPr>
          <w:rtl w:val="0"/>
        </w:rPr>
      </w:r>
    </w:p>
    <w:sectPr>
      <w:headerReference r:id="rId10" w:type="default"/>
      <w:footerReference r:id="rId11" w:type="default"/>
      <w:pgSz w:h="16838" w:w="11906" w:orient="portrait"/>
      <w:pgMar w:bottom="720" w:top="720" w:left="720" w:right="720" w:header="39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UOS Blak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b w:val="1"/>
        <w:color w:val="000000"/>
        <w:sz w:val="26"/>
        <w:szCs w:val="26"/>
      </w:rPr>
      <w:drawing>
        <wp:inline distB="0" distT="0" distL="0" distR="0">
          <wp:extent cx="1347066" cy="538328"/>
          <wp:effectExtent b="0" l="0" r="0" t="0"/>
          <wp:docPr id="3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47066" cy="538328"/>
                  </a:xfrm>
                  <a:prstGeom prst="rect"/>
                  <a:ln/>
                </pic:spPr>
              </pic:pic>
            </a:graphicData>
          </a:graphic>
        </wp:inline>
      </w:drawing>
    </w:r>
    <w:r w:rsidDel="00000000" w:rsidR="00000000" w:rsidRPr="00000000">
      <w:rPr>
        <w:color w:val="000000"/>
        <w:rtl w:val="0"/>
      </w:rPr>
      <w:t xml:space="preserve">     </w:t>
    </w:r>
    <w:r w:rsidDel="00000000" w:rsidR="00000000" w:rsidRPr="00000000">
      <w:rPr>
        <w:b w:val="1"/>
        <w:color w:val="000000"/>
        <w:sz w:val="28"/>
        <w:szCs w:val="28"/>
        <w:rtl w:val="0"/>
      </w:rPr>
      <w:t xml:space="preserve">                  Debriefing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5128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51283"/>
    <w:rPr>
      <w:rFonts w:ascii="Segoe UI" w:cs="Segoe UI" w:hAnsi="Segoe UI"/>
      <w:sz w:val="18"/>
      <w:szCs w:val="18"/>
    </w:rPr>
  </w:style>
  <w:style w:type="character" w:styleId="Hyperlink">
    <w:name w:val="Hyperlink"/>
    <w:basedOn w:val="DefaultParagraphFont"/>
    <w:uiPriority w:val="99"/>
    <w:unhideWhenUsed w:val="1"/>
    <w:rsid w:val="00E004B1"/>
    <w:rPr>
      <w:color w:val="0000ff" w:themeColor="hyperlink"/>
      <w:u w:val="single"/>
    </w:rPr>
  </w:style>
  <w:style w:type="paragraph" w:styleId="Header">
    <w:name w:val="header"/>
    <w:basedOn w:val="Normal"/>
    <w:link w:val="HeaderChar"/>
    <w:uiPriority w:val="99"/>
    <w:unhideWhenUsed w:val="1"/>
    <w:rsid w:val="00E004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04B1"/>
  </w:style>
  <w:style w:type="paragraph" w:styleId="Footer">
    <w:name w:val="footer"/>
    <w:basedOn w:val="Normal"/>
    <w:link w:val="FooterChar"/>
    <w:uiPriority w:val="99"/>
    <w:unhideWhenUsed w:val="1"/>
    <w:rsid w:val="00E004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04B1"/>
  </w:style>
  <w:style w:type="paragraph" w:styleId="CommentSubject">
    <w:name w:val="annotation subject"/>
    <w:basedOn w:val="CommentText"/>
    <w:next w:val="CommentText"/>
    <w:link w:val="CommentSubjectChar"/>
    <w:uiPriority w:val="99"/>
    <w:semiHidden w:val="1"/>
    <w:unhideWhenUsed w:val="1"/>
    <w:rsid w:val="00DD250C"/>
    <w:rPr>
      <w:b w:val="1"/>
      <w:bCs w:val="1"/>
    </w:rPr>
  </w:style>
  <w:style w:type="character" w:styleId="CommentSubjectChar" w:customStyle="1">
    <w:name w:val="Comment Subject Char"/>
    <w:basedOn w:val="CommentTextChar"/>
    <w:link w:val="CommentSubject"/>
    <w:uiPriority w:val="99"/>
    <w:semiHidden w:val="1"/>
    <w:rsid w:val="00DD250C"/>
    <w:rPr>
      <w:b w:val="1"/>
      <w:bCs w:val="1"/>
      <w:sz w:val="20"/>
      <w:szCs w:val="20"/>
    </w:rPr>
  </w:style>
  <w:style w:type="character" w:styleId="UnresolvedMention1" w:customStyle="1">
    <w:name w:val="Unresolved Mention1"/>
    <w:basedOn w:val="DefaultParagraphFont"/>
    <w:uiPriority w:val="99"/>
    <w:semiHidden w:val="1"/>
    <w:unhideWhenUsed w:val="1"/>
    <w:rsid w:val="00AC00D2"/>
    <w:rPr>
      <w:color w:val="605e5c"/>
      <w:shd w:color="auto" w:fill="e1dfdd" w:val="clear"/>
    </w:rPr>
  </w:style>
  <w:style w:type="character" w:styleId="UnresolvedMention">
    <w:name w:val="Unresolved Mention"/>
    <w:basedOn w:val="DefaultParagraphFont"/>
    <w:uiPriority w:val="99"/>
    <w:semiHidden w:val="1"/>
    <w:unhideWhenUsed w:val="1"/>
    <w:rsid w:val="00A80875"/>
    <w:rPr>
      <w:color w:val="605e5c"/>
      <w:shd w:color="auto" w:fill="e1dfdd" w:val="clear"/>
    </w:r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matt.field@sheffield.ac.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hs.uk/live-well/healthy-body/gambling-addiction/" TargetMode="External"/><Relationship Id="rId8" Type="http://schemas.openxmlformats.org/officeDocument/2006/relationships/hyperlink" Target="https://www.gamcare.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DwpOLsq1pdiHYOTOVS5PJoiiA==">CgMxLjAyCWguMzBqMHpsbDIOaC45bXRtOHBpazV0Y3MyCGguZ2pkZ3hzOAByITFNQ0Z1SUtodFhMSG5YVHJybEQ4TksySFF4TGJDUzNMSA==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2022-03-11T10:40:00Z</dcterms:created>
  <dc:creator>Anita Kenny;Lindsay Unwin</dc:creator>
</cp:coreProperties>
</file>