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ROD ENDS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Spherical bearing with threaded shank</w:t>
              <w:br/>
            </w:r>
            <w:r>
              <w:rPr>
                <w:sz w:val="20"/>
              </w:rPr>
              <w:t>• Allows angular movement</w:t>
              <w:br/>
            </w:r>
            <w:r>
              <w:rPr>
                <w:sz w:val="20"/>
              </w:rPr>
              <w:t>• Handles push / pull loads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Male / female thread</w:t>
              <w:br/>
            </w:r>
            <w:r>
              <w:rPr>
                <w:sz w:val="20"/>
              </w:rPr>
              <w:t>• Left or right hand</w:t>
              <w:br/>
            </w:r>
            <w:r>
              <w:rPr>
                <w:sz w:val="20"/>
              </w:rPr>
              <w:t>• Lined or metal-on-metal</w:t>
              <w:br/>
            </w:r>
            <w:r>
              <w:rPr>
                <w:sz w:val="20"/>
              </w:rPr>
              <w:t>• Maintenance-free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Thread size and direction</w:t>
              <w:br/>
            </w:r>
            <w:r>
              <w:rPr>
                <w:sz w:val="20"/>
              </w:rPr>
              <w:t>• Bore diameter</w:t>
              <w:br/>
            </w:r>
            <w:r>
              <w:rPr>
                <w:sz w:val="20"/>
              </w:rPr>
              <w:t>• Ball width</w:t>
              <w:br/>
            </w:r>
            <w:r>
              <w:rPr>
                <w:sz w:val="20"/>
              </w:rPr>
              <w:t>• Overall length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Limited misalignment angle</w:t>
              <w:br/>
            </w:r>
            <w:r>
              <w:rPr>
                <w:sz w:val="20"/>
              </w:rPr>
              <w:t>• Shock loads reduce life</w:t>
              <w:br/>
            </w:r>
            <w:r>
              <w:rPr>
                <w:sz w:val="20"/>
              </w:rPr>
              <w:t>• Lubrication dependent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Spherical ball visible</w:t>
              <w:br/>
            </w:r>
            <w:r>
              <w:rPr>
                <w:sz w:val="20"/>
              </w:rPr>
              <w:t>• Thread type matches</w:t>
              <w:br/>
            </w:r>
            <w:r>
              <w:rPr>
                <w:sz w:val="20"/>
              </w:rPr>
              <w:t>• No looseness or binding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thread direction</w:t>
              <w:br/>
            </w:r>
            <w:r>
              <w:rPr>
                <w:sz w:val="20"/>
              </w:rPr>
              <w:t>• Ignoring load rating</w:t>
              <w:br/>
            </w:r>
            <w:r>
              <w:rPr>
                <w:sz w:val="20"/>
              </w:rPr>
              <w:t>• Using worn rod ends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Critical steering or suspension</w:t>
              <w:br/>
            </w:r>
            <w:r>
              <w:rPr>
                <w:sz w:val="20"/>
              </w:rPr>
              <w:t>• High shock loads</w:t>
              <w:br/>
            </w:r>
            <w:r>
              <w:rPr>
                <w:sz w:val="20"/>
              </w:rPr>
              <w:t>• Corrosive environments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linkages, control arms</w:t>
              <w:br/>
            </w:r>
            <w:r>
              <w:rPr>
                <w:sz w:val="20"/>
              </w:rPr>
              <w:t>• Not ideal: fixed alignment</w:t>
              <w:br/>
            </w:r>
            <w:r>
              <w:rPr>
                <w:sz w:val="20"/>
              </w:rPr>
              <w:t>• → Consider bushings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THREAD ✓   BORE ✓   LOAD ✓   ANGLE ✓   CONDITION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