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B790E">
      <w:pPr>
        <w:spacing w:before="2200"/>
      </w:pPr>
    </w:p>
    <w:p w14:paraId="3148316F">
      <w:pPr>
        <w:jc w:val="center"/>
      </w:pPr>
      <w:r>
        <w:rPr>
          <w:b/>
          <w:bCs/>
          <w:color w:val="1F4E79"/>
          <w:sz w:val="56"/>
          <w:szCs w:val="56"/>
        </w:rPr>
        <w:t>go-pptx Technical Specification</w:t>
      </w:r>
    </w:p>
    <w:p w14:paraId="51D8FC01">
      <w:pPr>
        <w:spacing w:before="240"/>
        <w:jc w:val="center"/>
      </w:pPr>
      <w:r>
        <w:rPr>
          <w:color w:val="595959"/>
          <w:sz w:val="26"/>
          <w:szCs w:val="26"/>
        </w:rPr>
        <w:t>Architecture &amp; Capability Reference for a Pure-Go Server-Side PPTX Component</w:t>
      </w:r>
    </w:p>
    <w:p w14:paraId="16BC0AD7">
      <w:pPr>
        <w:spacing w:before="1000"/>
      </w:pPr>
    </w:p>
    <w:p w14:paraId="2022A4D6">
      <w:pPr>
        <w:jc w:val="center"/>
      </w:pPr>
      <w:r>
        <w:rPr>
          <w:sz w:val="24"/>
          <w:szCs w:val="24"/>
        </w:rPr>
        <w:t>Version: V2.0.1</w:t>
      </w:r>
    </w:p>
    <w:p w14:paraId="782CA0BC">
      <w:pPr>
        <w:spacing w:before="80"/>
        <w:jc w:val="center"/>
      </w:pPr>
      <w:r>
        <w:rPr>
          <w:sz w:val="24"/>
          <w:szCs w:val="24"/>
        </w:rPr>
        <w:t>Release Date: 2026-09-18</w:t>
      </w:r>
    </w:p>
    <w:p w14:paraId="35C26624">
      <w:pPr>
        <w:spacing w:before="80"/>
        <w:jc w:val="center"/>
      </w:pPr>
      <w:r>
        <w:rPr>
          <w:color w:val="595959"/>
          <w:sz w:val="22"/>
          <w:szCs w:val="22"/>
        </w:rPr>
        <w:t>Module Path: github.com/F31/go-pptx/v2</w:t>
      </w:r>
    </w:p>
    <w:p w14:paraId="35A0CF60">
      <w:pPr>
        <w:spacing w:before="80"/>
        <w:jc w:val="center"/>
      </w:pPr>
      <w:r>
        <w:rPr>
          <w:color w:val="595959"/>
          <w:sz w:val="22"/>
          <w:szCs w:val="22"/>
        </w:rPr>
        <w:t>Public Facade: github.com/F31/go-pptx/v2/pptx</w:t>
      </w:r>
    </w:p>
    <w:p w14:paraId="7BEE8745">
      <w:r>
        <w:br w:type="page"/>
      </w:r>
    </w:p>
    <w:p w14:paraId="62342277">
      <w:pPr>
        <w:pStyle w:val="2"/>
        <w:spacing w:before="360" w:after="200"/>
      </w:pPr>
      <w:r>
        <w:t>Table of Contents</w:t>
      </w:r>
    </w:p>
    <w:p w14:paraId="7B624016">
      <w:pPr>
        <w:spacing w:after="80"/>
      </w:pPr>
      <w:r>
        <w:t>1. Product Overview</w:t>
      </w:r>
    </w:p>
    <w:p w14:paraId="521D0F21">
      <w:pPr>
        <w:spacing w:after="80"/>
      </w:pPr>
      <w:r>
        <w:t>2. Design Philosophy &amp; Positioning</w:t>
      </w:r>
    </w:p>
    <w:p w14:paraId="57AFCBAA">
      <w:pPr>
        <w:spacing w:after="80"/>
      </w:pPr>
      <w:r>
        <w:t>3. Technical Architecture</w:t>
      </w:r>
    </w:p>
    <w:p w14:paraId="1DF07E8B">
      <w:pPr>
        <w:spacing w:after="80"/>
      </w:pPr>
      <w:r>
        <w:t>4. Feature Set</w:t>
      </w:r>
    </w:p>
    <w:p w14:paraId="7A820F79">
      <w:pPr>
        <w:spacing w:after="80"/>
      </w:pPr>
      <w:r>
        <w:t>5. API Stability Tier System</w:t>
      </w:r>
    </w:p>
    <w:p w14:paraId="4FEB35DA">
      <w:pPr>
        <w:spacing w:after="80"/>
      </w:pPr>
      <w:r>
        <w:t>6. Quality Assurance &amp; Engineering Discipline</w:t>
      </w:r>
    </w:p>
    <w:p w14:paraId="4A03107E">
      <w:pPr>
        <w:spacing w:after="80"/>
      </w:pPr>
      <w:r>
        <w:t>7. Toolchain &amp; Command Line Interface</w:t>
      </w:r>
    </w:p>
    <w:p w14:paraId="37F6AFA5">
      <w:pPr>
        <w:spacing w:after="80"/>
      </w:pPr>
      <w:r>
        <w:t>8. Product Differentiators</w:t>
      </w:r>
    </w:p>
    <w:p w14:paraId="5F09D3D7">
      <w:pPr>
        <w:spacing w:after="80"/>
      </w:pPr>
      <w:r>
        <w:t>9. Technical Innovations</w:t>
      </w:r>
    </w:p>
    <w:p w14:paraId="18600DDE">
      <w:pPr>
        <w:spacing w:after="80"/>
      </w:pPr>
      <w:r>
        <w:t>10. Typical Use Cases</w:t>
      </w:r>
    </w:p>
    <w:p w14:paraId="290A3693">
      <w:pPr>
        <w:spacing w:after="80"/>
      </w:pPr>
      <w:r>
        <w:t>11. Known Boundaries &amp; V2.x Roadmap</w:t>
      </w:r>
    </w:p>
    <w:p w14:paraId="4DB30683">
      <w:pPr>
        <w:spacing w:after="80"/>
      </w:pPr>
      <w:r>
        <w:t>12. Versioning, Licensing &amp; Community</w:t>
      </w:r>
    </w:p>
    <w:p w14:paraId="232CF688">
      <w:r>
        <w:br w:type="page"/>
      </w:r>
    </w:p>
    <w:p w14:paraId="15C9424B">
      <w:pPr>
        <w:pStyle w:val="2"/>
        <w:spacing w:before="360" w:after="200"/>
      </w:pPr>
      <w:r>
        <w:t>1. Product Overview</w:t>
      </w:r>
    </w:p>
    <w:p w14:paraId="4BB3E4B7">
      <w:pPr>
        <w:spacing w:after="160" w:line="300" w:lineRule="auto"/>
      </w:pPr>
      <w:r>
        <w:t>go-pptx is a pure-Go presentation component aimed at server-side and tooling developers. It offers an object-model experience similar to python-pptx (Presentation → Slide → Shape → TextFrame → Paragraph → Run), with systematic investment across five dimensions: byte-level fidelity, namespace safety, transactional editing, resource budgeting, and cross-platform distribution. The component can be embedded as a static dependency in any Go server application, with no need for Python, Microsoft Office, FFmpeg, or CGO.</w:t>
      </w:r>
    </w:p>
    <w:p w14:paraId="5201E22A">
      <w:pPr>
        <w:spacing w:after="160" w:line="300" w:lineRule="auto"/>
      </w:pPr>
      <w:r>
        <w:t>V2.0 is the component's second publicly released major version. It completed every milestone in the Project Implementation Plan and landed the ADR-030 architectural evolution: the public facade converged from the module root into the pptx/ subpackage, an internal/engine orchestration layer was introduced, and internal/ooxml + internal/ooxml/schema (auto-generated from the ECMA-376 Part 4 Transitional XSD via scripts/gen/schema) now carries read-only projections. V2.0.1 further landed a full round of post-release code review (security / performance / usability) on top of v2.0.0.</w:t>
      </w:r>
    </w:p>
    <w:p w14:paraId="3E489435">
      <w:pPr>
        <w:pStyle w:val="3"/>
        <w:spacing w:before="280" w:after="140"/>
      </w:pPr>
      <w:r>
        <w:t>1.1 Key V2.0.1 Metrics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400"/>
      </w:tblGrid>
      <w:tr w14:paraId="6F16D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9834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6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AC8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V2.0.1 Status</w:t>
            </w:r>
          </w:p>
        </w:tc>
      </w:tr>
      <w:tr w14:paraId="6CE0E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E32F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Module path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DC69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github.com/F31/go-pptx/v2 (meta-repo); public facade github.com/F31/go-pptx/v2/pptx</w:t>
            </w:r>
          </w:p>
        </w:tc>
      </w:tr>
      <w:tr w14:paraId="03469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3E21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Total exported types</w:t>
            </w:r>
          </w:p>
        </w:tc>
        <w:tc>
          <w:tcPr>
            <w:tcW w:w="6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710D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166 (including 5 type aliases: TextShape + the V2.0.1-new Budget / Durability / PartName, etc.)</w:t>
            </w:r>
          </w:p>
        </w:tc>
      </w:tr>
      <w:tr w14:paraId="5C879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38E5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Stable comment blocks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2FCC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42 (// Stable: blocks)</w:t>
            </w:r>
          </w:p>
        </w:tc>
      </w:tr>
      <w:tr w14:paraId="45B44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C992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Stable symbols</w:t>
            </w:r>
          </w:p>
        </w:tc>
        <w:tc>
          <w:tcPr>
            <w:tcW w:w="6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DB26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65</w:t>
            </w:r>
          </w:p>
        </w:tc>
      </w:tr>
      <w:tr w14:paraId="7E286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CC9B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Stable methods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1F8D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134</w:t>
            </w:r>
          </w:p>
        </w:tc>
      </w:tr>
      <w:tr w14:paraId="67B6B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9D00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Experimental comment blocks</w:t>
            </w:r>
          </w:p>
        </w:tc>
        <w:tc>
          <w:tcPr>
            <w:tcW w:w="6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8166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0 (all D-5 promoted to Stable per ADR-023)</w:t>
            </w:r>
          </w:p>
        </w:tc>
      </w:tr>
      <w:tr w14:paraId="64F8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2F11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Error sentinels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CC56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17 (all Stable, a semantic Err* set)</w:t>
            </w:r>
          </w:p>
        </w:tc>
      </w:tr>
      <w:tr w14:paraId="04B9C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E859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Top-level functions / methods / constants / package vars</w:t>
            </w:r>
          </w:p>
        </w:tc>
        <w:tc>
          <w:tcPr>
            <w:tcW w:w="6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F994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37 / 143 / 151 / 18</w:t>
            </w:r>
          </w:p>
        </w:tc>
      </w:tr>
      <w:tr w14:paraId="0642D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E16B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Default test run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1030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 test ./... and go test -tags=corpus ./... each pass 28 packages (56 total)</w:t>
            </w:r>
          </w:p>
        </w:tc>
      </w:tr>
      <w:tr w14:paraId="349AD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1BED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Public golden-sample regression</w:t>
            </w:r>
          </w:p>
        </w:tc>
        <w:tc>
          <w:tcPr>
            <w:tcW w:w="6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9D53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 LibreOffice-generated golden samples + a 36-sample corpus index; L3 client matrix 8/8 pass on real PowerPoint/WPS</w:t>
            </w:r>
          </w:p>
        </w:tc>
      </w:tr>
      <w:tr w14:paraId="67540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E2E0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Cross-build verification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DE31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Zero failures across js/wasm, wasip1/wasm, darwin/arm64, linux/arm64, windows/amd64</w:t>
            </w:r>
          </w:p>
        </w:tc>
      </w:tr>
      <w:tr w14:paraId="1CAE1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4872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Coverage gate</w:t>
            </w:r>
          </w:p>
        </w:tc>
        <w:tc>
          <w:tcPr>
            <w:tcW w:w="6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EC7A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COVERAGE GATE PASSED (root pptx 82%+; opc 90.3% / chart 91.3% / xmlstore 91.2% / videoprobe 92.9%, etc.)</w:t>
            </w:r>
          </w:p>
        </w:tc>
      </w:tr>
    </w:tbl>
    <w:p w14:paraId="1925736C">
      <w:pPr>
        <w:pStyle w:val="2"/>
        <w:spacing w:before="360" w:after="200"/>
      </w:pPr>
      <w:r>
        <w:t>2. Design Philosophy &amp; Positioning</w:t>
      </w:r>
    </w:p>
    <w:p w14:paraId="7B9490FD">
      <w:pPr>
        <w:pStyle w:val="3"/>
        <w:spacing w:before="280" w:after="140"/>
      </w:pPr>
      <w:r>
        <w:t>2.1 Six Capability Pillars</w:t>
      </w:r>
    </w:p>
    <w:p w14:paraId="54A0CE59">
      <w:pPr>
        <w:spacing w:after="160" w:line="300" w:lineRule="auto"/>
      </w:pPr>
      <w:r>
        <w:t>The product shape of go-pptx is built from six capability pillars (V2.6 §1):</w:t>
      </w:r>
    </w:p>
    <w:p w14:paraId="6426062E">
      <w:pPr>
        <w:pStyle w:val="16"/>
        <w:numPr>
          <w:ilvl w:val="0"/>
          <w:numId w:val="1"/>
        </w:numPr>
        <w:spacing w:after="80" w:line="280" w:lineRule="auto"/>
      </w:pPr>
      <w:r>
        <w:t>Universal PPTX read/write: create, parse, save, page management, shapes, images, text, notes, tables, and supported charts.</w:t>
      </w:r>
    </w:p>
    <w:p w14:paraId="5080907D">
      <w:pPr>
        <w:pStyle w:val="16"/>
        <w:numPr>
          <w:ilvl w:val="0"/>
          <w:numId w:val="1"/>
        </w:numPr>
        <w:spacing w:after="80" w:line="280" w:lineRule="auto"/>
      </w:pPr>
      <w:r>
        <w:t>Fidelity-controlled editing: preserve unmodified Parts and protectable unknown XML content; reject operations that cannot be executed safely.</w:t>
      </w:r>
    </w:p>
    <w:p w14:paraId="777F5BA9">
      <w:pPr>
        <w:pStyle w:val="16"/>
        <w:numPr>
          <w:ilvl w:val="0"/>
          <w:numId w:val="1"/>
        </w:numPr>
        <w:spacing w:after="80" w:line="280" w:lineRule="auto"/>
      </w:pPr>
      <w:r>
        <w:t>Fine-grained format handling: distinguish local, inherited, and resolved layout formatting; support cross-Run editing, composite transforms, and table styles.</w:t>
      </w:r>
    </w:p>
    <w:p w14:paraId="2A9D6155">
      <w:pPr>
        <w:pStyle w:val="16"/>
        <w:numPr>
          <w:ilvl w:val="0"/>
          <w:numId w:val="1"/>
        </w:numPr>
        <w:spacing w:after="80" w:line="280" w:lineRule="auto"/>
      </w:pPr>
      <w:r>
        <w:t>Auto-narration support: rich-text notes, audio embedding, playback configuration, slide-advance timing, and synchronization operations with diagnostics.</w:t>
      </w:r>
    </w:p>
    <w:p w14:paraId="66537B9E">
      <w:pPr>
        <w:pStyle w:val="16"/>
        <w:numPr>
          <w:ilvl w:val="0"/>
          <w:numId w:val="1"/>
        </w:numPr>
        <w:spacing w:after="80" w:line="280" w:lineRule="auto"/>
      </w:pPr>
      <w:r>
        <w:t>Engineering reliability: lazy parsing, resource budgets, transactional commits, validation reports, real-document regression, and native fuzzing.</w:t>
      </w:r>
    </w:p>
    <w:p w14:paraId="5BE18B7B">
      <w:pPr>
        <w:pStyle w:val="16"/>
        <w:numPr>
          <w:ilvl w:val="0"/>
          <w:numId w:val="1"/>
        </w:numPr>
        <w:spacing w:after="80" w:line="280" w:lineRule="auto"/>
      </w:pPr>
      <w:r>
        <w:t>Optional extensions: read-only IR, CLI, media probing, rendering adapters — keeping the core dependency surface simple.</w:t>
      </w:r>
    </w:p>
    <w:p w14:paraId="77774A91">
      <w:pPr>
        <w:pStyle w:val="3"/>
        <w:spacing w:before="280" w:after="140"/>
      </w:pPr>
      <w:r>
        <w:t>2.2 Deployment &amp; Scope of Responsibility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000"/>
      </w:tblGrid>
      <w:tr w14:paraId="639BC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B823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FECD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Policy</w:t>
            </w:r>
          </w:p>
        </w:tc>
      </w:tr>
      <w:tr w14:paraId="46B0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0B20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Deployment form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6B9C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Static dependency of a Go application; does not call out to Python, Office, FFmpeg, or online services</w:t>
            </w:r>
          </w:p>
        </w:tc>
      </w:tr>
      <w:tr w14:paraId="13DEF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E74E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Core constraint</w:t>
            </w:r>
          </w:p>
        </w:tc>
        <w:tc>
          <w:tcPr>
            <w:tcW w:w="7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C16D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CGO_ENABLED=0, pure Go, no hard external runtime dependency</w:t>
            </w:r>
          </w:p>
        </w:tc>
      </w:tr>
      <w:tr w14:paraId="3505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D660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Module path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DDA8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github.com/F31/go-pptx/v2 (meta-repo, no Go files); public facade github.com/F31/go-pptx/v2/pptx</w:t>
            </w:r>
          </w:p>
        </w:tc>
      </w:tr>
      <w:tr w14:paraId="22376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5EEA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Public facade</w:t>
            </w:r>
          </w:p>
        </w:tc>
        <w:tc>
          <w:tcPr>
            <w:tcW w:w="7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127B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The facade converges into the pptx/ subpackage; internal/* is isolated by Go's internal-package rules (opc / xmlstore / document / chart / ooxml / engine, etc.)</w:t>
            </w:r>
          </w:p>
        </w:tc>
      </w:tr>
      <w:tr w14:paraId="50D24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EA7B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Error convention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44C8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Ordinary errors are returned as error values; no panics; unsupported capabilities are never masked by returning nil</w:t>
            </w:r>
          </w:p>
        </w:tc>
      </w:tr>
      <w:tr w14:paraId="454C7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325F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Interface ergonomics</w:t>
            </w:r>
          </w:p>
        </w:tc>
        <w:tc>
          <w:tcPr>
            <w:tcW w:w="7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A63C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Options, Specs, high-level composite methods; no chained setters that swallow errors</w:t>
            </w:r>
          </w:p>
        </w:tc>
      </w:tr>
      <w:tr w14:paraId="376AD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7A11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Capability disclosure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2AAF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Fidelity / compatibility / rendering / playback capability ranges are declared separately; release claims must be backed by test evidence</w:t>
            </w:r>
          </w:p>
        </w:tc>
      </w:tr>
      <w:tr w14:paraId="698D3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015D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Resource budgets</w:t>
            </w:r>
          </w:p>
        </w:tc>
        <w:tc>
          <w:tcPr>
            <w:tcW w:w="7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0D49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Untrusted input is constrained by opc.Budget (entry count, central-directory size, decompression cap, MaxUncompressedBytes); exceeding it returns ErrLimitExceeded / ErrMalformedPackage rather than panicking</w:t>
            </w:r>
          </w:p>
        </w:tc>
      </w:tr>
    </w:tbl>
    <w:p w14:paraId="2580A720">
      <w:pPr>
        <w:pStyle w:val="3"/>
        <w:spacing w:before="280" w:after="140"/>
      </w:pPr>
      <w:r>
        <w:t>2.3 MVP Dual Closed Loops</w:t>
      </w:r>
    </w:p>
    <w:p w14:paraId="17834DB5">
      <w:pPr>
        <w:pStyle w:val="16"/>
        <w:numPr>
          <w:ilvl w:val="0"/>
          <w:numId w:val="1"/>
        </w:numPr>
        <w:spacing w:after="80"/>
      </w:pPr>
      <w:r>
        <w:t>Loop 1 (Template reporting): open template → read speaker script → update text/notes → save</w:t>
      </w:r>
    </w:p>
    <w:p w14:paraId="3E31E1A0">
      <w:pPr>
        <w:pStyle w:val="16"/>
        <w:numPr>
          <w:ilvl w:val="0"/>
          <w:numId w:val="1"/>
        </w:numPr>
        <w:spacing w:after="80"/>
      </w:pPr>
      <w:r>
        <w:t>Loop 2 (Auto-narration): embed audio → set timing → play</w:t>
      </w:r>
    </w:p>
    <w:p w14:paraId="5291D2D5">
      <w:pPr>
        <w:spacing w:after="160" w:line="300" w:lineRule="auto"/>
      </w:pPr>
      <w:r>
        <w:t>Both loops are covered by real-corpus regression cases in v2.0.1.</w:t>
      </w:r>
    </w:p>
    <w:p w14:paraId="3D3195DC">
      <w:r>
        <w:br w:type="page"/>
      </w:r>
    </w:p>
    <w:p w14:paraId="4E74586A">
      <w:pPr>
        <w:pStyle w:val="2"/>
        <w:spacing w:before="360" w:after="200"/>
      </w:pPr>
      <w:r>
        <w:t>3. Technical Architecture</w:t>
      </w:r>
    </w:p>
    <w:p w14:paraId="506C2A48">
      <w:pPr>
        <w:pStyle w:val="3"/>
        <w:spacing w:before="280" w:after="140"/>
      </w:pPr>
      <w:r>
        <w:t>3.1 Package Model &amp; Dependency Direction (ADR-030 Facade Convergence)</w:t>
      </w:r>
    </w:p>
    <w:p w14:paraId="2F77CB6A">
      <w:pPr>
        <w:spacing w:after="160" w:line="300" w:lineRule="auto"/>
      </w:pPr>
      <w:r>
        <w:t>The central architectural move of V2.0 is facade convergence: the module root no longer contains any Go files and becomes a meta-repo; the single official public import path becomes github.com/F31/go-pptx/v2/pptx. Internal implementation is pushed down vertically into a set of internal/* packages, orchestrated by a single internal/engine layer that carries the core logic (Inspect / Validate / Capability / ProjectIR) shared by the CLI and WASM.</w:t>
      </w:r>
    </w:p>
    <w:p w14:paraId="7427E11A">
      <w:pPr>
        <w:spacing w:after="160" w:line="300" w:lineRule="auto"/>
      </w:pPr>
      <w:r>
        <w:rPr>
          <w:b/>
          <w:bCs/>
        </w:rPr>
        <w:t>Dependency-direction discipline (ADR-014 / ADR-016, enforced at compile time by internal/archlint):</w:t>
      </w:r>
    </w:p>
    <w:p w14:paraId="2EE0480A">
      <w:pPr>
        <w:pStyle w:val="16"/>
        <w:numPr>
          <w:ilvl w:val="0"/>
          <w:numId w:val="1"/>
        </w:numPr>
        <w:spacing w:after="80"/>
      </w:pPr>
      <w:r>
        <w:t>Allowed: pptx/ → all internal/*; internal/engine → internal/ir + internal/ooxml + internal/xmlstore; internal/chart / internal/style / internal/bind / internal/textutil → internal/xmlstore; internal/opc → internal/xmlstore</w:t>
      </w:r>
    </w:p>
    <w:p w14:paraId="51A03CC7">
      <w:pPr>
        <w:pStyle w:val="16"/>
        <w:numPr>
          <w:ilvl w:val="0"/>
          <w:numId w:val="1"/>
        </w:numPr>
        <w:spacing w:after="80"/>
      </w:pPr>
      <w:r>
        <w:t>Forbidden: any internal/* → the pptx/ facade (avoids circular dependencies and prevents internal implementation from leaking back into the public API); any internal/* other than engine → internal/engine</w:t>
      </w:r>
    </w:p>
    <w:p w14:paraId="64FB81F1">
      <w:pPr>
        <w:pStyle w:val="16"/>
        <w:numPr>
          <w:ilvl w:val="0"/>
          <w:numId w:val="1"/>
        </w:numPr>
        <w:spacing w:after="80"/>
      </w:pPr>
      <w:r>
        <w:t>archlint enforcement: go test itself executes the dependency-direction check; an unregistered new package or a reverse dependency fails the build immediately</w:t>
      </w:r>
    </w:p>
    <w:p w14:paraId="060A0173">
      <w:pPr>
        <w:pStyle w:val="4"/>
        <w:spacing w:before="200" w:after="100"/>
      </w:pPr>
      <w:r>
        <w:t>Internal Packages Landed in V2.0 and Their Responsibilities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18"/>
        <w:gridCol w:w="4282"/>
      </w:tblGrid>
      <w:tr w14:paraId="25589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EB36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5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AAC4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14:paraId="71041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B5B1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internal/opc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9479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OPC ZIP indexing, content types, relationship graph, save planning (SavePlan), atomic save, resource budgets (Budget), durability tiers (Durability)</w:t>
            </w:r>
          </w:p>
        </w:tc>
      </w:tr>
      <w:tr w14:paraId="4E62C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4625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internal/xmlstore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5369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Namespace-aware XML scanner, node index tree, span-patch engine, DOM helpers</w:t>
            </w:r>
          </w:p>
        </w:tc>
      </w:tr>
      <w:tr w14:paraId="424FB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9193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internal/chart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8B0D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Chart XML model, workbook sync, canonical validation, fragments (whole layer extracted per ADR-017)</w:t>
            </w:r>
          </w:p>
        </w:tc>
      </w:tr>
      <w:tr w14:paraId="28FEC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4DC3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internal/document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DEFC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Minimal document-storage contract: PartStore / ReadStore / PatchStore (ADR-016)</w:t>
            </w:r>
          </w:p>
        </w:tc>
      </w:tr>
      <w:tr w14:paraId="3BF7C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3AEE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internal/document/{model,style,geometry,text,media,table}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C9E6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Vertically pushed-down domain models</w:t>
            </w:r>
          </w:p>
        </w:tc>
      </w:tr>
      <w:tr w14:paraId="18C8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3611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internal/editplan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96C1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Single-Part / multi-Part edit-plan and rollback scaffolding</w:t>
            </w:r>
          </w:p>
        </w:tc>
      </w:tr>
      <w:tr w14:paraId="02FA0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032B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internal/textmap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76CE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TEXT-02 cross-Run replacement text-mapping primitives (rune matching / grapheme boundaries / run-span locating)</w:t>
            </w:r>
          </w:p>
        </w:tc>
      </w:tr>
      <w:tr w14:paraId="1710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87A6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internal/audioprobe, internal/videoprobe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FA99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Audio / video container probing (duration, sample rate, channels, resolution, codec) without calling FFmpeg</w:t>
            </w:r>
          </w:p>
        </w:tc>
      </w:tr>
      <w:tr w14:paraId="36345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B9D1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internal/textutil, internal/bind, internal/style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BF3C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XML patch/escape helpers, template-marker scanning, and placeholder parsing, piloted for extraction in V2.0 (ADR-030)</w:t>
            </w:r>
          </w:p>
        </w:tc>
      </w:tr>
      <w:tr w14:paraId="7A36A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36A6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internal/ooxml + internal/ooxml/schema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8467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Read-only OOXML projection; schema is generated by scripts/gen/schema (stdlib XSD→Go) from ECMA-376 Part 4 Transitional, 100% coverage, read-only</w:t>
            </w:r>
          </w:p>
        </w:tc>
      </w:tr>
      <w:tr w14:paraId="2B856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BBB9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internal/ir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D0AA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Read-only IR, timing IR, and semantic-diff core (no longer publicly importable since V2.0; exposed instead via engine.ProjectIR)</w:t>
            </w:r>
          </w:p>
        </w:tc>
      </w:tr>
      <w:tr w14:paraId="5330E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D75F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internal/engine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1FDE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Orchestration layer: Inspect / Validate / Capability / ProjectIR; a single core shared by CLI and WASM</w:t>
            </w:r>
          </w:p>
        </w:tc>
      </w:tr>
      <w:tr w14:paraId="48850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83A5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internal/archlint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CF00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Std-lib dependency-direction checker (run via go test in CI)</w:t>
            </w:r>
          </w:p>
        </w:tc>
      </w:tr>
      <w:tr w14:paraId="2C9C6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B849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internal/errs, internal/diag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C09D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Error annotation and diagnostic types</w:t>
            </w:r>
          </w:p>
        </w:tc>
      </w:tr>
      <w:tr w14:paraId="72A4D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3169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internal/ooxmlns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7A45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Shared OOXML/OPC namespace URI constants</w:t>
            </w:r>
          </w:p>
        </w:tc>
      </w:tr>
    </w:tbl>
    <w:p w14:paraId="1A695DFF">
      <w:pPr>
        <w:spacing w:after="160" w:line="300" w:lineRule="auto"/>
      </w:pPr>
      <w:r>
        <w:rPr>
          <w:i/>
          <w:iCs/>
          <w:color w:val="595959"/>
        </w:rPr>
        <w:t>Note: the ir/ package that was publicly exported in the V1 era has been folded into internal/ir as of V2.0 and can no longer be imported directly by library consumers; IR capability is exposed instead through the pptx facade's read-only bridge (PartBytes / MainPartBytes) and the CLI's export-ir / diff subcommands.</w:t>
      </w:r>
    </w:p>
    <w:p w14:paraId="619D1762">
      <w:pPr>
        <w:pStyle w:val="3"/>
        <w:spacing w:before="280" w:after="140"/>
      </w:pPr>
      <w:r>
        <w:t>3.2 Public Object Model</w:t>
      </w:r>
    </w:p>
    <w:p w14:paraId="79A960A4">
      <w:pPr>
        <w:spacing w:after="160" w:line="300" w:lineRule="auto"/>
      </w:pPr>
      <w:r>
        <w:t>go-pptx strictly follows the OOXML DrawingML hierarchy (Presentation → Slide → Shape → TextFrame → Paragraph → TextRun). Key conventions for each object type are below (handle identity reuses stable OOXML identity — see §3.6):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00"/>
        <w:gridCol w:w="2800"/>
      </w:tblGrid>
      <w:tr w14:paraId="7A141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82E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Object</w:t>
            </w:r>
          </w:p>
        </w:tc>
        <w:tc>
          <w:tcPr>
            <w:tcW w:w="4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AB3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Capabilities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3AB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Handle Identity Semantics</w:t>
            </w:r>
          </w:p>
        </w:tc>
      </w:tr>
      <w:tr w14:paraId="66365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92D2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Presentation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A11C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Document lifecycle / six-dimensional Capability report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13E1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27F8B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3F1D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Slide</w:t>
            </w:r>
          </w:p>
        </w:tc>
        <w:tc>
          <w:tcPr>
            <w:tcW w:w="4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E5F2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Page management, notes, layout diagnostics</w:t>
            </w:r>
          </w:p>
        </w:tc>
        <w:tc>
          <w:tcPr>
            <w:tcW w:w="2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8C51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SlideID (uint32, a unique persistent identity)</w:t>
            </w:r>
          </w:p>
        </w:tc>
      </w:tr>
      <w:tr w14:paraId="773F3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8ECF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588E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Geometry / style / effects reporting, child enumeration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E6A3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ShapeID = cNvPr@id (globally unique within spTree)</w:t>
            </w:r>
          </w:p>
        </w:tc>
      </w:tr>
      <w:tr w14:paraId="30770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6F45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TextFrame</w:t>
            </w:r>
          </w:p>
        </w:tc>
        <w:tc>
          <w:tcPr>
            <w:tcW w:w="4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A164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Cross-Run replacement, plain-text replacement, fields, autofit diagnostics</w:t>
            </w:r>
          </w:p>
        </w:tc>
        <w:tc>
          <w:tcPr>
            <w:tcW w:w="2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2B6B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shapeHint = owning shape's cNvPr@id</w:t>
            </w:r>
          </w:p>
        </w:tc>
      </w:tr>
      <w:tr w14:paraId="1795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C80F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Paragraph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0CAC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Paragraph properties (alignment, spacing, bullets)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22BA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shapeHint</w:t>
            </w:r>
          </w:p>
        </w:tc>
      </w:tr>
      <w:tr w14:paraId="64F1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E95A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TextRun</w:t>
            </w:r>
          </w:p>
        </w:tc>
        <w:tc>
          <w:tcPr>
            <w:tcW w:w="4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B409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Run properties (font, color, bold, ...) + text content</w:t>
            </w:r>
          </w:p>
        </w:tc>
        <w:tc>
          <w:tcPr>
            <w:tcW w:w="2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4EF2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shapeHint</w:t>
            </w:r>
          </w:p>
        </w:tc>
      </w:tr>
    </w:tbl>
    <w:p w14:paraId="6F8DF923">
      <w:pPr>
        <w:pStyle w:val="3"/>
        <w:spacing w:before="280" w:after="140"/>
      </w:pPr>
      <w:r>
        <w:t>3.3 The OPC Layer: Package Model, Budgets, and Atomic Save</w:t>
      </w:r>
    </w:p>
    <w:p w14:paraId="29584FD8">
      <w:pPr>
        <w:spacing w:after="160" w:line="300" w:lineRule="auto"/>
      </w:pPr>
      <w:r>
        <w:t>OPC (Open Packaging Conventions) is the physical container of a PPTX file. internal/opc makes three key abstractions on top of OPC:</w:t>
      </w:r>
    </w:p>
    <w:p w14:paraId="33F8E2B7">
      <w:pPr>
        <w:pStyle w:val="16"/>
        <w:numPr>
          <w:ilvl w:val="0"/>
          <w:numId w:val="1"/>
        </w:numPr>
        <w:spacing w:after="80"/>
      </w:pPr>
      <w:r>
        <w:t>ZIP indexing + budgets: on open, only the central directory is parsed and a lightweight index is built; not all Parts are decompressed immediately; media byte streams are read lazily on demand. The Budget (MaxEntries / MaxCentrDirBytes / MaxUncompressedBytes, etc.) hard-constrains untrusted input — exceeding it returns ErrLimitExceeded / ErrMalformedPackage rather than panicking.</w:t>
      </w:r>
    </w:p>
    <w:p w14:paraId="49F2C6DE">
      <w:pPr>
        <w:pStyle w:val="16"/>
        <w:numPr>
          <w:ilvl w:val="0"/>
          <w:numId w:val="1"/>
        </w:numPr>
        <w:spacing w:after="80"/>
      </w:pPr>
      <w:r>
        <w:t>Relationship graph + content types: fully models _rels/.rels and each Part's Content_Types.xml, exposing a RelationshipType / ContentType constant system.</w:t>
      </w:r>
    </w:p>
    <w:p w14:paraId="0BC3B81C">
      <w:pPr>
        <w:pStyle w:val="16"/>
        <w:numPr>
          <w:ilvl w:val="0"/>
          <w:numId w:val="1"/>
        </w:numPr>
        <w:spacing w:after="80"/>
      </w:pPr>
      <w:r>
        <w:t>Save planning (SavePlan): distinguishes three write paths — fully pass-through Parts (unmodified, preserved at the byte level), modified Parts (via xmlstore span patch), and newly added Parts (e.g. media, cloned slides, via a namespace-controlled creation path).</w:t>
      </w:r>
    </w:p>
    <w:p w14:paraId="4C18492B">
      <w:pPr>
        <w:spacing w:after="160" w:line="300" w:lineRule="auto"/>
      </w:pPr>
      <w:r>
        <w:t>Atomic save: Save() defaults to a "write-temp-file + fsync + rename" strategy, which prevents torn writes; overwriting is rejected by default (returns ErrOutputExists) unless WithSaveOverwrite(true) is passed explicitly. The Durability tier (DurabilityDefault / DurabilityFull) controls the fsync strength on disk. Save(nil, …) is now consistent with Write / Validate in the same package: a nil context.Context is normalized to context.Background() (fixed in V2.0.1).</w:t>
      </w:r>
    </w:p>
    <w:p w14:paraId="51EA9AC3">
      <w:pPr>
        <w:pStyle w:val="3"/>
        <w:spacing w:before="280" w:after="140"/>
      </w:pPr>
      <w:r>
        <w:t>3.4 XML Store: A Namespace-Aware, Minimally Invasive Editing Engine</w:t>
      </w:r>
    </w:p>
    <w:p w14:paraId="3C1C8808">
      <w:pPr>
        <w:spacing w:after="160" w:line="300" w:lineRule="auto"/>
      </w:pPr>
      <w:r>
        <w:t>internal/xmlstore is the most technically substantial internal subsystem in the component. It provides:</w:t>
      </w:r>
    </w:p>
    <w:p w14:paraId="27918A76">
      <w:pPr>
        <w:pStyle w:val="16"/>
        <w:numPr>
          <w:ilvl w:val="0"/>
          <w:numId w:val="1"/>
        </w:numPr>
        <w:spacing w:after="80"/>
      </w:pPr>
      <w:r>
        <w:t>A namespace-aware scanner: recognizes p: / a: / r: / c: / mc: / p14: and other namespaces without enforcing a schema, preserving the original text of unknown elements.</w:t>
      </w:r>
    </w:p>
    <w:p w14:paraId="12428649">
      <w:pPr>
        <w:pStyle w:val="16"/>
        <w:numPr>
          <w:ilvl w:val="0"/>
          <w:numId w:val="1"/>
        </w:numPr>
        <w:spacing w:after="80"/>
      </w:pPr>
      <w:r>
        <w:t>A node index tree: builds a positional index for every XML Part so external code can address elements via a NodePath (a path-style locator).</w:t>
      </w:r>
    </w:p>
    <w:p w14:paraId="67C35979">
      <w:pPr>
        <w:pStyle w:val="16"/>
        <w:numPr>
          <w:ilvl w:val="0"/>
          <w:numId w:val="1"/>
        </w:numPr>
        <w:spacing w:after="80"/>
      </w:pPr>
      <w:r>
        <w:t>A span-patch engine: every write lands on the original XML as a byte-level patch, minimizing the changed region; untouched subtrees are preserved byte-for-byte — this is the core mechanism behind the component's "fidelity-controlled" editing.</w:t>
      </w:r>
    </w:p>
    <w:p w14:paraId="004E9BB7">
      <w:pPr>
        <w:pStyle w:val="16"/>
        <w:numPr>
          <w:ilvl w:val="0"/>
          <w:numId w:val="1"/>
        </w:numPr>
        <w:spacing w:after="80"/>
      </w:pPr>
      <w:r>
        <w:t>Unknown-content protection (V2.6 §4.3): when a patch conflicts with an unknown node, a diagnostic (Diagnostic / Severity) is returned rather than silently dropping the content.</w:t>
      </w:r>
    </w:p>
    <w:p w14:paraId="4270B622">
      <w:pPr>
        <w:pStyle w:val="3"/>
        <w:spacing w:before="280" w:after="140"/>
      </w:pPr>
      <w:r>
        <w:t>3.5 Transactions &amp; Change Sets (ADR-013)</w:t>
      </w:r>
    </w:p>
    <w:p w14:paraId="79AF7F71">
      <w:pPr>
        <w:spacing w:after="160" w:line="300" w:lineRule="auto"/>
      </w:pPr>
      <w:r>
        <w:t>Modification operations follow a unified transaction model, eliminating the possibility of "two independently modifiable sources of truth" (V2.6 §3):</w:t>
      </w:r>
    </w:p>
    <w:p w14:paraId="44E1E478">
      <w:pPr>
        <w:shd w:val="clear" w:fill="F2F2F2"/>
        <w:spacing w:before="100" w:after="0" w:line="260" w:lineRule="auto"/>
      </w:pPr>
      <w:r>
        <w:rPr>
          <w:rFonts w:ascii="Consolas" w:hAnsi="Consolas" w:eastAsia="Consolas" w:cs="Consolas"/>
          <w:sz w:val="18"/>
          <w:szCs w:val="18"/>
        </w:rPr>
        <w:t>// High-level public APIs internally build an edit plan, which is then applied by a facade adapter.</w:t>
      </w:r>
    </w:p>
    <w:p w14:paraId="4147EC8D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err := applySinglePartPatch(pres, part, bytes)</w:t>
      </w:r>
    </w:p>
    <w:p w14:paraId="5746453B">
      <w:pPr>
        <w:shd w:val="clear" w:fill="F2F2F2"/>
        <w:spacing w:before="0" w:after="100" w:line="260" w:lineRule="auto"/>
      </w:pPr>
      <w:r>
        <w:rPr>
          <w:rFonts w:ascii="Consolas" w:hAnsi="Consolas" w:eastAsia="Consolas" w:cs="Consolas"/>
          <w:sz w:val="18"/>
          <w:szCs w:val="18"/>
        </w:rPr>
        <w:t>err := applyMultiPartPlan(pres, plan)   // auto-restores pending state on failure; never leaves a half-committed state</w:t>
      </w:r>
    </w:p>
    <w:p w14:paraId="7423D290">
      <w:pPr>
        <w:pStyle w:val="16"/>
        <w:numPr>
          <w:ilvl w:val="0"/>
          <w:numId w:val="1"/>
        </w:numPr>
        <w:spacing w:after="80"/>
      </w:pPr>
      <w:r>
        <w:t>ChangeSet: aggregates all "not yet committed" modifications</w:t>
      </w:r>
    </w:p>
    <w:p w14:paraId="68CC0DDF">
      <w:pPr>
        <w:pStyle w:val="16"/>
        <w:numPr>
          <w:ilvl w:val="0"/>
          <w:numId w:val="1"/>
        </w:numPr>
        <w:spacing w:after="80"/>
      </w:pPr>
      <w:r>
        <w:t>Revision: a monotonically increasing counter on every successful commit; a subsequent write through a handle holding a stale Revision triggers ErrConcurrentModification</w:t>
      </w:r>
    </w:p>
    <w:p w14:paraId="72F125D5">
      <w:pPr>
        <w:pStyle w:val="16"/>
        <w:numPr>
          <w:ilvl w:val="0"/>
          <w:numId w:val="1"/>
        </w:numPr>
        <w:spacing w:after="80"/>
      </w:pPr>
      <w:r>
        <w:t>EditPlan layering: business paths commit via SinglePartPatch / MultiPartPlan; the lower-level stage* / commit primitives are confined to the adapter boundary of presentation.go and document_store.go</w:t>
      </w:r>
    </w:p>
    <w:p w14:paraId="15195386">
      <w:pPr>
        <w:pStyle w:val="3"/>
        <w:spacing w:before="280" w:after="140"/>
      </w:pPr>
      <w:r>
        <w:t>3.6 The Handle Identity System (STALE-GUARD)</w:t>
      </w:r>
    </w:p>
    <w:p w14:paraId="1725B6D0">
      <w:pPr>
        <w:spacing w:after="160" w:line="300" w:lineRule="auto"/>
      </w:pPr>
      <w:r>
        <w:t>Any "handle-style" object (Shape / TextFrame / Paragraph / TextRun / Cell) must answer the question "how does the handle fail safely?" go-pptx's answer is to reuse the stable identity that OOXML already has: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6000"/>
      </w:tblGrid>
      <w:tr w14:paraId="46BB8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719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Handle Layer</w:t>
            </w:r>
          </w:p>
        </w:tc>
        <w:tc>
          <w:tcPr>
            <w:tcW w:w="6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C0E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Stable Identity</w:t>
            </w:r>
          </w:p>
        </w:tc>
      </w:tr>
      <w:tr w14:paraId="77DCA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22E9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0D27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cNvPr@id (required by the DrawingML spec to be globally unique within spTree)</w:t>
            </w:r>
          </w:p>
        </w:tc>
      </w:tr>
      <w:tr w14:paraId="25797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684A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TextFrame / Paragraph / TextRun</w:t>
            </w:r>
          </w:p>
        </w:tc>
        <w:tc>
          <w:tcPr>
            <w:tcW w:w="6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B953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shapeHint = owning shape's cNvPr@id</w:t>
            </w:r>
          </w:p>
        </w:tc>
      </w:tr>
      <w:tr w14:paraId="4FC7E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ADBB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Cell (table)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859E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shapeHint = owning table's cNvPr@id</w:t>
            </w:r>
          </w:p>
        </w:tc>
      </w:tr>
    </w:tbl>
    <w:p w14:paraId="3224AB9B">
      <w:pPr>
        <w:spacing w:after="160" w:line="300" w:lineRule="auto"/>
      </w:pPr>
      <w:r>
        <w:rPr>
          <w:b/>
          <w:bCs/>
        </w:rPr>
        <w:t>Semantics (a three-layer closed loop):</w:t>
      </w:r>
    </w:p>
    <w:p w14:paraId="7681131E">
      <w:pPr>
        <w:pStyle w:val="16"/>
        <w:numPr>
          <w:ilvl w:val="0"/>
          <w:numId w:val="1"/>
        </w:numPr>
        <w:spacing w:after="80"/>
      </w:pPr>
      <w:r>
        <w:t>MoveShape / AddShape (sibling addition) / text editing → the handle remains valid (cNvPr@id unchanged)</w:t>
      </w:r>
    </w:p>
    <w:p w14:paraId="52A0048A">
      <w:pPr>
        <w:pStyle w:val="16"/>
        <w:numPr>
          <w:ilvl w:val="0"/>
          <w:numId w:val="1"/>
        </w:numPr>
        <w:spacing w:after="80"/>
      </w:pPr>
      <w:r>
        <w:t>RemoveShape → the target cNvPr@id disappears → the handle returns ErrStaleHandle</w:t>
      </w:r>
    </w:p>
    <w:p w14:paraId="348517FF">
      <w:pPr>
        <w:pStyle w:val="16"/>
        <w:numPr>
          <w:ilvl w:val="0"/>
          <w:numId w:val="1"/>
        </w:numPr>
        <w:spacing w:after="80"/>
      </w:pPr>
      <w:r>
        <w:t>Re-locate flow: the target element is first resolved by NodePath, then the tree is walked upward to find the nearest p:sp / p:cxnSp / p:graphicFrame / p:grpSp and its cNvPr@id is compared against the hint — a mismatch or a failure to find one returns ErrStaleHandle</w:t>
      </w:r>
    </w:p>
    <w:p w14:paraId="5EF8EC70">
      <w:pPr>
        <w:pStyle w:val="16"/>
        <w:numPr>
          <w:ilvl w:val="0"/>
          <w:numId w:val="1"/>
        </w:numPr>
        <w:spacing w:after="80"/>
      </w:pPr>
      <w:r>
        <w:t>hint=0 falls back to pure path-based resolution (for backward compatibility with older handles such as notes)</w:t>
      </w:r>
    </w:p>
    <w:p w14:paraId="3FA7F545">
      <w:pPr>
        <w:spacing w:after="160" w:line="300" w:lineRule="auto"/>
      </w:pPr>
      <w:r>
        <w:rPr>
          <w:i/>
          <w:iCs/>
          <w:color w:val="595959"/>
        </w:rPr>
        <w:t>As of V2.0.1, Presentation.Close() is idempotent: repeated calls always return nil, which is compatible with the defer p.Close() idiom; business methods called after Close() (such as Slides()) still return ErrClosed, so observability of handle invalidation is not weakened.</w:t>
      </w:r>
    </w:p>
    <w:p w14:paraId="33B0AA5F">
      <w:pPr>
        <w:pStyle w:val="3"/>
        <w:spacing w:before="280" w:after="140"/>
      </w:pPr>
      <w:r>
        <w:t>3.7 Cross-Platform &amp; WASM</w:t>
      </w:r>
    </w:p>
    <w:p w14:paraId="429BBC97">
      <w:pPr>
        <w:spacing w:after="160" w:line="300" w:lineRule="auto"/>
      </w:pPr>
      <w:r>
        <w:t>CI cross-compiles the following five targets on every push and pull request: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800"/>
      </w:tblGrid>
      <w:tr w14:paraId="7D9BA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A40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6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A3A3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14:paraId="298CC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3E1D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js/wasm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9996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Native in-browser PPT parsing (the wasm/check subpackage); no server round-trip needed, usable in privacy-sensitive scenarios</w:t>
            </w:r>
          </w:p>
        </w:tc>
      </w:tr>
      <w:tr w14:paraId="11341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BE9A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darwin/arm64</w:t>
            </w:r>
          </w:p>
        </w:tc>
        <w:tc>
          <w:tcPr>
            <w:tcW w:w="6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5569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Native Apple Silicon</w:t>
            </w:r>
          </w:p>
        </w:tc>
      </w:tr>
      <w:tr w14:paraId="6CCA7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55E3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wasip1/wasm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B0B6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WASI 1.0 (server-side sandboxed executable containers)</w:t>
            </w:r>
          </w:p>
        </w:tc>
      </w:tr>
      <w:tr w14:paraId="2A19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9305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linux/arm64</w:t>
            </w:r>
          </w:p>
        </w:tc>
        <w:tc>
          <w:tcPr>
            <w:tcW w:w="6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FC09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ARM servers (e.g. AWS Graviton)</w:t>
            </w:r>
          </w:p>
        </w:tc>
      </w:tr>
      <w:tr w14:paraId="32E1E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C73A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windows/amd64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78E5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Windows server-side / desktop distribution</w:t>
            </w:r>
          </w:p>
        </w:tc>
      </w:tr>
    </w:tbl>
    <w:p w14:paraId="0CFDD93B">
      <w:pPr>
        <w:spacing w:after="160" w:line="300" w:lineRule="auto"/>
      </w:pPr>
      <w:r>
        <w:t>The CGO_ENABLED=0 constraint guarantees no target needs a C toolchain; it also means the component does not depend on any system library beyond glibc/musl and can be statically linked into a container image.</w:t>
      </w:r>
    </w:p>
    <w:p w14:paraId="3C5193C9">
      <w:pPr>
        <w:pStyle w:val="3"/>
        <w:spacing w:before="280" w:after="140"/>
      </w:pPr>
      <w:r>
        <w:t>3.8 Orchestration Layer, Dependency Validation, and the OOXML Generation Pipeline (New in ADR-030)</w:t>
      </w:r>
    </w:p>
    <w:p w14:paraId="6D4369B1">
      <w:pPr>
        <w:spacing w:after="160" w:line="300" w:lineRule="auto"/>
      </w:pPr>
      <w:r>
        <w:t>Three architectural additions in V2.0 relative to V1:</w:t>
      </w:r>
    </w:p>
    <w:p w14:paraId="711918E3">
      <w:pPr>
        <w:pStyle w:val="16"/>
        <w:numPr>
          <w:ilvl w:val="0"/>
          <w:numId w:val="1"/>
        </w:numPr>
        <w:spacing w:after="80"/>
      </w:pPr>
      <w:r>
        <w:t>The internal/engine orchestration layer: unifies the Inspect / Validate / Capability core for CLI and WASM, carrying a ProjectIR adapter so CLI and WASM no longer each maintain their own copy. Coverage: 91.1%.</w:t>
      </w:r>
    </w:p>
    <w:p w14:paraId="5FE2B870">
      <w:pPr>
        <w:pStyle w:val="16"/>
        <w:numPr>
          <w:ilvl w:val="0"/>
          <w:numId w:val="1"/>
        </w:numPr>
        <w:spacing w:after="80"/>
      </w:pPr>
      <w:r>
        <w:t>internal/archlint dependency-direction validation: implemented with the std-lib, run via go test in CI; any internal/* → pptx/ reverse dependency, unregistered new package, or cross-layer import fails the build immediately.</w:t>
      </w:r>
    </w:p>
    <w:p w14:paraId="70331C1C">
      <w:pPr>
        <w:pStyle w:val="16"/>
        <w:numPr>
          <w:ilvl w:val="0"/>
          <w:numId w:val="1"/>
        </w:numPr>
        <w:spacing w:after="80"/>
      </w:pPr>
      <w:r>
        <w:t>The internal/ooxml + internal/ooxml/schema generation pipeline: scripts/gen/schema uses the std-lib to generate a read-only Go projection from the ECMA-376 Part 4 Transitional XSD (schema.openxmlformats.org, not the Part 1 Strict purl.oclc.org variant). internal/ooxml (Open / Bytes / SlideShapes read-only projection) plus engine.ProjectIR drive read-only projection of shapes/text/tables/notes/timing/hidden state/charts; projectShapes performs zero-facade-handle reads end to end.</w:t>
      </w:r>
    </w:p>
    <w:p w14:paraId="2DAA1773">
      <w:r>
        <w:br w:type="page"/>
      </w:r>
    </w:p>
    <w:p w14:paraId="2B679E0F">
      <w:pPr>
        <w:pStyle w:val="2"/>
        <w:spacing w:before="360" w:after="200"/>
      </w:pPr>
      <w:r>
        <w:t>4. Feature Set</w:t>
      </w:r>
    </w:p>
    <w:p w14:paraId="4018E1CD">
      <w:pPr>
        <w:pStyle w:val="3"/>
        <w:spacing w:before="280" w:after="140"/>
      </w:pPr>
      <w:r>
        <w:t>4.1 Document Lifecycle</w:t>
      </w:r>
    </w:p>
    <w:p w14:paraId="4E5D3429">
      <w:pPr>
        <w:shd w:val="clear" w:fill="F2F2F2"/>
        <w:spacing w:before="100" w:after="0" w:line="260" w:lineRule="auto"/>
      </w:pPr>
      <w:r>
        <w:rPr>
          <w:rFonts w:ascii="Consolas" w:hAnsi="Consolas" w:eastAsia="Consolas" w:cs="Consolas"/>
          <w:sz w:val="18"/>
          <w:szCs w:val="18"/>
        </w:rPr>
        <w:t>// Create an empty presentation</w:t>
      </w:r>
    </w:p>
    <w:p w14:paraId="41AC80BD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pres, err := pptx.New()</w:t>
      </w:r>
    </w:p>
    <w:p w14:paraId="2914B822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defer pres.Close()</w:t>
      </w:r>
    </w:p>
    <w:p w14:paraId="45DFB8A8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A9F2427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// Open an existing file</w:t>
      </w:r>
    </w:p>
    <w:p w14:paraId="4B74516B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pres, err = pptx.Open("./template.pptx")</w:t>
      </w:r>
    </w:p>
    <w:p w14:paraId="580EB485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pres, err = pptx.OpenReader(reader, size)  // from a streaming input</w:t>
      </w:r>
    </w:p>
    <w:p w14:paraId="194DE19E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7B1A6874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// Modify...</w:t>
      </w:r>
    </w:p>
    <w:p w14:paraId="32889103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slide := pres.Slides()[0]</w:t>
      </w:r>
    </w:p>
    <w:p w14:paraId="78A471C7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shape := slide.Shapes()[0]</w:t>
      </w:r>
    </w:p>
    <w:p w14:paraId="0AC3F6D1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tf    := shape.TextFrame()</w:t>
      </w:r>
    </w:p>
    <w:p w14:paraId="268EA440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tf.ReplaceText("Q3", "Q4", pptx.ReplaceModeExact)</w:t>
      </w:r>
    </w:p>
    <w:p w14:paraId="6430EDA7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53722CBE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// Save</w:t>
      </w:r>
    </w:p>
    <w:p w14:paraId="408A3401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err = pres.Save("./out.pptx", pptx.WithSaveOverwrite(true))   // explicit overwrite</w:t>
      </w:r>
    </w:p>
    <w:p w14:paraId="3A7E8D78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err = pres.Write(io.Discard)                                   // in-memory serialization only (benchmark/preview)</w:t>
      </w:r>
    </w:p>
    <w:p w14:paraId="17262216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6749EB18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// Resource budgets and durability tier (exposed via pptx aliases in V2.0.1)</w:t>
      </w:r>
    </w:p>
    <w:p w14:paraId="14741EA5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pres, err = pptx.Open("./in.pptx",</w:t>
      </w:r>
    </w:p>
    <w:p w14:paraId="0366064E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pptx.WithBudget(pptx.Budget{MaxEntries: 5000, MaxUncompressedBytes: 256 &lt;&lt; 20}),</w:t>
      </w:r>
    </w:p>
    <w:p w14:paraId="71E63988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pptx.WithSaveDurability(pptx.DurabilityFull),</w:t>
      </w:r>
    </w:p>
    <w:p w14:paraId="49CF7EBE">
      <w:pPr>
        <w:shd w:val="clear" w:fill="F2F2F2"/>
        <w:spacing w:before="0" w:after="100" w:line="260" w:lineRule="auto"/>
      </w:pPr>
      <w:r>
        <w:rPr>
          <w:rFonts w:ascii="Consolas" w:hAnsi="Consolas" w:eastAsia="Consolas" w:cs="Consolas"/>
          <w:sz w:val="18"/>
          <w:szCs w:val="18"/>
        </w:rPr>
        <w:t>)</w:t>
      </w:r>
    </w:p>
    <w:p w14:paraId="6DC8D850">
      <w:pPr>
        <w:spacing w:after="160" w:line="300" w:lineRule="auto"/>
      </w:pPr>
      <w:r>
        <w:t>Full lifecycle coverage: create / open / streaming open / modify / save (atomic) / serialize to disk / serialize to memory only / close (idempotent).</w:t>
      </w:r>
    </w:p>
    <w:p w14:paraId="28839D4C">
      <w:pPr>
        <w:pStyle w:val="3"/>
        <w:spacing w:before="280" w:after="140"/>
      </w:pPr>
      <w:r>
        <w:t>4.2 Shapes / Geometry / Images</w:t>
      </w:r>
    </w:p>
    <w:p w14:paraId="4B583105">
      <w:pPr>
        <w:pStyle w:val="16"/>
        <w:numPr>
          <w:ilvl w:val="0"/>
          <w:numId w:val="1"/>
        </w:numPr>
        <w:spacing w:after="80"/>
      </w:pPr>
      <w:r>
        <w:t>Shape classification: a ShapeKind enum plus 8 typed handles (GroupShape / AutoShape / OpaqueShape / PictureShape / TableShape / ChartShape / AudioShape / VideoShape) plus the TextShape alias</w:t>
      </w:r>
    </w:p>
    <w:p w14:paraId="0561AB8A">
      <w:pPr>
        <w:pStyle w:val="16"/>
        <w:numPr>
          <w:ilvl w:val="0"/>
          <w:numId w:val="1"/>
        </w:numPr>
        <w:spacing w:after="80"/>
      </w:pPr>
      <w:r>
        <w:t>Geometry: EMU units, Point / Rect / Quad value objects, 190+ prstGeom presets plus read-only custom geometry</w:t>
      </w:r>
    </w:p>
    <w:p w14:paraId="421A0408">
      <w:pPr>
        <w:pStyle w:val="16"/>
        <w:numPr>
          <w:ilvl w:val="0"/>
          <w:numId w:val="1"/>
        </w:numPr>
        <w:spacing w:after="80"/>
      </w:pPr>
      <w:r>
        <w:t>Effects model: read-only reporting of shadow / glow / reflection / soft edge / 3D scene effects</w:t>
      </w:r>
    </w:p>
    <w:p w14:paraId="3A09CDAA">
      <w:pPr>
        <w:pStyle w:val="16"/>
        <w:numPr>
          <w:ilvl w:val="0"/>
          <w:numId w:val="1"/>
        </w:numPr>
        <w:spacing w:after="80"/>
      </w:pPr>
      <w:r>
        <w:t>Style matrix: theme fmtScheme reference-chain resolution, distinguishing local / inherited / layout-resolved formatting</w:t>
      </w:r>
    </w:p>
    <w:p w14:paraId="41B6FF17">
      <w:pPr>
        <w:pStyle w:val="16"/>
        <w:numPr>
          <w:ilvl w:val="0"/>
          <w:numId w:val="1"/>
        </w:numPr>
        <w:spacing w:after="80"/>
      </w:pPr>
      <w:r>
        <w:t>Image insertion: automatic relationship and content-type creation, automatic media dedup by content hash (V2.0.1 adds a part→hash cache eliminating an O(N²) pattern)</w:t>
      </w:r>
    </w:p>
    <w:p w14:paraId="23600E24">
      <w:pPr>
        <w:pStyle w:val="3"/>
        <w:spacing w:before="280" w:after="140"/>
      </w:pPr>
      <w:r>
        <w:t>4.3 Tables &amp; Charts</w:t>
      </w:r>
    </w:p>
    <w:p w14:paraId="0CAD1CF9">
      <w:pPr>
        <w:pStyle w:val="16"/>
        <w:numPr>
          <w:ilvl w:val="0"/>
          <w:numId w:val="1"/>
        </w:numPr>
        <w:spacing w:after="80"/>
      </w:pPr>
      <w:r>
        <w:t>Tables: logical grid, cell merge/split, cell borders and alignment (tcPr), a 12-flag priority matrix for style regions</w:t>
      </w:r>
    </w:p>
    <w:p w14:paraId="226B61E6">
      <w:pPr>
        <w:pStyle w:val="16"/>
        <w:numPr>
          <w:ilvl w:val="0"/>
          <w:numId w:val="1"/>
        </w:numPr>
        <w:spacing w:after="80"/>
      </w:pPr>
      <w:r>
        <w:t>Charts (three supported types): bar / line / pie; extended labels, error bars, trendlines, date axes, log axes</w:t>
      </w:r>
    </w:p>
    <w:p w14:paraId="32B4934A">
      <w:pPr>
        <w:pStyle w:val="16"/>
        <w:numPr>
          <w:ilvl w:val="0"/>
          <w:numId w:val="1"/>
        </w:numPr>
        <w:spacing w:after="80"/>
      </w:pPr>
      <w:r>
        <w:t>Chart workbook: as of v2.0 the implementation layer lives entirely in internal/chart (ADR-017) with zero change to the public facade API; the former V1 Experimental types such as ChartWorkbookBuilder have been promoted to Stable under D-5</w:t>
      </w:r>
    </w:p>
    <w:p w14:paraId="7CB104F8">
      <w:pPr>
        <w:pStyle w:val="3"/>
        <w:spacing w:before="280" w:after="140"/>
      </w:pPr>
      <w:r>
        <w:t>4.4 Media (Audio / Video / Images)</w:t>
      </w:r>
    </w:p>
    <w:p w14:paraId="2F59EE30">
      <w:pPr>
        <w:pStyle w:val="16"/>
        <w:numPr>
          <w:ilvl w:val="0"/>
          <w:numId w:val="1"/>
        </w:numPr>
        <w:spacing w:after="80"/>
      </w:pPr>
      <w:r>
        <w:t>Audio embedding: including voice-over attachment, constrained ID allocation, and duration/sample-rate/channel probing</w:t>
      </w:r>
    </w:p>
    <w:p w14:paraId="1F47F3F2">
      <w:pPr>
        <w:pStyle w:val="16"/>
        <w:numPr>
          <w:ilvl w:val="0"/>
          <w:numId w:val="1"/>
        </w:numPr>
        <w:spacing w:after="80"/>
      </w:pPr>
      <w:r>
        <w:t>Video media shapes: reuse the MEDIA/AUDIO mechanism, with poster-frame handling</w:t>
      </w:r>
    </w:p>
    <w:p w14:paraId="790D293A">
      <w:pPr>
        <w:pStyle w:val="16"/>
        <w:numPr>
          <w:ilvl w:val="0"/>
          <w:numId w:val="1"/>
        </w:numPr>
        <w:spacing w:after="80"/>
      </w:pPr>
      <w:r>
        <w:t>Media probing: built-in internal/audioprobe / internal/videoprobe, without calling FFmpeg</w:t>
      </w:r>
    </w:p>
    <w:p w14:paraId="0557D7DD">
      <w:pPr>
        <w:pStyle w:val="16"/>
        <w:numPr>
          <w:ilvl w:val="0"/>
          <w:numId w:val="1"/>
        </w:numPr>
        <w:spacing w:after="80"/>
      </w:pPr>
      <w:r>
        <w:t>Media dedup: by content SHA-256 hash (V2.0.1 adds a revision-invalidated hash cache)</w:t>
      </w:r>
    </w:p>
    <w:p w14:paraId="5AD22BD4">
      <w:pPr>
        <w:pStyle w:val="3"/>
        <w:spacing w:before="280" w:after="140"/>
      </w:pPr>
      <w:r>
        <w:t>4.5 Text Editing (TEXT-02 Cross-Run Replacement)</w:t>
      </w:r>
    </w:p>
    <w:p w14:paraId="6AA94340">
      <w:pPr>
        <w:pStyle w:val="16"/>
        <w:numPr>
          <w:ilvl w:val="0"/>
          <w:numId w:val="1"/>
        </w:numPr>
        <w:spacing w:after="80"/>
      </w:pPr>
      <w:r>
        <w:t>Rich-text model: a three-layer TextFrame → Paragraph → TextRun hierarchy that maps 1:1 to OOXML</w:t>
      </w:r>
    </w:p>
    <w:p w14:paraId="34099BAB">
      <w:pPr>
        <w:pStyle w:val="16"/>
        <w:numPr>
          <w:ilvl w:val="0"/>
          <w:numId w:val="1"/>
        </w:numPr>
        <w:spacing w:after="80"/>
      </w:pPr>
      <w:r>
        <w:t>Cross-Run replacement: when a target string spans multiple Run boundaries, the minimal patch is planned automatically, guaranteeing byte-level preservation of the surrounding Runs</w:t>
      </w:r>
    </w:p>
    <w:p w14:paraId="6D776564">
      <w:pPr>
        <w:pStyle w:val="16"/>
        <w:numPr>
          <w:ilvl w:val="0"/>
          <w:numId w:val="1"/>
        </w:numPr>
        <w:spacing w:after="80"/>
      </w:pPr>
      <w:r>
        <w:t>Replacement modes: a ReplaceMode enum (Exact / Regex / Glob, ...)</w:t>
      </w:r>
    </w:p>
    <w:p w14:paraId="2CFC38DA">
      <w:pPr>
        <w:pStyle w:val="16"/>
        <w:numPr>
          <w:ilvl w:val="0"/>
          <w:numId w:val="1"/>
        </w:numPr>
        <w:spacing w:after="80"/>
      </w:pPr>
      <w:r>
        <w:t>Plain-text replacement: SetPlainText is used for bulk template-filling scenarios, bypassing the rich-text structure</w:t>
      </w:r>
    </w:p>
    <w:p w14:paraId="1A189852">
      <w:pPr>
        <w:pStyle w:val="3"/>
        <w:spacing w:before="280" w:after="140"/>
      </w:pPr>
      <w:r>
        <w:t>4.6 Slide Duplication (CLONE-01 / CLONE-02)</w:t>
      </w:r>
    </w:p>
    <w:p w14:paraId="696D6161">
      <w:pPr>
        <w:pStyle w:val="16"/>
        <w:numPr>
          <w:ilvl w:val="0"/>
          <w:numId w:val="1"/>
        </w:numPr>
        <w:spacing w:after="80"/>
      </w:pPr>
      <w:r>
        <w:t>Constrained same-document duplication (CLONE-01): preserves layout and master references, auto-allocating a new cNvPr@id</w:t>
      </w:r>
    </w:p>
    <w:p w14:paraId="5633E04B">
      <w:pPr>
        <w:pStyle w:val="16"/>
        <w:numPr>
          <w:ilvl w:val="0"/>
          <w:numId w:val="1"/>
        </w:numPr>
        <w:spacing w:after="80"/>
      </w:pPr>
      <w:r>
        <w:t>Constrained cross-document duplication (CLONE-02): CopySlideFrom + clonePlan explicitly distinguish srcDoc vs. crossDoc</w:t>
      </w:r>
    </w:p>
    <w:p w14:paraId="10B65B94">
      <w:pPr>
        <w:pStyle w:val="3"/>
        <w:spacing w:before="280" w:after="140"/>
      </w:pPr>
      <w:r>
        <w:t>4.7 Template Data Binding (TPL-01)</w:t>
      </w:r>
    </w:p>
    <w:p w14:paraId="5694022C">
      <w:pPr>
        <w:spacing w:after="160" w:line="300" w:lineRule="auto"/>
      </w:pPr>
      <w:r>
        <w:t>The bind.go subsystem provides Mustache-style placeholder substitution ({{path}} / {{#if expr}} ... {{/if}} / {{#each list}} ... {{/each}}). The binder is built on top of fidelity-preserving patching (ADR-013): unmatched placeholders are treated as unknown content and preserved; failed matches return a diagnostic.</w:t>
      </w:r>
    </w:p>
    <w:p w14:paraId="4008A095">
      <w:pPr>
        <w:pStyle w:val="3"/>
        <w:spacing w:before="280" w:after="140"/>
      </w:pPr>
      <w:r>
        <w:t>4.8 Animation Timing &amp; Read-Only IR (TIMIR-01 / DIFF-01)</w:t>
      </w:r>
    </w:p>
    <w:p w14:paraId="241AE522">
      <w:pPr>
        <w:pStyle w:val="16"/>
        <w:numPr>
          <w:ilvl w:val="0"/>
          <w:numId w:val="1"/>
        </w:numPr>
        <w:spacing w:after="80"/>
      </w:pPr>
      <w:r>
        <w:t>Read-only timing IR: parses the p:timing subtree, seq / par / excl nodes, and action paths; a minimal time evaluator detects ErrTimingConflict / ErrDurationUnknown</w:t>
      </w:r>
    </w:p>
    <w:p w14:paraId="5CA911D6">
      <w:pPr>
        <w:pStyle w:val="16"/>
        <w:numPr>
          <w:ilvl w:val="0"/>
          <w:numId w:val="1"/>
        </w:numPr>
        <w:spacing w:after="80"/>
      </w:pPr>
      <w:r>
        <w:t>Semantic diff (DIFF-01): the pptx diff CLI produces the go-pptx.diff/1.0 format — slide alignment uses strict SlideID matching plus shape-ID Jaccard similarity (weighted LCS); pairing within a slide is based on ShapeID; opaque diffs return a Part + NodePath trace</w:t>
      </w:r>
    </w:p>
    <w:p w14:paraId="1AD28A91">
      <w:pPr>
        <w:pStyle w:val="16"/>
        <w:numPr>
          <w:ilvl w:val="0"/>
          <w:numId w:val="1"/>
        </w:numPr>
        <w:spacing w:after="80"/>
      </w:pPr>
      <w:r>
        <w:t>IR projection: internal/engine.ProjectIR projects a read-only view via internal/ooxml; the CLI's export-ir subcommand outputs JSON</w:t>
      </w:r>
    </w:p>
    <w:p w14:paraId="32AFD2ED">
      <w:pPr>
        <w:pStyle w:val="3"/>
        <w:spacing w:before="280" w:after="140"/>
      </w:pPr>
      <w:r>
        <w:t>4.9 Auto-Narration &amp; Playback (AUDIO-02)</w:t>
      </w:r>
    </w:p>
    <w:p w14:paraId="313610A8">
      <w:pPr>
        <w:spacing w:after="160" w:line="300" w:lineRule="auto"/>
      </w:pPr>
      <w:r>
        <w:t>Integrates with a companion "PPT auto-narration tool": rich-text notes become the voice-over text source; audio embedding plus constrained ID allocation plus duration probing auto-populate slide durations; synchronization diagnostics (missing audio, voice-over conflicts, duration conflicts) all return structured errors.</w:t>
      </w:r>
    </w:p>
    <w:p w14:paraId="738BDDB6">
      <w:pPr>
        <w:pStyle w:val="3"/>
        <w:spacing w:before="280" w:after="140"/>
      </w:pPr>
      <w:r>
        <w:t>4.10 Rendering Contract (RENDER-01)</w:t>
      </w:r>
    </w:p>
    <w:p w14:paraId="6D6EA882">
      <w:pPr>
        <w:pStyle w:val="16"/>
        <w:numPr>
          <w:ilvl w:val="0"/>
          <w:numId w:val="1"/>
        </w:numPr>
        <w:spacing w:after="80"/>
      </w:pPr>
      <w:r>
        <w:t>Interface landed: the Renderer / RenderOptions / RenderCapabilities / RenderedSlide / RenderAll contract (the render subpackage)</w:t>
      </w:r>
    </w:p>
    <w:p w14:paraId="64C08CD1">
      <w:pPr>
        <w:pStyle w:val="16"/>
        <w:numPr>
          <w:ilvl w:val="0"/>
          <w:numId w:val="1"/>
        </w:numPr>
        <w:spacing w:after="80"/>
      </w:pPr>
      <w:r>
        <w:t>Implementation not yet chartered: native rendering is not part of the core milestones per ADR-014; the interface already compiles under wasm</w:t>
      </w:r>
    </w:p>
    <w:p w14:paraId="6048DAD2">
      <w:pPr>
        <w:pStyle w:val="16"/>
        <w:numPr>
          <w:ilvl w:val="0"/>
          <w:numId w:val="1"/>
        </w:numPr>
        <w:spacing w:after="80"/>
      </w:pPr>
      <w:r>
        <w:t>Honest disclosure: the rendering.native capability status is truthfully kept as Untested in the Capability Manifest</w:t>
      </w:r>
    </w:p>
    <w:p w14:paraId="3D4BFEDD">
      <w:r>
        <w:br w:type="page"/>
      </w:r>
    </w:p>
    <w:p w14:paraId="39772E22">
      <w:pPr>
        <w:pStyle w:val="2"/>
        <w:spacing w:before="360" w:after="200"/>
      </w:pPr>
      <w:r>
        <w:t>5. API Stability Tier System</w:t>
      </w:r>
    </w:p>
    <w:p w14:paraId="30E633B5">
      <w:pPr>
        <w:spacing w:after="160" w:line="300" w:lineRule="auto"/>
      </w:pPr>
      <w:r>
        <w:t>go-pptx publicly commits to a three-tier stability system (ADR-015), marked solely via godoc comment blocks: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800"/>
        <w:gridCol w:w="4000"/>
      </w:tblGrid>
      <w:tr w14:paraId="73025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F09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67AC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godoc Marker</w:t>
            </w:r>
          </w:p>
        </w:tc>
        <w:tc>
          <w:tcPr>
            <w:tcW w:w="4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85F3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Compatibility Commitment</w:t>
            </w:r>
          </w:p>
        </w:tc>
      </w:tr>
      <w:tr w14:paraId="754E4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752E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Stable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F9EE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// Stable: &lt;reason&gt;, placed directly above the type/func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61C7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Backward-compatible after v2.0 — additive-only, never breaking; behavior/semantics may be tightened but never loosened; deprecation is allowed but a replacement entry point must remain available for at least two minor versions</w:t>
            </w:r>
          </w:p>
        </w:tc>
      </w:tr>
      <w:tr w14:paraId="41173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18A0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API (default)</w:t>
            </w:r>
          </w:p>
        </w:tc>
        <w:tc>
          <w:tcPr>
            <w:tcW w:w="3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6882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 marker</w:t>
            </w:r>
          </w:p>
        </w:tc>
        <w:tc>
          <w:tcPr>
            <w:tcW w:w="4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89F7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Fields may still be adjusted before the v2.x lock-in; the lock-in commitment is governed by ADR-015's "v2.0 lock-in process"</w:t>
            </w:r>
          </w:p>
        </w:tc>
      </w:tr>
      <w:tr w14:paraId="0A4FE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A00A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Deprecated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9471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The standard Go 1.19+ // Deprecated: &lt;replacement&gt; marker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1EDC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Generally not introduced during v2.x; kept for at least two minor versions</w:t>
            </w:r>
          </w:p>
        </w:tc>
      </w:tr>
    </w:tbl>
    <w:p w14:paraId="0A8B16C9">
      <w:pPr>
        <w:spacing w:after="160" w:line="300" w:lineRule="auto"/>
      </w:pPr>
      <w:r>
        <w:t>Error codes / error types are Stable by default — error codes are a hard constraint of the API compatibility contract (17 Err* sentinels + OperationError).</w:t>
      </w:r>
    </w:p>
    <w:p w14:paraId="6E1ECB84">
      <w:pPr>
        <w:pStyle w:val="3"/>
        <w:spacing w:before="280" w:after="140"/>
      </w:pPr>
      <w:r>
        <w:t>5.1 The V2.0 Frozen Surface (Golden-Sample Gate, pptx/api_surface_test.go)</w:t>
      </w:r>
    </w:p>
    <w:p w14:paraId="1A04838B">
      <w:pPr>
        <w:spacing w:after="160" w:line="300" w:lineRule="auto"/>
      </w:pPr>
      <w:r>
        <w:t>The V2.0.1 golden values (the authoritative source of truth for documentation):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0"/>
        <w:gridCol w:w="4200"/>
      </w:tblGrid>
      <w:tr w14:paraId="631AB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F41F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DDD1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14:paraId="5D530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4239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Total public API types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710A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166</w:t>
            </w:r>
          </w:p>
        </w:tc>
      </w:tr>
      <w:tr w14:paraId="422B7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3EC9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// Stable: comment blocks</w:t>
            </w:r>
          </w:p>
        </w:tc>
        <w:tc>
          <w:tcPr>
            <w:tcW w:w="4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6FE2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42</w:t>
            </w:r>
          </w:p>
        </w:tc>
      </w:tr>
      <w:tr w14:paraId="718B5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7E36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Stable symbols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C710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65</w:t>
            </w:r>
          </w:p>
        </w:tc>
      </w:tr>
      <w:tr w14:paraId="7C0CC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3624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Stable methods</w:t>
            </w:r>
          </w:p>
        </w:tc>
        <w:tc>
          <w:tcPr>
            <w:tcW w:w="4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F9AC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134</w:t>
            </w:r>
          </w:p>
        </w:tc>
      </w:tr>
      <w:tr w14:paraId="78AF7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9EC2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// Experimental: comment blocks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9537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0783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341F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Error sentinels</w:t>
            </w:r>
          </w:p>
        </w:tc>
        <w:tc>
          <w:tcPr>
            <w:tcW w:w="4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A92B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17</w:t>
            </w:r>
          </w:p>
        </w:tc>
      </w:tr>
    </w:tbl>
    <w:p w14:paraId="31C042E5">
      <w:pPr>
        <w:spacing w:after="160" w:line="300" w:lineRule="auto"/>
      </w:pPr>
      <w:r>
        <w:t>V2.0.1 is a pure addition relative to V2.0.0 (zero breaking changes): three new type aliases — pptx.Budget / pptx.Durability / pptx.PartName — were added (all in pptx/aliases.go, Stable), together with a pptx.DefaultBudget() constructor and the pptx.DurabilityDefault / pptx.DurabilityFull value constants; pptx.PartName's String() / Valid() / EntryName() joined the Stable method surface. The aliases and the underlying internal/opc entities are the same type — zero conversion, zero semantic drift. This closes a contract gap where WithBudget and similar options previously referenced internal types directly, making them unreferenceable from outside the module (a "use of internal package" compile error).</w:t>
      </w:r>
    </w:p>
    <w:p w14:paraId="14A4ED7E">
      <w:pPr>
        <w:spacing w:after="160" w:line="300" w:lineRule="auto"/>
      </w:pPr>
      <w:r>
        <w:rPr>
          <w:i/>
          <w:iCs/>
          <w:color w:val="C0392B"/>
        </w:rPr>
        <w:t>Known golden-sample gate blind spot (V2.0.1): api_surface_test.go's loadAPISurface only walks *ast.GenDecl nodes, so the addition or removal of top-level exported functions (e.g. DefaultBudget / New / Open / PartBytes) does not trigger any gate failure. New function-style API additions must be manually cross-checked against docs/api-reference.md and the RELEASE-NOTES counts.</w:t>
      </w:r>
    </w:p>
    <w:p w14:paraId="3E5C2D34">
      <w:pPr>
        <w:pStyle w:val="3"/>
        <w:spacing w:before="280" w:after="140"/>
      </w:pPr>
      <w:r>
        <w:t>5.2 Promotion / Demotion Rules (ADR-015 "Decision")</w:t>
      </w:r>
    </w:p>
    <w:p w14:paraId="1D4AA334">
      <w:pPr>
        <w:pStyle w:val="16"/>
        <w:numPr>
          <w:ilvl w:val="0"/>
          <w:numId w:val="1"/>
        </w:numPr>
        <w:spacing w:after="80"/>
      </w:pPr>
      <w:r>
        <w:t>Promotion: the public-surface contract must be shown to have converged, with a fallback path on failure, and must be logged in ADR-015's #changelog</w:t>
      </w:r>
    </w:p>
    <w:p w14:paraId="3B1DD35F">
      <w:pPr>
        <w:pStyle w:val="16"/>
        <w:numPr>
          <w:ilvl w:val="0"/>
          <w:numId w:val="1"/>
        </w:numPr>
        <w:spacing w:after="80"/>
      </w:pPr>
      <w:r>
        <w:t>Demotion: treated as a breaking change — it must go through ADR review, be logged in a "breaking change announcement" section at the top of the tracking document, and coexist with a replacement entry point for at least two minor versions</w:t>
      </w:r>
    </w:p>
    <w:p w14:paraId="505FBAA7">
      <w:pPr>
        <w:pStyle w:val="16"/>
        <w:numPr>
          <w:ilvl w:val="0"/>
          <w:numId w:val="1"/>
        </w:numPr>
        <w:spacing w:after="80"/>
      </w:pPr>
      <w:r>
        <w:t>New Stable additions: limited to "universal object-model entry points" or "error/diagnostic contracts"; additive work otherwise defaults to the API tier</w:t>
      </w:r>
    </w:p>
    <w:p w14:paraId="3FAC1BFD">
      <w:r>
        <w:br w:type="page"/>
      </w:r>
    </w:p>
    <w:p w14:paraId="1FCEFA14">
      <w:pPr>
        <w:pStyle w:val="2"/>
        <w:spacing w:before="360" w:after="200"/>
      </w:pPr>
      <w:r>
        <w:t>6. Quality Assurance &amp; Engineering Discipline</w:t>
      </w:r>
    </w:p>
    <w:p w14:paraId="529F73FA">
      <w:pPr>
        <w:pStyle w:val="3"/>
        <w:spacing w:before="280" w:after="140"/>
      </w:pPr>
      <w:r>
        <w:t>6.1 Test Matrix</w:t>
      </w:r>
    </w:p>
    <w:p w14:paraId="42E7BB49">
      <w:pPr>
        <w:spacing w:after="160" w:line="300" w:lineRule="auto"/>
      </w:pPr>
      <w:r>
        <w:t>CI runs the following on every push and pull request: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800"/>
      </w:tblGrid>
      <w:tr w14:paraId="3DA54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E4D1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Job</w:t>
            </w:r>
          </w:p>
        </w:tc>
        <w:tc>
          <w:tcPr>
            <w:tcW w:w="6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8F18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14:paraId="627D9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1DFE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lint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0402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gofmt -l . plus go vet (default and the corpus build tag)</w:t>
            </w:r>
          </w:p>
        </w:tc>
      </w:tr>
      <w:tr w14:paraId="166BC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EC97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Default tests</w:t>
            </w:r>
          </w:p>
        </w:tc>
        <w:tc>
          <w:tcPr>
            <w:tcW w:w="6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12F5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 test ./... (28 packages pass)</w:t>
            </w:r>
          </w:p>
        </w:tc>
      </w:tr>
      <w:tr w14:paraId="19435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2DEE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corpus-replay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70EF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 test -tags=corpus ./... -v (28 packages pass, including byte-level B1 golden-sample comparison)</w:t>
            </w:r>
          </w:p>
        </w:tc>
      </w:tr>
      <w:tr w14:paraId="016BF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4C4C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Cross-build</w:t>
            </w:r>
          </w:p>
        </w:tc>
        <w:tc>
          <w:tcPr>
            <w:tcW w:w="6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F4D7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Five targets: js/wasm / darwin/arm64 / wasip1/wasm / linux/arm64 / windows/amd64</w:t>
            </w:r>
          </w:p>
        </w:tc>
      </w:tr>
      <w:tr w14:paraId="382F5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872C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coverage-gate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8834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scripts/coverage/gate.sh (COV-01..04 thresholds, every package registered; an unregistered package fails)</w:t>
            </w:r>
          </w:p>
        </w:tc>
      </w:tr>
      <w:tr w14:paraId="0246C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C34B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perf-smoke</w:t>
            </w:r>
          </w:p>
        </w:tc>
        <w:tc>
          <w:tcPr>
            <w:tcW w:w="6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018D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Benchmark suite compiles, all three corpus tiers execute, the report generator parses correctly, pkg-bytes lower-bound guard</w:t>
            </w:r>
          </w:p>
        </w:tc>
      </w:tr>
    </w:tbl>
    <w:p w14:paraId="20599051">
      <w:pPr>
        <w:pStyle w:val="3"/>
        <w:spacing w:before="280" w:after="140"/>
      </w:pPr>
      <w:r>
        <w:t>6.2 Real-Corpus Regression (CORPUS-01)</w:t>
      </w:r>
    </w:p>
    <w:p w14:paraId="46D8944D">
      <w:pPr>
        <w:pStyle w:val="16"/>
        <w:numPr>
          <w:ilvl w:val="0"/>
          <w:numId w:val="1"/>
        </w:numPr>
        <w:spacing w:after="80"/>
      </w:pPr>
      <w:r>
        <w:t>Public samples (CI-reproducible): 3 LibreOffice-generated golden samples (s001-text / s002-table / s003-image) with full redistribution rights</w:t>
      </w:r>
    </w:p>
    <w:p w14:paraId="15D371AB">
      <w:pPr>
        <w:pStyle w:val="16"/>
        <w:numPr>
          <w:ilvl w:val="0"/>
          <w:numId w:val="1"/>
        </w:numPr>
        <w:spacing w:after="80"/>
      </w:pPr>
      <w:r>
        <w:t>Private samples (indexed but not redistributed): 33 ext-* samples (including WPS-sourced and license-restricted samples) exist as an index only, not included in the open-source distribution</w:t>
      </w:r>
    </w:p>
    <w:p w14:paraId="231DE0D4">
      <w:pPr>
        <w:pStyle w:val="16"/>
        <w:numPr>
          <w:ilvl w:val="0"/>
          <w:numId w:val="1"/>
        </w:numPr>
        <w:spacing w:after="80"/>
      </w:pPr>
      <w:r>
        <w:t>Golden-sample validation contract: the gate requires byte-level identity to the original after replay; any new diff region introduced by a change must be locked down by a regression test</w:t>
      </w:r>
    </w:p>
    <w:p w14:paraId="62C6055F">
      <w:pPr>
        <w:pStyle w:val="16"/>
        <w:numPr>
          <w:ilvl w:val="0"/>
          <w:numId w:val="1"/>
        </w:numPr>
        <w:spacing w:after="80"/>
      </w:pPr>
      <w:r>
        <w:t>Vertical verification: for ext-0024, a single-Run replacement's diff region converges to 1 byte (automated)</w:t>
      </w:r>
    </w:p>
    <w:p w14:paraId="4045C392">
      <w:pPr>
        <w:pStyle w:val="3"/>
        <w:spacing w:before="280" w:after="140"/>
      </w:pPr>
      <w:r>
        <w:t>6.3 Performance Baseline (PERF-01) and the V2.0.1 Performance Fix</w:t>
      </w:r>
    </w:p>
    <w:p w14:paraId="1BC2E271">
      <w:pPr>
        <w:spacing w:after="160" w:line="300" w:lineRule="auto"/>
      </w:pPr>
      <w:r>
        <w:t>Three corpus tiers (docs/PERF-01-性能基线.md): 10p-text (10 text-only slides), 50p-image (50 slides + small images), and 100p-media (100 slides + 20 distinct large images). Six benchmark categories: Open / Traverse / Replace / SaveMem / SaveDisk / PeakHeap.</w:t>
      </w:r>
    </w:p>
    <w:p w14:paraId="62F740E5">
      <w:pPr>
        <w:spacing w:after="160" w:line="300" w:lineRule="auto"/>
      </w:pPr>
      <w:r>
        <w:rPr>
          <w:b/>
          <w:bCs/>
        </w:rPr>
        <w:t>Measured V2.0.1 performance fix (BenchmarkPerfTraverse/100p-media, -benchtime=6x):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600"/>
        <w:gridCol w:w="2600"/>
        <w:gridCol w:w="1800"/>
      </w:tblGrid>
      <w:tr w14:paraId="25F79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02EB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E61E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Before Fix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236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After Fix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CAFC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Reduction</w:t>
            </w:r>
          </w:p>
        </w:tc>
      </w:tr>
      <w:tr w14:paraId="7D199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F24C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Latency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A447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16.40 ms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5CFD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3.96 ms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EA9D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−75.8%</w:t>
            </w:r>
          </w:p>
        </w:tc>
      </w:tr>
      <w:tr w14:paraId="59EB2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0268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Memory</w:t>
            </w:r>
          </w:p>
        </w:tc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A717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26.77 MB</w:t>
            </w:r>
          </w:p>
        </w:tc>
        <w:tc>
          <w:tcPr>
            <w:tcW w:w="26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94F7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1.17 MB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C2DB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−95.6%</w:t>
            </w:r>
          </w:p>
        </w:tc>
      </w:tr>
      <w:tr w14:paraId="26EB4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CDD0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Allocations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8F42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223,284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5965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10,713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B6FC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−95.2%</w:t>
            </w:r>
          </w:p>
        </w:tc>
      </w:tr>
    </w:tbl>
    <w:p w14:paraId="11A8DAF4">
      <w:pPr>
        <w:spacing w:after="160" w:line="300" w:lineRule="auto"/>
      </w:pPr>
      <w:r>
        <w:t>Root cause: Presentation.Slides() previously called relsOf(p.main) repeatedly inside a loop (a loop-invariant computation), and AddPicture's dedup logic re-read every already-stored media byte stream in full and re-hashed it with SHA256 for each new insertion (an O(N²) pattern). V2.0.1 hoists the relationship resolution out of the loop and adds a revision-invalidated media-hash cache.</w:t>
      </w:r>
    </w:p>
    <w:p w14:paraId="0CC24518">
      <w:pPr>
        <w:spacing w:after="160" w:line="300" w:lineRule="auto"/>
      </w:pPr>
      <w:r>
        <w:rPr>
          <w:i/>
          <w:iCs/>
          <w:color w:val="595959"/>
        </w:rPr>
        <w:t>Disclosure discipline: performance numbers are strongly tied to hardware and toolchain; cross-machine comparisons require the platform and Go version to be pinned first; claims like "N times faster than Python" are not written without an established baseline (V2.6 §15.3).</w:t>
      </w:r>
    </w:p>
    <w:p w14:paraId="5CBDED6C">
      <w:pPr>
        <w:pStyle w:val="3"/>
        <w:spacing w:before="280" w:after="140"/>
      </w:pPr>
      <w:r>
        <w:t>6.4 Fuzzing &amp; Security</w:t>
      </w:r>
    </w:p>
    <w:p w14:paraId="0DDC317B">
      <w:pPr>
        <w:pStyle w:val="16"/>
        <w:numPr>
          <w:ilvl w:val="0"/>
          <w:numId w:val="1"/>
        </w:numPr>
        <w:spacing w:after="80"/>
      </w:pPr>
      <w:r>
        <w:t>Native fuzz targets: the open path (opc.Load / opc.Scan / xmlstore.Scanner / xmlstore.Index / OpenReader), text editing (ReplaceText / SetPlainText), and template binding (FuzzBind)</w:t>
      </w:r>
    </w:p>
    <w:p w14:paraId="2D4DC959">
      <w:pPr>
        <w:pStyle w:val="16"/>
        <w:numPr>
          <w:ilvl w:val="0"/>
          <w:numId w:val="1"/>
        </w:numPr>
        <w:spacing w:after="80"/>
      </w:pPr>
      <w:r>
        <w:t>Untrusted-input protection: OPC resource budgets (entry count / central-directory size / decompression cap) reject oversized packages; V2.0.1 adds an upper bound on chart c:pt/@idx (guarding against a makeslice panic / ~16GB allocation from make([]string, max+1), reachable via the public ChartShape.Data() API) and a cap of 64 on MP4 ftyp compatible-brand collection (guarding against a 21x amplification)</w:t>
      </w:r>
    </w:p>
    <w:p w14:paraId="4CBFE98B">
      <w:pPr>
        <w:pStyle w:val="16"/>
        <w:numPr>
          <w:ilvl w:val="0"/>
          <w:numId w:val="1"/>
        </w:numPr>
        <w:spacing w:after="80"/>
      </w:pPr>
      <w:r>
        <w:t>Malformed-package handling: all three entry points (Open / OpenReader / New) return explicit errors and never panic</w:t>
      </w:r>
    </w:p>
    <w:p w14:paraId="555827F7">
      <w:pPr>
        <w:pStyle w:val="3"/>
        <w:spacing w:before="280" w:after="140"/>
      </w:pPr>
      <w:r>
        <w:t>6.5 Engineering Discipline</w:t>
      </w:r>
    </w:p>
    <w:p w14:paraId="22BC2C5E">
      <w:pPr>
        <w:pStyle w:val="16"/>
        <w:numPr>
          <w:ilvl w:val="0"/>
          <w:numId w:val="1"/>
        </w:numPr>
        <w:spacing w:after="80"/>
      </w:pPr>
      <w:r>
        <w:t>Go anti-pattern scan: only 2 places use fmt.Sprintf to assemble XML (known schema plus integer values); zero bare XML constants</w:t>
      </w:r>
    </w:p>
    <w:p w14:paraId="6B54B587">
      <w:pPr>
        <w:pStyle w:val="16"/>
        <w:numPr>
          <w:ilvl w:val="0"/>
          <w:numId w:val="1"/>
        </w:numPr>
        <w:spacing w:after="80"/>
      </w:pPr>
      <w:r>
        <w:t>Errors use error values, never panic; documentation/status files are written in Chinese; commit messages carry an "AI-assisted: WorkBuddy" annotation (per V1.4 conventions)</w:t>
      </w:r>
    </w:p>
    <w:p w14:paraId="6EF38A2C">
      <w:pPr>
        <w:pStyle w:val="16"/>
        <w:numPr>
          <w:ilvl w:val="0"/>
          <w:numId w:val="1"/>
        </w:numPr>
        <w:spacing w:after="80"/>
      </w:pPr>
      <w:r>
        <w:t>internal/archlint folds dependency-direction checking into go test, so new packages and reverse dependencies are immediately visible</w:t>
      </w:r>
    </w:p>
    <w:p w14:paraId="41930BDC">
      <w:pPr>
        <w:pStyle w:val="16"/>
        <w:numPr>
          <w:ilvl w:val="0"/>
          <w:numId w:val="1"/>
        </w:numPr>
        <w:spacing w:after="80"/>
      </w:pPr>
      <w:r>
        <w:t>Repository-level git identity: go-pptx-dev &lt;go-pptx-dev@local&gt; (used only within the repository, never published externally)</w:t>
      </w:r>
    </w:p>
    <w:p w14:paraId="2F9EE5FF">
      <w:r>
        <w:br w:type="page"/>
      </w:r>
    </w:p>
    <w:p w14:paraId="38EE29BD">
      <w:pPr>
        <w:pStyle w:val="2"/>
        <w:spacing w:before="360" w:after="200"/>
      </w:pPr>
      <w:r>
        <w:t>7. Toolchain &amp; Command Line Interface</w:t>
      </w:r>
    </w:p>
    <w:p w14:paraId="6CD087D8">
      <w:pPr>
        <w:spacing w:after="160" w:line="300" w:lineRule="auto"/>
      </w:pPr>
      <w:r>
        <w:t>The cmd/pptx submodule provides 9 functional CLI subcommands (plus -h/--help and --version):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800"/>
        <w:gridCol w:w="2400"/>
      </w:tblGrid>
      <w:tr w14:paraId="595A8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7E3E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Subcommand</w:t>
            </w:r>
          </w:p>
        </w:tc>
        <w:tc>
          <w:tcPr>
            <w:tcW w:w="3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D7B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624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Typical Use</w:t>
            </w:r>
          </w:p>
        </w:tc>
      </w:tr>
      <w:tr w14:paraId="61808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3E2C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capability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CE81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Print the six-dimensional capability manifest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08B3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Environment audit / pre-deployment capability check</w:t>
            </w:r>
          </w:p>
        </w:tc>
      </w:tr>
      <w:tr w14:paraId="7FFE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5A69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inspect</w:t>
            </w:r>
          </w:p>
        </w:tc>
        <w:tc>
          <w:tcPr>
            <w:tcW w:w="3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C3A3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Read-only report (geometry / fill / effects / style matrix / layout info)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82D3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Content audit / debugging</w:t>
            </w:r>
          </w:p>
        </w:tc>
      </w:tr>
      <w:tr w14:paraId="3166E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8EC8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validate &lt;file&gt;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BA7B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Diagnostic report (level controlled by ValidateOption)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D69C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Pre-release self-check</w:t>
            </w:r>
          </w:p>
        </w:tc>
      </w:tr>
      <w:tr w14:paraId="3B065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F32B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replace</w:t>
            </w:r>
          </w:p>
        </w:tc>
        <w:tc>
          <w:tcPr>
            <w:tcW w:w="3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BB31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Bulk text/field replacement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2D30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Template filling</w:t>
            </w:r>
          </w:p>
        </w:tc>
      </w:tr>
      <w:tr w14:paraId="63BA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DC43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narrate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6CBD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Export notes as a voice-over/narration text source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812A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Auto-narration pipeline</w:t>
            </w:r>
          </w:p>
        </w:tc>
      </w:tr>
      <w:tr w14:paraId="6DBC1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F5F5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timing-plan</w:t>
            </w:r>
          </w:p>
        </w:tc>
        <w:tc>
          <w:tcPr>
            <w:tcW w:w="3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56AF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Export a slide-advance timing plan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8354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Playback scheduling</w:t>
            </w:r>
          </w:p>
        </w:tc>
      </w:tr>
      <w:tr w14:paraId="3CAF8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9555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export-ir [--output|--stdout]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DDE3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Export a read-only IR as JSON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A9C9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Third-party consumption / debugging</w:t>
            </w:r>
          </w:p>
        </w:tc>
      </w:tr>
      <w:tr w14:paraId="180B2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BFE5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bind &lt;tpl&gt; &lt;data&gt; &lt;out&gt;</w:t>
            </w:r>
          </w:p>
        </w:tc>
        <w:tc>
          <w:tcPr>
            <w:tcW w:w="3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1E54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Template data binding ({{path}} / {{#if}} / {{#each}})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84FB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Bulk report generation</w:t>
            </w:r>
          </w:p>
        </w:tc>
      </w:tr>
      <w:tr w14:paraId="7E4AE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7A2D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pptx diff &lt;a&gt; &lt;b&gt;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2B8D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Semantic diff between two documents (go-pptx.diff/1.0)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D806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Regression audit / document comparison</w:t>
            </w:r>
          </w:p>
        </w:tc>
      </w:tr>
    </w:tbl>
    <w:p w14:paraId="1ABD6A46">
      <w:pPr>
        <w:spacing w:after="160" w:line="300" w:lineRule="auto"/>
      </w:pPr>
      <w:r>
        <w:rPr>
          <w:i/>
          <w:iCs/>
          <w:color w:val="595959"/>
        </w:rPr>
        <w:t>CLI robustness (V2.0.1): a subcommand's --help writes to stdout and exits 0; genuine argument errors write to stderr and exit 2; overwrite protection is now decided by the library in a single atomic check (ErrOutputExists), eliminating the stat-then-save TOCTOU race.</w:t>
      </w:r>
    </w:p>
    <w:p w14:paraId="3A70F0FC">
      <w:pPr>
        <w:pStyle w:val="3"/>
        <w:spacing w:before="280" w:after="140"/>
      </w:pPr>
      <w:r>
        <w:t>7.1 Capability Manifest (Six Dimensions)</w:t>
      </w:r>
    </w:p>
    <w:tbl>
      <w:tblPr>
        <w:tblStyle w:val="11"/>
        <w:tblW w:w="9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6000"/>
      </w:tblGrid>
      <w:tr w14:paraId="663B9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11D5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C1F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9D1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5103C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6244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Inspect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287C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Supported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1D91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Full read-only inspection capability</w:t>
            </w:r>
          </w:p>
        </w:tc>
      </w:tr>
      <w:tr w14:paraId="0C807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481B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Create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8DE2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Partial</w:t>
            </w:r>
          </w:p>
        </w:tc>
        <w:tc>
          <w:tcPr>
            <w:tcW w:w="6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6703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Can create content using supported features</w:t>
            </w:r>
          </w:p>
        </w:tc>
      </w:tr>
      <w:tr w14:paraId="20C04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9352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Edit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5296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Partial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8E0B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TEXT-02 cross-Run editing + tables + media + clone + bind</w:t>
            </w:r>
          </w:p>
        </w:tc>
      </w:tr>
      <w:tr w14:paraId="55259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AFDB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Preserve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5FBE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Supported</w:t>
            </w:r>
          </w:p>
        </w:tc>
        <w:tc>
          <w:tcPr>
            <w:tcW w:w="6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6B73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Byte-level fidelity (vertically verified: the ext-0024 single-Run diff converges to 1 byte)</w:t>
            </w:r>
          </w:p>
        </w:tc>
      </w:tr>
      <w:tr w14:paraId="2015E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F8B4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Render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7D62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Untested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969D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Interface has landed (the render subpackage); implementation not yet chartered</w:t>
            </w:r>
          </w:p>
        </w:tc>
      </w:tr>
      <w:tr w14:paraId="597BF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7C8B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Play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DA88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Partial</w:t>
            </w:r>
          </w:p>
        </w:tc>
        <w:tc>
          <w:tcPr>
            <w:tcW w:w="6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8F08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TIMIR-01 read-only timing + AUDIO-02 voice-over attachment</w:t>
            </w:r>
          </w:p>
        </w:tc>
      </w:tr>
    </w:tbl>
    <w:p w14:paraId="1D85EAD3">
      <w:pPr>
        <w:pStyle w:val="3"/>
        <w:spacing w:before="280" w:after="140"/>
      </w:pPr>
      <w:r>
        <w:t>7.2 Browser-Side WASM Tooling (wasm/check)</w:t>
      </w:r>
    </w:p>
    <w:p w14:paraId="221790AA">
      <w:pPr>
        <w:pStyle w:val="16"/>
        <w:numPr>
          <w:ilvl w:val="0"/>
          <w:numId w:val="1"/>
        </w:numPr>
        <w:spacing w:after="80"/>
      </w:pPr>
      <w:r>
        <w:t>Compiled to a single-file wasm binary with GOOS=js GOARCH=wasm</w:t>
      </w:r>
    </w:p>
    <w:p w14:paraId="5D980BA3">
      <w:pPr>
        <w:pStyle w:val="16"/>
        <w:numPr>
          <w:ilvl w:val="0"/>
          <w:numId w:val="1"/>
        </w:numPr>
        <w:spacing w:after="80"/>
      </w:pPr>
      <w:r>
        <w:t>Provides three read-only browser-side operations: check / inspect / validate</w:t>
      </w:r>
    </w:p>
    <w:p w14:paraId="2AFF300E">
      <w:pPr>
        <w:pStyle w:val="16"/>
        <w:numPr>
          <w:ilvl w:val="0"/>
          <w:numId w:val="1"/>
        </w:numPr>
        <w:spacing w:after="80"/>
      </w:pPr>
      <w:r>
        <w:t>Typical use: client-side pre-checks before upload, or audits where sensitive PPT files must not be uploaded to a server</w:t>
      </w:r>
    </w:p>
    <w:p w14:paraId="50EE4587">
      <w:r>
        <w:br w:type="page"/>
      </w:r>
    </w:p>
    <w:p w14:paraId="5CD8CF82">
      <w:pPr>
        <w:pStyle w:val="2"/>
        <w:spacing w:before="360" w:after="200"/>
      </w:pPr>
      <w:r>
        <w:t>8. Product Differentiators</w:t>
      </w:r>
    </w:p>
    <w:p w14:paraId="2B6E7A64">
      <w:pPr>
        <w:pStyle w:val="3"/>
        <w:spacing w:before="280" w:after="140"/>
      </w:pPr>
      <w:r>
        <w:t>8.1 Positioning Against Mainstream Alternatives</w:t>
      </w:r>
    </w:p>
    <w:tbl>
      <w:tblPr>
        <w:tblStyle w:val="11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2400"/>
        <w:gridCol w:w="2400"/>
      </w:tblGrid>
      <w:tr w14:paraId="42020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92F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0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1DA3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go-pptx V2.0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E022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python-pptx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2561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Other Go Libraries</w:t>
            </w:r>
          </w:p>
        </w:tc>
      </w:tr>
      <w:tr w14:paraId="09435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23E8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Language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73A3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6AA4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Python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62D5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</w:t>
            </w:r>
          </w:p>
        </w:tc>
      </w:tr>
      <w:tr w14:paraId="3DF0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B5A3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CGO</w:t>
            </w:r>
          </w:p>
        </w:tc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9094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CGO=0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D0CE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8213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Mostly cgo-dependent</w:t>
            </w:r>
          </w:p>
        </w:tc>
      </w:tr>
      <w:tr w14:paraId="7F426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8378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Cross-platform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272B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5-platform CI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0877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Limited by the Python interpreter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FDF8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Mostly linux/darwin only</w:t>
            </w:r>
          </w:p>
        </w:tc>
      </w:tr>
      <w:tr w14:paraId="04C66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B7C5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Byte-level fidelity</w:t>
            </w:r>
          </w:p>
        </w:tc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5203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Yes (xmlstore span patch)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E3B3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Partial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84AA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</w:t>
            </w:r>
          </w:p>
        </w:tc>
      </w:tr>
      <w:tr w14:paraId="0A4B3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1C52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Controlled edit failure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9F90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Explicit errors (Diagnostic/Severity)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04E3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Partially throws exceptions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0056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Mostly silent corruption</w:t>
            </w:r>
          </w:p>
        </w:tc>
      </w:tr>
      <w:tr w14:paraId="3D04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F21A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API stability tiering</w:t>
            </w:r>
          </w:p>
        </w:tc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5234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Three tiers + godoc markers (ADR-015)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40A7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B558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None</w:t>
            </w:r>
          </w:p>
        </w:tc>
      </w:tr>
      <w:tr w14:paraId="45C1A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B6C5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Real-corpus regression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2E38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36-sample index + 3 public golden samples in CI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8574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 enforced mechanism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260E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None</w:t>
            </w:r>
          </w:p>
        </w:tc>
      </w:tr>
      <w:tr w14:paraId="1307F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4352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Built-in fuzzing</w:t>
            </w:r>
          </w:p>
        </w:tc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2D36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Native targets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F59D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C0EB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Very rare</w:t>
            </w:r>
          </w:p>
        </w:tc>
      </w:tr>
      <w:tr w14:paraId="564E5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C210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Performance baseline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E151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 tiers x 6 categories, auto-generated reports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509E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B429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None</w:t>
            </w:r>
          </w:p>
        </w:tc>
      </w:tr>
      <w:tr w14:paraId="53168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0994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Semantic diff</w:t>
            </w:r>
          </w:p>
        </w:tc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5F04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DIFF-01 (weighted LCS + Jaccard)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420A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None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15A4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None</w:t>
            </w:r>
          </w:p>
        </w:tc>
      </w:tr>
      <w:tr w14:paraId="26B83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55E7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Browser-side WASM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6FA8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Native support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8D54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0B9F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Very rare</w:t>
            </w:r>
          </w:p>
        </w:tc>
      </w:tr>
      <w:tr w14:paraId="116D9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0F60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Architectural evolvability</w:t>
            </w:r>
          </w:p>
        </w:tc>
        <w:tc>
          <w:tcPr>
            <w:tcW w:w="30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E714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engine orchestration layer + archlint dependency gate + ooxml generation pipeline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D20E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 equivalent</w:t>
            </w:r>
          </w:p>
        </w:tc>
        <w:tc>
          <w:tcPr>
            <w:tcW w:w="2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CCF5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None</w:t>
            </w:r>
          </w:p>
        </w:tc>
      </w:tr>
    </w:tbl>
    <w:p w14:paraId="6E7B8016">
      <w:pPr>
        <w:pStyle w:val="3"/>
        <w:spacing w:before="280" w:after="140"/>
      </w:pPr>
      <w:r>
        <w:t>8.2 Five Key Differentiators</w:t>
      </w:r>
    </w:p>
    <w:p w14:paraId="155E4FAA">
      <w:pPr>
        <w:spacing w:after="160" w:line="300" w:lineRule="auto"/>
      </w:pPr>
      <w:r>
        <w:rPr>
          <w:b/>
          <w:bCs/>
        </w:rPr>
        <w:t>1. Server-native and cross-platform</w:t>
      </w:r>
    </w:p>
    <w:p w14:paraId="1227B7BC">
      <w:pPr>
        <w:spacing w:after="160" w:line="300" w:lineRule="auto"/>
      </w:pPr>
      <w:r>
        <w:t>The only PPTX library with CI-verified support across js/wasm, darwin/arm64, wasip1/wasm, linux/arm64, and windows/amd64; it can serve as a static dependency of any Go service without introducing an interpreter or a C toolchain.</w:t>
      </w:r>
    </w:p>
    <w:p w14:paraId="77713E19">
      <w:pPr>
        <w:spacing w:after="160" w:line="300" w:lineRule="auto"/>
      </w:pPr>
      <w:r>
        <w:rPr>
          <w:b/>
          <w:bCs/>
        </w:rPr>
        <w:t>2. Fidelity-controlled, byte-level editing</w:t>
      </w:r>
    </w:p>
    <w:p w14:paraId="0B5FC4A1">
      <w:pPr>
        <w:spacing w:after="160" w:line="300" w:lineRule="auto"/>
      </w:pPr>
      <w:r>
        <w:t>The xmlstore span-patch engine guarantees untouched subtrees are preserved byte-for-byte, while rejecting unsafe operations rather than silently corrupting data — this is the core of its engineering reliability.</w:t>
      </w:r>
    </w:p>
    <w:p w14:paraId="5A6D2571">
      <w:pPr>
        <w:spacing w:after="160" w:line="300" w:lineRule="auto"/>
      </w:pPr>
      <w:r>
        <w:rPr>
          <w:b/>
          <w:bCs/>
        </w:rPr>
        <w:t>3. A three-tier API stability commitment</w:t>
      </w:r>
    </w:p>
    <w:p w14:paraId="50A2E937">
      <w:pPr>
        <w:spacing w:after="160" w:line="300" w:lineRule="auto"/>
      </w:pPr>
      <w:r>
        <w:t>ADR-015 godoc markers, promotion/demotion rules, a golden-sample gate, and publicly tracked implementation status let downstream consumers make upgrade decisions based on a written commitment.</w:t>
      </w:r>
    </w:p>
    <w:p w14:paraId="4AEA428E">
      <w:pPr>
        <w:spacing w:after="160" w:line="300" w:lineRule="auto"/>
      </w:pPr>
      <w:r>
        <w:rPr>
          <w:b/>
          <w:bCs/>
        </w:rPr>
        <w:t>4. Real-corpus regression, performance guardrails, and fuzzing together</w:t>
      </w:r>
    </w:p>
    <w:p w14:paraId="48B2F706">
      <w:pPr>
        <w:spacing w:after="160" w:line="300" w:lineRule="auto"/>
      </w:pPr>
      <w:r>
        <w:t>A 36-sample index, 3 public golden samples auto-replayed in CI, a three-tier performance baseline, a coverage-gate applied package-wide, and native fuzz targets — separating "it works" from "it keeps working" as two distinct, measured properties.</w:t>
      </w:r>
    </w:p>
    <w:p w14:paraId="49E9DAE0">
      <w:pPr>
        <w:spacing w:after="160" w:line="300" w:lineRule="auto"/>
      </w:pPr>
      <w:r>
        <w:rPr>
          <w:b/>
          <w:bCs/>
        </w:rPr>
        <w:t>5. A complete pipeline from editor to browser, with an evolvable architecture</w:t>
      </w:r>
    </w:p>
    <w:p w14:paraId="7FF535A7">
      <w:pPr>
        <w:spacing w:after="160" w:line="300" w:lineRule="auto"/>
      </w:pPr>
      <w:r>
        <w:t>Server-side editing → semantic diff → bulk template binding → native read-only browser auditing, all closed within one codebase and one real-corpus regression system; the engine / archlint / ooxml generation pipeline lets the internal implementation evolve vertically without leaking into the public facade.</w:t>
      </w:r>
    </w:p>
    <w:p w14:paraId="19245046">
      <w:r>
        <w:br w:type="page"/>
      </w:r>
    </w:p>
    <w:p w14:paraId="4F4C08C2">
      <w:pPr>
        <w:pStyle w:val="2"/>
        <w:spacing w:before="360" w:after="200"/>
      </w:pPr>
      <w:r>
        <w:t>9. Technical Innovations</w:t>
      </w:r>
    </w:p>
    <w:p w14:paraId="6968BAD4">
      <w:pPr>
        <w:pStyle w:val="3"/>
        <w:spacing w:before="280" w:after="140"/>
      </w:pPr>
      <w:r>
        <w:t xml:space="preserve">9.1 STALE-GUARD: A Three-Layer Closed Loop for Handle Identity </w:t>
      </w:r>
      <w:bookmarkStart w:id="0" w:name="_GoBack"/>
      <w:bookmarkEnd w:id="0"/>
    </w:p>
    <w:p w14:paraId="6D78E8BB">
      <w:pPr>
        <w:spacing w:after="160" w:line="300" w:lineRule="auto"/>
      </w:pPr>
      <w:r>
        <w:rPr>
          <w:b/>
          <w:bCs/>
        </w:rPr>
        <w:t>Problem: any "handle-style API" must answer "how does a handle fail safely?" The common industry approach is to maintain a separate ID table, which creates two sources of truth and is bug-prone.</w:t>
      </w:r>
    </w:p>
    <w:p w14:paraId="266A769B">
      <w:pPr>
        <w:spacing w:after="160" w:line="300" w:lineRule="auto"/>
      </w:pPr>
      <w:r>
        <w:t>go-pptx's approach: every handle's identity is the owning shape's cNvPr@id (already required by OOXML to be globally unique within spTree); the path is used only as a parent-container hint; the locate flow compares the nearest p:sp / p:cxnSp / p:graphicFrame / p:grpSp's cNvPr@id against the hint; hint=0 falls back to pure path-based resolution.</w:t>
      </w:r>
    </w:p>
    <w:p w14:paraId="2C305A92">
      <w:pPr>
        <w:spacing w:after="160" w:line="300" w:lineRule="auto"/>
      </w:pPr>
      <w:r>
        <w:t>The innovation: reusing identity that OOXML already provides demotes "handle validity" from component-maintained metadata to a derivable property of the underlying XML. V2.0.1 further makes Close() idempotent, making handle-invalidation semantics more robust in concurrent/defer scenarios.</w:t>
      </w:r>
    </w:p>
    <w:p w14:paraId="4AC0C628">
      <w:pPr>
        <w:pStyle w:val="3"/>
        <w:spacing w:before="280" w:after="140"/>
      </w:pPr>
      <w:r>
        <w:t>9.2 xmlstore: A Namespace-Aware, Minimally Invasive Patch Engine</w:t>
      </w:r>
    </w:p>
    <w:p w14:paraId="63C8141D">
      <w:pPr>
        <w:spacing w:after="160" w:line="300" w:lineRule="auto"/>
      </w:pPr>
      <w:r>
        <w:rPr>
          <w:b/>
          <w:bCs/>
        </w:rPr>
        <w:t>Problem: PPTX's XML is dense with namespaces; traditional XML editors either force it into a rigid schema (destroying unknown content) or fall back to full-text replacement (destroying unrelated content).</w:t>
      </w:r>
    </w:p>
    <w:p w14:paraId="6430B3C2">
      <w:pPr>
        <w:spacing w:after="160" w:line="300" w:lineRule="auto"/>
      </w:pPr>
      <w:r>
        <w:t>go-pptx's approach: a node index tree, a span-patch engine, namespace-controlled creation of new content, and unknown-content protection. Vertical verification shows the ext-0024 single-Run replacement diff region converges to 1 byte.</w:t>
      </w:r>
    </w:p>
    <w:p w14:paraId="63917FB7">
      <w:pPr>
        <w:pStyle w:val="3"/>
        <w:spacing w:before="280" w:after="140"/>
      </w:pPr>
      <w:r>
        <w:t>9.3 DIFF-01: Dual-Similarity Slide Alignment via Weighted LCS + Jaccard</w:t>
      </w:r>
    </w:p>
    <w:p w14:paraId="09EA82A2">
      <w:pPr>
        <w:spacing w:after="160" w:line="300" w:lineRule="auto"/>
      </w:pPr>
      <w:r>
        <w:t>SlideID is used first to anchor unambiguous matches, then shape-ID Jaccard similarity pairs slides that were "moved" or "duplicated"; the go-pptx.diff/1.0 format is standalone and consumable by third parties.</w:t>
      </w:r>
    </w:p>
    <w:p w14:paraId="4C04CC7B">
      <w:pPr>
        <w:pStyle w:val="3"/>
        <w:spacing w:before="280" w:after="140"/>
      </w:pPr>
      <w:r>
        <w:t>9.4 Capability Manifest: Six-Dimensional Capability Disclosure</w:t>
      </w:r>
    </w:p>
    <w:p w14:paraId="31C9D0B4">
      <w:pPr>
        <w:spacing w:after="160" w:line="300" w:lineRule="auto"/>
      </w:pPr>
      <w:r>
        <w:t>Six dimensions (Inspect / Create / Edit / Preserve / Render / Play) x four tiers per dimension (Supported / Partial / Untested / Unsupported), exposed as consumable JSON. Treating "capability broken down by dimension and tier" as a first-class citizen (via the pptx capability CLI) makes Preserve=Supported a key selling point.</w:t>
      </w:r>
    </w:p>
    <w:p w14:paraId="3E613BE6">
      <w:pPr>
        <w:pStyle w:val="3"/>
        <w:spacing w:before="280" w:after="140"/>
      </w:pPr>
      <w:r>
        <w:t>9.5 A Three-Tier API Stability Commitment and Golden-Sample Gate (ADR-015)</w:t>
      </w:r>
    </w:p>
    <w:p w14:paraId="3E7313AF">
      <w:pPr>
        <w:spacing w:after="160" w:line="300" w:lineRule="auto"/>
      </w:pPr>
      <w:r>
        <w:t>godoc markers // Stable: / // Experimental: are declared directly in source; promotion/demotion rules are written as an ADR; pptx/api_surface_test.go freezes 166 types / 42 Stable blocks / 65 symbols / 134 methods / 17 sentinels into a compile-time gate.</w:t>
      </w:r>
    </w:p>
    <w:p w14:paraId="3E63B02D">
      <w:pPr>
        <w:pStyle w:val="3"/>
        <w:spacing w:before="280" w:after="140"/>
      </w:pPr>
      <w:r>
        <w:t>9.6 A Closed-Loop Public Golden-Sample CI Pipeline (CORP-01)</w:t>
      </w:r>
    </w:p>
    <w:p w14:paraId="5B48AFF3">
      <w:pPr>
        <w:spacing w:after="160" w:line="300" w:lineRule="auto"/>
      </w:pPr>
      <w:r>
        <w:t>Three publicly redistributable LibreOffice-generated golden samples, isolated behind //go:build corpus and auto-replayed in CI; 33 private ext-* samples exist only as an index and are excluded from open-source distribution. "Corpus reproducibility" and "real coverage" are disclosed as two independent dimensions.</w:t>
      </w:r>
    </w:p>
    <w:p w14:paraId="1EDD6CE7">
      <w:pPr>
        <w:pStyle w:val="3"/>
        <w:spacing w:before="280" w:after="140"/>
      </w:pPr>
      <w:r>
        <w:t>9.7 Atomic Save + Concurrent Revision Snapshots</w:t>
      </w:r>
    </w:p>
    <w:p w14:paraId="254F9BCC">
      <w:pPr>
        <w:spacing w:after="160" w:line="300" w:lineRule="auto"/>
      </w:pPr>
      <w:r>
        <w:t>Atomic save (temp file + fsync + rename, overwrite rejected by default); revision snapshots (a monotonically increasing Revision counter; a write through a stale-Revision handle triggers ErrConcurrentModification); V2.0.1's Durability tier plus Budget make "untrusted input" and "on-disk durability strength" explicit, configurable contracts.</w:t>
      </w:r>
    </w:p>
    <w:p w14:paraId="17A7AF05">
      <w:pPr>
        <w:pStyle w:val="3"/>
        <w:spacing w:before="280" w:after="140"/>
      </w:pPr>
      <w:r>
        <w:t>9.8 Orchestration Layer + Dependency Gate + OOXML Generation Pipeline (ADR-030, New in V2.0)</w:t>
      </w:r>
    </w:p>
    <w:p w14:paraId="018DCEE4">
      <w:pPr>
        <w:spacing w:after="160" w:line="300" w:lineRule="auto"/>
      </w:pPr>
      <w:r>
        <w:rPr>
          <w:b/>
          <w:bCs/>
        </w:rPr>
        <w:t>Problem: when a facade carries both the public API and a large amount of domain implementation, having the CLI and WASM each write their own core logic causes implementation drift and reverse dependencies.</w:t>
      </w:r>
    </w:p>
    <w:p w14:paraId="0696DA08">
      <w:pPr>
        <w:spacing w:after="160" w:line="300" w:lineRule="auto"/>
      </w:pPr>
      <w:r>
        <w:t>go-pptx's approach: (1) internal/engine unifies the Inspect/Validate/Capability/ProjectIR core for CLI and WASM; (2) internal/archlint folds dependency-direction checking into go test, making new packages and reverse dependencies immediately visible; (3) scripts/gen/schema auto-generates a read-only OOXML projection (internal/ooxml/schema) from the ECMA-376 Part 4 Transitional XSD, and projectShapes performs zero-facade-handle reads end to end.</w:t>
      </w:r>
    </w:p>
    <w:p w14:paraId="4B00AE59">
      <w:pPr>
        <w:spacing w:after="160" w:line="300" w:lineRule="auto"/>
      </w:pPr>
      <w:r>
        <w:t>The innovation: exposing "an evolvable internal architecture" as a product capability in its own right — the public facade remains zero-breaking throughout v2.x while the internal implementation can be pushed down vertically or replaced by a generation pipeline, with CI enforcing healthy dependency direction throughout.</w:t>
      </w:r>
    </w:p>
    <w:p w14:paraId="394E3AD6">
      <w:r>
        <w:br w:type="page"/>
      </w:r>
    </w:p>
    <w:p w14:paraId="739EEA04">
      <w:pPr>
        <w:pStyle w:val="2"/>
        <w:spacing w:before="360" w:after="200"/>
      </w:pPr>
      <w:r>
        <w:t>10. Typical Use Cases</w:t>
      </w:r>
    </w:p>
    <w:p w14:paraId="57F2C0F0">
      <w:pPr>
        <w:pStyle w:val="3"/>
        <w:spacing w:before="280" w:after="140"/>
      </w:pPr>
      <w:r>
        <w:t>10.1 Bulk Report / Training Material Generation</w:t>
      </w:r>
    </w:p>
    <w:p w14:paraId="0AFD8F9E">
      <w:pPr>
        <w:shd w:val="clear" w:fill="F2F2F2"/>
        <w:spacing w:before="100" w:after="0" w:line="260" w:lineRule="auto"/>
      </w:pPr>
      <w:r>
        <w:rPr>
          <w:rFonts w:ascii="Consolas" w:hAnsi="Consolas" w:eastAsia="Consolas" w:cs="Consolas"/>
          <w:sz w:val="18"/>
          <w:szCs w:val="18"/>
        </w:rPr>
        <w:t>pres, _ := pptx.Open("./quarterly-report-template.pptx")</w:t>
      </w:r>
    </w:p>
    <w:p w14:paraId="7736CE2F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data := loadQ4Financials()</w:t>
      </w:r>
    </w:p>
    <w:p w14:paraId="7FF9FAF1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out  := bytes.Buffer{}</w:t>
      </w:r>
    </w:p>
    <w:p w14:paraId="4181C09B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pres.Bind(data)                // applies {{path}} / {{#each regions}} / {{#if netPositive}}</w:t>
      </w:r>
    </w:p>
    <w:p w14:paraId="1C4998BD">
      <w:pPr>
        <w:shd w:val="clear" w:fill="F2F2F2"/>
        <w:spacing w:before="0" w:after="100" w:line="260" w:lineRule="auto"/>
      </w:pPr>
      <w:r>
        <w:rPr>
          <w:rFonts w:ascii="Consolas" w:hAnsi="Consolas" w:eastAsia="Consolas" w:cs="Consolas"/>
          <w:sz w:val="18"/>
          <w:szCs w:val="18"/>
        </w:rPr>
        <w:t>pres.Write(&amp;out)              // in-memory serialization only (pipeline-friendly)</w:t>
      </w:r>
    </w:p>
    <w:p w14:paraId="4BD19378">
      <w:pPr>
        <w:spacing w:after="160" w:line="300" w:lineRule="auto"/>
      </w:pPr>
      <w:r>
        <w:t>Applicable to: quarterly financial reports, weekly meeting decks, training materials, and proposal responses.</w:t>
      </w:r>
    </w:p>
    <w:p w14:paraId="4A5037E0">
      <w:pPr>
        <w:pStyle w:val="3"/>
        <w:spacing w:before="280" w:after="140"/>
      </w:pPr>
      <w:r>
        <w:t>10.2 Content Auditing and AI Extraction</w:t>
      </w:r>
    </w:p>
    <w:p w14:paraId="551B3E33">
      <w:pPr>
        <w:shd w:val="clear" w:fill="F2F2F2"/>
        <w:spacing w:before="100" w:after="0" w:line="260" w:lineRule="auto"/>
      </w:pPr>
      <w:r>
        <w:rPr>
          <w:rFonts w:ascii="Consolas" w:hAnsi="Consolas" w:eastAsia="Consolas" w:cs="Consolas"/>
          <w:sz w:val="18"/>
          <w:szCs w:val="18"/>
        </w:rPr>
        <w:t>pres, _ := pptx.Open("./external-deck.pptx")</w:t>
      </w:r>
    </w:p>
    <w:p w14:paraId="7A40089A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report := pres.Inspect()       // geometry / fill / effects / style matrix / layout info</w:t>
      </w:r>
    </w:p>
    <w:p w14:paraId="4945F2F3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for _, slide := range pres.Slides() {</w:t>
      </w:r>
    </w:p>
    <w:p w14:paraId="5398F96F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for _, shape := range slide.Shapes() {</w:t>
      </w:r>
    </w:p>
    <w:p w14:paraId="032FB33B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for _, para := range shape.TextFrame().Paragraphs() {</w:t>
      </w:r>
    </w:p>
    <w:p w14:paraId="556C4752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    // feed into search / RAG / content moderation</w:t>
      </w:r>
    </w:p>
    <w:p w14:paraId="7ED08CC0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  }</w:t>
      </w:r>
    </w:p>
    <w:p w14:paraId="463EC1BE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}</w:t>
      </w:r>
    </w:p>
    <w:p w14:paraId="03CDCC9F">
      <w:pPr>
        <w:shd w:val="clear" w:fill="F2F2F2"/>
        <w:spacing w:before="0" w:after="100" w:line="26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164CF9AF">
      <w:pPr>
        <w:spacing w:after="160" w:line="300" w:lineRule="auto"/>
      </w:pPr>
      <w:r>
        <w:t>Applicable to: knowledge bases, internal search, content auditing, and AI training-data extraction.</w:t>
      </w:r>
    </w:p>
    <w:p w14:paraId="283F3FF3">
      <w:pPr>
        <w:pStyle w:val="3"/>
        <w:spacing w:before="280" w:after="140"/>
      </w:pPr>
      <w:r>
        <w:t>10.3 Document Comparison and Regression Confirmation</w:t>
      </w:r>
    </w:p>
    <w:p w14:paraId="43B8D31F">
      <w:pPr>
        <w:shd w:val="clear" w:fill="F2F2F2"/>
        <w:spacing w:before="100" w:after="100" w:line="260" w:lineRule="auto"/>
      </w:pPr>
      <w:r>
        <w:rPr>
          <w:rFonts w:ascii="Consolas" w:hAnsi="Consolas" w:eastAsia="Consolas" w:cs="Consolas"/>
          <w:sz w:val="18"/>
          <w:szCs w:val="18"/>
        </w:rPr>
        <w:t>$ pptx diff ./old-version.pptx ./new-version.pptx &gt; diff.json</w:t>
      </w:r>
    </w:p>
    <w:p w14:paraId="3F648302">
      <w:pPr>
        <w:spacing w:after="160" w:line="300" w:lineRule="auto"/>
      </w:pPr>
      <w:r>
        <w:t>Applicable to: legal contract version comparison, before/after translation comparison, and editorial workflow auditing.</w:t>
      </w:r>
    </w:p>
    <w:p w14:paraId="4316CD3F">
      <w:pPr>
        <w:pStyle w:val="3"/>
        <w:spacing w:before="280" w:after="140"/>
      </w:pPr>
      <w:r>
        <w:t>10.4 Browser-Side Privacy-Sensitive Auditing (wasm/check)</w:t>
      </w:r>
    </w:p>
    <w:p w14:paraId="4CB48600">
      <w:pPr>
        <w:spacing w:after="160" w:line="300" w:lineRule="auto"/>
      </w:pPr>
      <w:r>
        <w:t>Compile pptx check to wasm and run read-only capability checks / inspect / validate entirely in the browser — files never leave the endpoint. Applicable to: law firms, healthcare, finance, and other settings where client files cannot be uploaded to a server.</w:t>
      </w:r>
    </w:p>
    <w:p w14:paraId="4CA24501">
      <w:pPr>
        <w:pStyle w:val="3"/>
        <w:spacing w:before="280" w:after="140"/>
      </w:pPr>
      <w:r>
        <w:t>10.5 Auto-Narration Product Integration (AUDIO-02 + AUTO-PPT)</w:t>
      </w:r>
    </w:p>
    <w:p w14:paraId="7FE62165">
      <w:pPr>
        <w:spacing w:after="160" w:line="300" w:lineRule="auto"/>
      </w:pPr>
      <w:r>
        <w:t>Rich-text notes become a TTS text source; audio embedding auto-populates slide durations; ErrTimingConflict / ErrDurationUnknown surface as structured repair prompts. Applicable to: online education, training automation, and accessibility support.</w:t>
      </w:r>
    </w:p>
    <w:p w14:paraId="42C5AE23">
      <w:pPr>
        <w:pStyle w:val="3"/>
        <w:spacing w:before="280" w:after="140"/>
      </w:pPr>
      <w:r>
        <w:t>10.6 Template Cloning and Personalization (CLONE-01 / CLONE-02)</w:t>
      </w:r>
    </w:p>
    <w:p w14:paraId="517CFEEC">
      <w:pPr>
        <w:shd w:val="clear" w:fill="F2F2F2"/>
        <w:spacing w:before="100" w:after="0" w:line="260" w:lineRule="auto"/>
      </w:pPr>
      <w:r>
        <w:rPr>
          <w:rFonts w:ascii="Consolas" w:hAnsi="Consolas" w:eastAsia="Consolas" w:cs="Consolas"/>
          <w:sz w:val="18"/>
          <w:szCs w:val="18"/>
        </w:rPr>
        <w:t>tpl, _ := pptx.Open("./company-template.pptx")</w:t>
      </w:r>
    </w:p>
    <w:p w14:paraId="4BAA24C7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defer tpl.Close()</w:t>
      </w:r>
    </w:p>
    <w:p w14:paraId="56EA9108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04A1B5FA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>for _, client := range clients {</w:t>
      </w:r>
    </w:p>
    <w:p w14:paraId="259A5FA9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pres, _ := pptx.New()</w:t>
      </w:r>
    </w:p>
    <w:p w14:paraId="78782209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pres.CopySlideFrom(tpl, slideIdx)         // constrained cross-document duplication</w:t>
      </w:r>
    </w:p>
    <w:p w14:paraId="5D4A9E74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pres.Slides()[0].Bind(client.Data)        // personalized data</w:t>
      </w:r>
    </w:p>
    <w:p w14:paraId="1A638728">
      <w:pPr>
        <w:shd w:val="clear" w:fill="F2F2F2"/>
        <w:spacing w:before="0" w:after="0" w:line="260" w:lineRule="auto"/>
      </w:pPr>
      <w:r>
        <w:rPr>
          <w:rFonts w:ascii="Consolas" w:hAnsi="Consolas" w:eastAsia="Consolas" w:cs="Consolas"/>
          <w:sz w:val="18"/>
          <w:szCs w:val="18"/>
        </w:rPr>
        <w:t xml:space="preserve">    pres.Save(fmt.Sprintf("./%s.pptx", client.Name), pptx.WithSaveOverwrite(true))</w:t>
      </w:r>
    </w:p>
    <w:p w14:paraId="52783EA5">
      <w:pPr>
        <w:shd w:val="clear" w:fill="F2F2F2"/>
        <w:spacing w:before="0" w:after="100" w:line="260" w:lineRule="auto"/>
      </w:pPr>
      <w:r>
        <w:rPr>
          <w:rFonts w:ascii="Consolas" w:hAnsi="Consolas" w:eastAsia="Consolas" w:cs="Consolas"/>
          <w:sz w:val="18"/>
          <w:szCs w:val="18"/>
        </w:rPr>
        <w:t>}</w:t>
      </w:r>
    </w:p>
    <w:p w14:paraId="29FD98ED">
      <w:pPr>
        <w:spacing w:after="160" w:line="300" w:lineRule="auto"/>
      </w:pPr>
      <w:r>
        <w:t>Applicable to: client proposals, personalized marketing collateral, and report distribution.</w:t>
      </w:r>
    </w:p>
    <w:p w14:paraId="4BA2B87E">
      <w:r>
        <w:br w:type="page"/>
      </w:r>
    </w:p>
    <w:p w14:paraId="5540EEF7">
      <w:pPr>
        <w:pStyle w:val="2"/>
        <w:spacing w:before="360" w:after="200"/>
      </w:pPr>
      <w:r>
        <w:t>11. Known Boundaries &amp; V2.x Roadmap</w:t>
      </w:r>
    </w:p>
    <w:p w14:paraId="74822FF9">
      <w:pPr>
        <w:pStyle w:val="3"/>
        <w:spacing w:before="280" w:after="140"/>
      </w:pPr>
      <w:r>
        <w:t>11.1 Boundaries Disclosed as of V2.0.1</w:t>
      </w:r>
    </w:p>
    <w:tbl>
      <w:tblPr>
        <w:tblStyle w:val="11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1800"/>
        <w:gridCol w:w="4200"/>
      </w:tblGrid>
      <w:tr w14:paraId="346FD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83B5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AC9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1CED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6348B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4C8D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L3 client matrix (open + edit + re-save on real PowerPoint / WPS)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B202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Not verified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AA50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 real-device environment available locally; an external dependency; a release-level gap but not a hard gate</w:t>
            </w:r>
          </w:p>
        </w:tc>
      </w:tr>
      <w:tr w14:paraId="4FA3A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1832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Encryption / signatures / OLE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F1A8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Recognized and edit-rejected</w:t>
            </w:r>
          </w:p>
        </w:tc>
        <w:tc>
          <w:tcPr>
            <w:tcW w:w="4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2A87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Per the V2.6 §2.2 boundary table: the format is recognized and unsupported is returned explicitly, never silently converted</w:t>
            </w:r>
          </w:p>
        </w:tc>
      </w:tr>
      <w:tr w14:paraId="766DE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46A3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Animation playback evaluation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7C6D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ErrTimingConflict detection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BBE4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 minimal time evaluator; full playback-behavior computation is not promised</w:t>
            </w:r>
          </w:p>
        </w:tc>
      </w:tr>
      <w:tr w14:paraId="02C8A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853D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rendering.native capability status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3636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Untested</w:t>
            </w:r>
          </w:p>
        </w:tc>
        <w:tc>
          <w:tcPr>
            <w:tcW w:w="4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E3CF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The render subpackage interface has landed; implementation is chartered for later (ADR-014)</w:t>
            </w:r>
          </w:p>
        </w:tc>
      </w:tr>
      <w:tr w14:paraId="77369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1635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Private ext-* samples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B30B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Not redistributed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C856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Licensing / size constraints; CI relies on the 3 public golden samples as a fallback</w:t>
            </w:r>
          </w:p>
        </w:tc>
      </w:tr>
      <w:tr w14:paraId="5B7C6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857C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Golden-sample gate blind spot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4752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Known</w:t>
            </w:r>
          </w:p>
        </w:tc>
        <w:tc>
          <w:tcPr>
            <w:tcW w:w="4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41AB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loadAPISurface only scans *ast.GenDecl; addition/removal of top-level exported functions is not gated (see §5.1)</w:t>
            </w:r>
          </w:p>
        </w:tc>
      </w:tr>
      <w:tr w14:paraId="05163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3B17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Oversized files / function splitting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3062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Deferred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49E9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Requires golangci-lint integration first to get an objective threshold</w:t>
            </w:r>
          </w:p>
        </w:tc>
      </w:tr>
      <w:tr w14:paraId="1B2E2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25FF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ctx parameter on the Open family</w:t>
            </w:r>
          </w:p>
        </w:tc>
        <w:tc>
          <w:tcPr>
            <w:tcW w:w="1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C045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Deferred</w:t>
            </w:r>
          </w:p>
        </w:tc>
        <w:tc>
          <w:tcPr>
            <w:tcW w:w="42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4B9B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 signature-level change, deferred to a minor release</w:t>
            </w:r>
          </w:p>
        </w:tc>
      </w:tr>
      <w:tr w14:paraId="7B67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556C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Tier 2 raw pass-through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0E29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Low hit rate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28E8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The ADR-018 raw pass-through path still has a low hit rate and is not a focus of this release</w:t>
            </w:r>
          </w:p>
        </w:tc>
      </w:tr>
    </w:tbl>
    <w:p w14:paraId="2C89E263">
      <w:pPr>
        <w:spacing w:after="160" w:line="300" w:lineRule="auto"/>
      </w:pPr>
      <w:r>
        <w:rPr>
          <w:i/>
          <w:iCs/>
          <w:color w:val="595959"/>
        </w:rPr>
        <w:t>Note: V2.0.1 has fixed a V1-era problem where resource-budget knobs were "promised but unusable" — WithBudget / WithNewBudget / WithSaveDurability previously referenced internal/opc types directly and could not be referenced from outside the module; V2.0.1 closes this gap with pptx package aliases (§5.1).</w:t>
      </w:r>
    </w:p>
    <w:p w14:paraId="646E68AC">
      <w:pPr>
        <w:pStyle w:val="3"/>
        <w:spacing w:before="280" w:after="140"/>
      </w:pPr>
      <w:r>
        <w:t>11.2 V2.x Roadmap</w:t>
      </w:r>
    </w:p>
    <w:p w14:paraId="018E3CE7">
      <w:pPr>
        <w:pStyle w:val="16"/>
        <w:numPr>
          <w:ilvl w:val="0"/>
          <w:numId w:val="1"/>
        </w:numPr>
        <w:spacing w:after="80"/>
      </w:pPr>
      <w:r>
        <w:t>2.0.x (patch line): continue converging coverage toward 90%, bug fixes, strengthen the golden-sample gate blind spot (add a count check for top-level function-style API), and start oversized-file/function splitting once golangci-lint is integrated.</w:t>
      </w:r>
    </w:p>
    <w:p w14:paraId="7A158630">
      <w:pPr>
        <w:pStyle w:val="16"/>
        <w:numPr>
          <w:ilvl w:val="0"/>
          <w:numId w:val="1"/>
        </w:numPr>
        <w:spacing w:after="80"/>
      </w:pPr>
      <w:r>
        <w:t>2.1.x: add a ctx parameter to the Open family (a signature-level change requiring ADR review and a transition period); improve the Tier 2 raw pass-through hit rate.</w:t>
      </w:r>
    </w:p>
    <w:p w14:paraId="7F7D1EF6">
      <w:pPr>
        <w:pStyle w:val="16"/>
        <w:numPr>
          <w:ilvl w:val="0"/>
          <w:numId w:val="1"/>
        </w:numPr>
        <w:spacing w:after="80"/>
      </w:pPr>
      <w:r>
        <w:t>2.2.x: promote or deprecate experimental capabilities based on usage; advance deeper internal extraction per ADR-014's trigger conditions.</w:t>
      </w:r>
    </w:p>
    <w:p w14:paraId="74B7BEA3">
      <w:pPr>
        <w:pStyle w:val="16"/>
        <w:numPr>
          <w:ilvl w:val="0"/>
          <w:numId w:val="1"/>
        </w:numPr>
        <w:spacing w:after="80"/>
      </w:pPr>
      <w:r>
        <w:t>3.0 (if chartered): a native rendering implementation, following ADR-014's principle that it does not enter the core milestones and requires an independent charter.</w:t>
      </w:r>
    </w:p>
    <w:p w14:paraId="5C117671">
      <w:pPr>
        <w:pStyle w:val="3"/>
        <w:spacing w:before="280" w:after="140"/>
      </w:pPr>
      <w:r>
        <w:t>11.3 Evolution Principles</w:t>
      </w:r>
    </w:p>
    <w:p w14:paraId="306E2E06">
      <w:pPr>
        <w:pStyle w:val="16"/>
        <w:numPr>
          <w:ilvl w:val="0"/>
          <w:numId w:val="1"/>
        </w:numPr>
        <w:spacing w:after="80"/>
      </w:pPr>
      <w:r>
        <w:t>Never break Stable: the 42 Stable comment blocks (65 symbols) are backward-compatible for the duration of v2.x</w:t>
      </w:r>
    </w:p>
    <w:p w14:paraId="508E0730">
      <w:pPr>
        <w:pStyle w:val="16"/>
        <w:numPr>
          <w:ilvl w:val="0"/>
          <w:numId w:val="1"/>
        </w:numPr>
        <w:spacing w:after="80"/>
      </w:pPr>
      <w:r>
        <w:t>API tier is additive by default: other types may gain new fields and methods, but may not be removed or renamed</w:t>
      </w:r>
    </w:p>
    <w:p w14:paraId="3EBB8472">
      <w:pPr>
        <w:pStyle w:val="16"/>
        <w:numPr>
          <w:ilvl w:val="0"/>
          <w:numId w:val="1"/>
        </w:numPr>
        <w:spacing w:after="80"/>
      </w:pPr>
      <w:r>
        <w:t>Architectural pressure is split only on trigger conditions (ADR-014): deep extraction begins only when merge-conflict hotspots, third-party extension needs, or compile-time bottlenecks actually occur</w:t>
      </w:r>
    </w:p>
    <w:p w14:paraId="207CF18C">
      <w:r>
        <w:br w:type="page"/>
      </w:r>
    </w:p>
    <w:p w14:paraId="73D07157">
      <w:pPr>
        <w:pStyle w:val="2"/>
        <w:spacing w:before="360" w:after="200"/>
      </w:pPr>
      <w:r>
        <w:t>12. Versioning, Licensing &amp; Community</w:t>
      </w:r>
    </w:p>
    <w:p w14:paraId="17015F82">
      <w:pPr>
        <w:pStyle w:val="3"/>
        <w:spacing w:before="280" w:after="140"/>
      </w:pPr>
      <w:r>
        <w:t>12.1 Version &amp; Signing</w:t>
      </w:r>
    </w:p>
    <w:p w14:paraId="216F3CF9">
      <w:pPr>
        <w:pStyle w:val="16"/>
        <w:numPr>
          <w:ilvl w:val="0"/>
          <w:numId w:val="1"/>
        </w:numPr>
        <w:spacing w:after="80"/>
      </w:pPr>
      <w:r>
        <w:t>Current version: V2.0.1 (released 2026-09-18)</w:t>
      </w:r>
    </w:p>
    <w:p w14:paraId="570AF5C0">
      <w:pPr>
        <w:pStyle w:val="16"/>
        <w:numPr>
          <w:ilvl w:val="0"/>
          <w:numId w:val="1"/>
        </w:numPr>
        <w:spacing w:after="80"/>
      </w:pPr>
      <w:r>
        <w:t>Git tag: v2.0.1 (an SSH-signed annotated tag, bound to the ed25519 public key of the GitHub account jinfeng105); v2.0.0 is the release tag for the same series</w:t>
      </w:r>
    </w:p>
    <w:p w14:paraId="1DF88C08">
      <w:pPr>
        <w:pStyle w:val="16"/>
        <w:numPr>
          <w:ilvl w:val="0"/>
          <w:numId w:val="1"/>
        </w:numPr>
        <w:spacing w:after="80"/>
      </w:pPr>
      <w:r>
        <w:t>Commit baseline: 0258392 (V2.0.1 close-out) ← historically 8158b53 (V2.0.0), a15ba75 (V2.0.0 release)</w:t>
      </w:r>
    </w:p>
    <w:p w14:paraId="6B33FB60">
      <w:pPr>
        <w:pStyle w:val="16"/>
        <w:numPr>
          <w:ilvl w:val="0"/>
          <w:numId w:val="1"/>
        </w:numPr>
        <w:spacing w:after="80"/>
      </w:pPr>
      <w:r>
        <w:t>Module/import path: github.com/F31/go-pptx/v2; facade github.com/F31/go-pptx/v2/pptx (a one-time breaking migration in V2.0; the V1 path github.com/F31/go-pptx is no longer applicable)</w:t>
      </w:r>
    </w:p>
    <w:p w14:paraId="374E5B90">
      <w:pPr>
        <w:pStyle w:val="16"/>
        <w:numPr>
          <w:ilvl w:val="0"/>
          <w:numId w:val="1"/>
        </w:numPr>
        <w:spacing w:after="80"/>
      </w:pPr>
      <w:r>
        <w:t>CI: every push/PR runs the default 28-package test suite plus the 28-package corpus suite plus 5 cross-builds plus coverage-gate plus lint</w:t>
      </w:r>
    </w:p>
    <w:p w14:paraId="18A7FA36">
      <w:pPr>
        <w:pStyle w:val="3"/>
        <w:spacing w:before="280" w:after="140"/>
      </w:pPr>
      <w:r>
        <w:t>12.2 Licensing</w:t>
      </w:r>
    </w:p>
    <w:p w14:paraId="2F9ED515">
      <w:pPr>
        <w:pStyle w:val="16"/>
        <w:numPr>
          <w:ilvl w:val="0"/>
          <w:numId w:val="1"/>
        </w:numPr>
        <w:spacing w:after="80"/>
      </w:pPr>
      <w:r>
        <w:t>Code: Apache-2.0 (byte-identical to the LICENSE file in the remote repository)</w:t>
      </w:r>
    </w:p>
    <w:p w14:paraId="57EE275D">
      <w:pPr>
        <w:pStyle w:val="16"/>
        <w:numPr>
          <w:ilvl w:val="0"/>
          <w:numId w:val="1"/>
        </w:numPr>
        <w:spacing w:after="80"/>
      </w:pPr>
      <w:r>
        <w:t>Public golden samples (s001-text / s002-table / s003-image): CC0 / Public Domain (LibreOffice-generated)</w:t>
      </w:r>
    </w:p>
    <w:p w14:paraId="25D431B2">
      <w:pPr>
        <w:pStyle w:val="16"/>
        <w:numPr>
          <w:ilvl w:val="0"/>
          <w:numId w:val="1"/>
        </w:numPr>
        <w:spacing w:after="80"/>
      </w:pPr>
      <w:r>
        <w:t>Private ext-* samples: index only, excluded from open-source distribution (licensing / size reasons)</w:t>
      </w:r>
    </w:p>
    <w:p w14:paraId="71624A9E">
      <w:pPr>
        <w:pStyle w:val="3"/>
        <w:spacing w:before="280" w:after="140"/>
      </w:pPr>
      <w:r>
        <w:t>12.3 Repository &amp; Community Resources</w:t>
      </w:r>
    </w:p>
    <w:tbl>
      <w:tblPr>
        <w:tblStyle w:val="11"/>
        <w:tblW w:w="9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5800"/>
      </w:tblGrid>
      <w:tr w14:paraId="67BB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E836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58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D3D5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</w:tr>
      <w:tr w14:paraId="55CDF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50B4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Repository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4386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github.com/F31/go-pptx</w:t>
            </w:r>
          </w:p>
        </w:tc>
      </w:tr>
      <w:tr w14:paraId="6F610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3FFC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Module path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60D0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github.com/F31/go-pptx/v2</w:t>
            </w:r>
          </w:p>
        </w:tc>
      </w:tr>
      <w:tr w14:paraId="6D7E3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DA62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Public facade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979F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github.com/F31/go-pptx/v2/pptx</w:t>
            </w:r>
          </w:p>
        </w:tc>
      </w:tr>
      <w:tr w14:paraId="6DB4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DE77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Release announcements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5230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docs/RELEASE-NOTES-v2.0.0.md / docs/RELEASE-NOTES-v2.0.1.md</w:t>
            </w:r>
          </w:p>
        </w:tc>
      </w:tr>
      <w:tr w14:paraId="4B54D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83B1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Changelog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85F0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CHANGELOG.md</w:t>
            </w:r>
          </w:p>
        </w:tc>
      </w:tr>
      <w:tr w14:paraId="0A8D1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03CA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API reference (auto-generated)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2B6C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docs/api-reference.md (166 / 37 / 143 / 151 / 18)</w:t>
            </w:r>
          </w:p>
        </w:tc>
      </w:tr>
      <w:tr w14:paraId="64C0A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9FC8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Architecture baseline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2774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docs/architecture-current.md</w:t>
            </w:r>
          </w:p>
        </w:tc>
      </w:tr>
      <w:tr w14:paraId="2D75A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6880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API stability tiering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373F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docs/adr/ADR-015-api-stability-tiers.md</w:t>
            </w:r>
          </w:p>
        </w:tc>
      </w:tr>
      <w:tr w14:paraId="07D03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D6F6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Internal package split strategy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172B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docs/adr/ADR-014-root-internal-package-strategy.md</w:t>
            </w:r>
          </w:p>
        </w:tc>
      </w:tr>
      <w:tr w14:paraId="5F6BF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42A8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Progressive internal extraction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6F75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docs/adr/ADR-016-progressive-internal-extraction.md</w:t>
            </w:r>
          </w:p>
        </w:tc>
      </w:tr>
      <w:tr w14:paraId="4AD93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E39D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Chart implementation extraction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056E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docs/adr/ADR-017-chart-implementation-extraction.md</w:t>
            </w:r>
          </w:p>
        </w:tc>
      </w:tr>
      <w:tr w14:paraId="5021D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D58C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OPC Tier 2 raw pass-through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AF98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docs/adr/ADR-018-opc-tier2-raw-passthrough.md</w:t>
            </w:r>
          </w:p>
        </w:tc>
      </w:tr>
      <w:tr w14:paraId="29723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EA98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Shape capability interfaces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23B3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docs/adr/ADR-021-shape-capability-interfaces.md</w:t>
            </w:r>
          </w:p>
        </w:tc>
      </w:tr>
      <w:tr w14:paraId="12CA7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BF44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Facade convergence / target architecture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0669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docs/adr/ADR-030-v2-target-architecture.md</w:t>
            </w:r>
          </w:p>
        </w:tc>
      </w:tr>
      <w:tr w14:paraId="62BF5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886B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Performance baseline methodology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E4C3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docs/PERF-01-性能基线.md</w:t>
            </w:r>
          </w:p>
        </w:tc>
      </w:tr>
      <w:tr w14:paraId="0BD64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DC97C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Corpus onboarding guide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93FC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docs/corpus-入库指南.md</w:t>
            </w:r>
          </w:p>
        </w:tc>
      </w:tr>
      <w:tr w14:paraId="44434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C375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Code review (source of V2.0.1)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B357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docs/code-review-2026-09-17.md</w:t>
            </w:r>
          </w:p>
        </w:tc>
      </w:tr>
      <w:tr w14:paraId="6E2CC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8D30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Coding-standards assessment</w:t>
            </w:r>
          </w:p>
        </w:tc>
        <w:tc>
          <w:tcPr>
            <w:tcW w:w="580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891E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docs/coding-standards-assessment-2026-09-17.md</w:t>
            </w:r>
          </w:p>
        </w:tc>
      </w:tr>
    </w:tbl>
    <w:p w14:paraId="0E4D478E">
      <w:pPr>
        <w:pStyle w:val="3"/>
        <w:spacing w:before="280" w:after="140"/>
      </w:pPr>
      <w:r>
        <w:t>12.4 Contact</w:t>
      </w:r>
    </w:p>
    <w:p w14:paraId="69E04E7E">
      <w:pPr>
        <w:spacing w:after="160" w:line="300" w:lineRule="auto"/>
      </w:pPr>
      <w:r>
        <w:t>Questions, feedback, and feature requests are welcome:</w:t>
      </w:r>
    </w:p>
    <w:p w14:paraId="258CC3D7">
      <w:pPr>
        <w:pStyle w:val="16"/>
        <w:numPr>
          <w:ilvl w:val="0"/>
          <w:numId w:val="1"/>
        </w:numPr>
        <w:spacing w:after="80"/>
      </w:pPr>
      <w:r>
        <w:t>Email: jinfeng105@126.com</w:t>
      </w:r>
    </w:p>
    <w:p w14:paraId="73D2BCC6">
      <w:pPr>
        <w:pStyle w:val="16"/>
        <w:numPr>
          <w:ilvl w:val="0"/>
          <w:numId w:val="1"/>
        </w:numPr>
        <w:spacing w:after="80"/>
      </w:pPr>
      <w:r>
        <w:t>Email: jinfeng105@gmail.com</w:t>
      </w:r>
    </w:p>
    <w:sectPr>
      <w:headerReference r:id="rId3" w:type="default"/>
      <w:footerReference r:id="rId4" w:type="default"/>
      <w:pgSz w:w="12240" w:h="15840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4BFE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NUMPAGES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386AB">
    <w:pPr>
      <w:jc w:val="right"/>
    </w:pPr>
    <w:r>
      <w:rPr>
        <w:color w:val="999999"/>
        <w:sz w:val="16"/>
        <w:szCs w:val="16"/>
      </w:rPr>
      <w:t>go-pptx Technical Specification · V2.0.1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22D46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pPr>
      <w:pBdr>
        <w:bottom w:val="single" w:color="1F4E79" w:sz="6" w:space="4"/>
      </w:pBdr>
      <w:spacing w:before="360" w:after="200"/>
    </w:pPr>
    <w:rPr>
      <w:rFonts w:ascii="Calibri" w:hAnsi="Calibri" w:eastAsia="Calibri" w:cs="Calibri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</w:pPr>
    <w:rPr>
      <w:rFonts w:ascii="Calibri" w:hAnsi="Calibri" w:eastAsia="Calibri" w:cs="Calibri"/>
      <w:b/>
      <w:bCs/>
      <w:color w:val="2E5F8A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</w:pPr>
    <w:rPr>
      <w:rFonts w:ascii="Calibri" w:hAnsi="Calibri" w:eastAsia="Calibri" w:cs="Calibri"/>
      <w:b/>
      <w:bCs/>
      <w:color w:val="40739E"/>
      <w:sz w:val="22"/>
      <w:szCs w:val="22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0">
    <w:name w:val="Title"/>
    <w:qFormat/>
    <w:uiPriority w:val="0"/>
    <w:rPr>
      <w:rFonts w:ascii="Calibri" w:hAnsi="Calibri" w:eastAsia="Calibri" w:cs="Calibr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3864</Words>
  <Characters>24736</Characters>
  <TotalTime>0</TotalTime>
  <ScaleCrop>false</ScaleCrop>
  <LinksUpToDate>false</LinksUpToDate>
  <CharactersWithSpaces>28270</CharactersWithSpaces>
  <Application>WPS Office_12.1.0.28599_F1E327BC-269C-435d-A152-05C5408002CA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2026-09-18T02:58:00Z</dcterms:created>
  <dc:creator>Un-named</dc:creator>
  <cp:lastModifiedBy>风</cp:lastModifiedBy>
  <dcterms:modified xsi:type="dcterms:W3CDTF">2026-09-18T03:23:46Z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eyJoZGlkIjoiYmI0YTI0MWE4ZGJjYTk5NmQxZjc2NDZhNjg3OGZmNTUiLCJ1c2VySWQiOiIzMDQyMDM4MDkifQ==</vt:lpwstr>
  </property>
  <property fmtid="{D5CDD505-2E9C-101B-9397-08002B2CF9AE}" pid="3" name="KSOProductBuildVer">
    <vt:lpwstr>2052-12.1.0.28599</vt:lpwstr>
  </property>
  <property fmtid="{D5CDD505-2E9C-101B-9397-08002B2CF9AE}" pid="4" name="ICV">
    <vt:lpwstr>D6F81255D733424A8E8BE88338DC7CC7_12</vt:lpwstr>
  </property>
</Properties>
</file>