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A1628"/>
          <w:sz w:val="72"/>
          <w:szCs w:val="72"/>
        </w:rPr>
        <w:t xml:space="preserve">F33D3R</w:t>
      </w:r>
    </w:p>
    <w:p>
      <w:pPr>
        <w:spacing w:after="120" w:before="0"/>
        <w:jc w:val="center"/>
      </w:pPr>
      <w:r>
        <w:rPr>
          <w:rFonts w:ascii="Arial" w:cs="Arial" w:eastAsia="Arial" w:hAnsi="Arial"/>
          <w:b/>
          <w:bCs/>
          <w:color w:val="F5A623"/>
          <w:sz w:val="40"/>
          <w:szCs w:val="40"/>
        </w:rPr>
        <w:t xml:space="preserve">PRIVACY POLICY</w:t>
      </w:r>
    </w:p>
    <w:p>
      <w:pPr>
        <w:spacing w:after="480" w:before="0"/>
        <w:jc w:val="center"/>
      </w:pPr>
      <w:r>
        <w:rPr>
          <w:rFonts w:ascii="Arial" w:cs="Arial" w:eastAsia="Arial" w:hAnsi="Arial"/>
          <w:i/>
          <w:iCs/>
          <w:color w:val="333333"/>
          <w:sz w:val="22"/>
          <w:szCs w:val="22"/>
        </w:rPr>
        <w:t xml:space="preserve">How F33D3R collects, uses, and protects your information</w:t>
      </w:r>
    </w:p>
    <w:p>
      <w:pPr>
        <w:spacing w:after="80" w:before="0"/>
        <w:jc w:val="center"/>
      </w:pPr>
      <w:r>
        <w:rPr>
          <w:rFonts w:ascii="Arial" w:cs="Arial" w:eastAsia="Arial" w:hAnsi="Arial"/>
          <w:color w:val="333333"/>
          <w:sz w:val="20"/>
          <w:szCs w:val="20"/>
        </w:rPr>
        <w:t xml:space="preserve">Effective Date: May 9, 2026</w:t>
      </w:r>
    </w:p>
    <w:p>
      <w:pPr>
        <w:spacing w:after="80" w:before="0"/>
        <w:jc w:val="center"/>
      </w:pPr>
      <w:r>
        <w:rPr>
          <w:rFonts w:ascii="Arial" w:cs="Arial" w:eastAsia="Arial" w:hAnsi="Arial"/>
          <w:color w:val="333333"/>
          <w:sz w:val="20"/>
          <w:szCs w:val="20"/>
        </w:rPr>
        <w:t xml:space="preserve">Version: 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color w:val="856404"/>
                <w:sz w:val="18"/>
                <w:szCs w:val="18"/>
              </w:rPr>
              <w:t xml:space="preserve">⚠️  This document constitutes a legally binding agreement. Please read it carefully before using F33D3R. By creating an account or accessing the platform, you agree to these terms in their entirety.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color w:val="856404"/>
                <w:sz w:val="18"/>
                <w:szCs w:val="18"/>
              </w:rPr>
              <w:t xml:space="preserve">⚠️  F33D3R is committed to your privacy. This policy explains our data practices in plain language. For the complete legal text applicable to your jurisdiction, please read this document in full.</w:t>
            </w:r>
          </w:p>
        </w:tc>
      </w:tr>
    </w:tbl>
    <w:p>
      <w:pPr>
        <w:spacing w:after="80" w:before="80"/>
      </w:pPr>
      <w:r>
        <w:t xml:space="preserve"/>
      </w:r>
    </w:p>
    <w:p>
      <w:pPr>
        <w:pStyle w:val="Heading1"/>
        <w:spacing w:after="120" w:before="360"/>
      </w:pPr>
      <w:r>
        <w:rPr>
          <w:rFonts w:ascii="Arial" w:cs="Arial" w:eastAsia="Arial" w:hAnsi="Arial"/>
          <w:b/>
          <w:bCs/>
          <w:color w:val="0A1628"/>
          <w:sz w:val="32"/>
          <w:szCs w:val="32"/>
        </w:rPr>
        <w:t xml:space="preserve">1. Who We Are</w:t>
      </w:r>
    </w:p>
    <w:p>
      <w:pPr>
        <w:spacing w:after="60" w:before="60"/>
      </w:pPr>
      <w:r>
        <w:rPr>
          <w:rFonts w:ascii="Arial" w:cs="Arial" w:eastAsia="Arial" w:hAnsi="Arial"/>
          <w:color w:val="333333"/>
          <w:sz w:val="20"/>
          <w:szCs w:val="20"/>
        </w:rPr>
        <w:t xml:space="preserve">F33D3R is a distributed social operating system for creators, communities, and the creator economy. This Privacy Policy applies to all services operated under the F33D3R platform, including the website, mobile applications, and API services.</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2. What We Collect</w:t>
      </w:r>
    </w:p>
    <w:p>
      <w:pPr>
        <w:pStyle w:val="Heading2"/>
        <w:spacing w:after="80" w:before="280"/>
      </w:pPr>
      <w:r>
        <w:rPr>
          <w:rFonts w:ascii="Arial" w:cs="Arial" w:eastAsia="Arial" w:hAnsi="Arial"/>
          <w:b/>
          <w:bCs/>
          <w:color w:val="0A1628"/>
          <w:sz w:val="26"/>
          <w:szCs w:val="26"/>
        </w:rPr>
        <w:t xml:space="preserve">2.1 Information You Provide</w:t>
      </w:r>
    </w:p>
    <w:p>
      <w:pPr>
        <w:pStyle w:val="ListParagraph"/>
        <w:numPr>
          <w:ilvl w:val="0"/>
          <w:numId w:val="2"/>
        </w:numPr>
        <w:spacing w:after="40" w:before="40"/>
      </w:pPr>
      <w:r>
        <w:rPr>
          <w:rFonts w:ascii="Arial" w:cs="Arial" w:eastAsia="Arial" w:hAnsi="Arial"/>
          <w:color w:val="333333"/>
          <w:sz w:val="20"/>
          <w:szCs w:val="20"/>
        </w:rPr>
        <w:t xml:space="preserve">Account registration information (email address, chosen handle, age bracket declaration)</w:t>
      </w:r>
    </w:p>
    <w:p>
      <w:pPr>
        <w:pStyle w:val="ListParagraph"/>
        <w:numPr>
          <w:ilvl w:val="0"/>
          <w:numId w:val="2"/>
        </w:numPr>
        <w:spacing w:after="40" w:before="40"/>
      </w:pPr>
      <w:r>
        <w:rPr>
          <w:rFonts w:ascii="Arial" w:cs="Arial" w:eastAsia="Arial" w:hAnsi="Arial"/>
          <w:color w:val="333333"/>
          <w:sz w:val="20"/>
          <w:szCs w:val="20"/>
        </w:rPr>
        <w:t xml:space="preserve">Identity verification documents processed through our Verity compliance service (see Section 4)</w:t>
      </w:r>
    </w:p>
    <w:p>
      <w:pPr>
        <w:pStyle w:val="ListParagraph"/>
        <w:numPr>
          <w:ilvl w:val="0"/>
          <w:numId w:val="2"/>
        </w:numPr>
        <w:spacing w:after="40" w:before="40"/>
      </w:pPr>
      <w:r>
        <w:rPr>
          <w:rFonts w:ascii="Arial" w:cs="Arial" w:eastAsia="Arial" w:hAnsi="Arial"/>
          <w:color w:val="333333"/>
          <w:sz w:val="20"/>
          <w:szCs w:val="20"/>
        </w:rPr>
        <w:t xml:space="preserve">Content you publish, including posts, images, videos, and audio</w:t>
      </w:r>
    </w:p>
    <w:p>
      <w:pPr>
        <w:pStyle w:val="ListParagraph"/>
        <w:numPr>
          <w:ilvl w:val="0"/>
          <w:numId w:val="2"/>
        </w:numPr>
        <w:spacing w:after="40" w:before="40"/>
      </w:pPr>
      <w:r>
        <w:rPr>
          <w:rFonts w:ascii="Arial" w:cs="Arial" w:eastAsia="Arial" w:hAnsi="Arial"/>
          <w:color w:val="333333"/>
          <w:sz w:val="20"/>
          <w:szCs w:val="20"/>
        </w:rPr>
        <w:t xml:space="preserve">Financial information for payouts (collected via our payment processor, not stored by F33D3R directly)</w:t>
      </w:r>
    </w:p>
    <w:p>
      <w:pPr>
        <w:pStyle w:val="ListParagraph"/>
        <w:numPr>
          <w:ilvl w:val="0"/>
          <w:numId w:val="2"/>
        </w:numPr>
        <w:spacing w:after="40" w:before="40"/>
      </w:pPr>
      <w:r>
        <w:rPr>
          <w:rFonts w:ascii="Arial" w:cs="Arial" w:eastAsia="Arial" w:hAnsi="Arial"/>
          <w:color w:val="333333"/>
          <w:sz w:val="20"/>
          <w:szCs w:val="20"/>
        </w:rPr>
        <w:t xml:space="preserve">Communications with F33D3R support teams</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2.2 Information Generated by Your Use</w:t>
      </w:r>
    </w:p>
    <w:p>
      <w:pPr>
        <w:pStyle w:val="ListParagraph"/>
        <w:numPr>
          <w:ilvl w:val="0"/>
          <w:numId w:val="2"/>
        </w:numPr>
        <w:spacing w:after="40" w:before="40"/>
      </w:pPr>
      <w:r>
        <w:rPr>
          <w:rFonts w:ascii="Arial" w:cs="Arial" w:eastAsia="Arial" w:hAnsi="Arial"/>
          <w:color w:val="333333"/>
          <w:sz w:val="20"/>
          <w:szCs w:val="20"/>
        </w:rPr>
        <w:t xml:space="preserve">Platform activity including content you view, interactions you make (likes, reposts, follows), and content you create</w:t>
      </w:r>
    </w:p>
    <w:p>
      <w:pPr>
        <w:pStyle w:val="ListParagraph"/>
        <w:numPr>
          <w:ilvl w:val="0"/>
          <w:numId w:val="2"/>
        </w:numPr>
        <w:spacing w:after="40" w:before="40"/>
      </w:pPr>
      <w:r>
        <w:rPr>
          <w:rFonts w:ascii="Arial" w:cs="Arial" w:eastAsia="Arial" w:hAnsi="Arial"/>
          <w:color w:val="333333"/>
          <w:sz w:val="20"/>
          <w:szCs w:val="20"/>
        </w:rPr>
        <w:t xml:space="preserve">Device information including browser type, operating system, and device identifiers</w:t>
      </w:r>
    </w:p>
    <w:p>
      <w:pPr>
        <w:pStyle w:val="ListParagraph"/>
        <w:numPr>
          <w:ilvl w:val="0"/>
          <w:numId w:val="2"/>
        </w:numPr>
        <w:spacing w:after="40" w:before="40"/>
      </w:pPr>
      <w:r>
        <w:rPr>
          <w:rFonts w:ascii="Arial" w:cs="Arial" w:eastAsia="Arial" w:hAnsi="Arial"/>
          <w:color w:val="333333"/>
          <w:sz w:val="20"/>
          <w:szCs w:val="20"/>
        </w:rPr>
        <w:t xml:space="preserve">IP address and approximate location (used for legal jurisdiction detection and security)</w:t>
      </w:r>
    </w:p>
    <w:p>
      <w:pPr>
        <w:pStyle w:val="ListParagraph"/>
        <w:numPr>
          <w:ilvl w:val="0"/>
          <w:numId w:val="2"/>
        </w:numPr>
        <w:spacing w:after="40" w:before="40"/>
      </w:pPr>
      <w:r>
        <w:rPr>
          <w:rFonts w:ascii="Arial" w:cs="Arial" w:eastAsia="Arial" w:hAnsi="Arial"/>
          <w:color w:val="333333"/>
          <w:sz w:val="20"/>
          <w:szCs w:val="20"/>
        </w:rPr>
        <w:t xml:space="preserve">Session metadata (timestamps, feature usage, navigation patterns)</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2.3 Information We Do NOT Collect</w:t>
      </w:r>
    </w:p>
    <w:p>
      <w:pPr>
        <w:pStyle w:val="ListParagraph"/>
        <w:numPr>
          <w:ilvl w:val="0"/>
          <w:numId w:val="2"/>
        </w:numPr>
        <w:spacing w:after="40" w:before="40"/>
      </w:pPr>
      <w:r>
        <w:rPr>
          <w:rFonts w:ascii="Arial" w:cs="Arial" w:eastAsia="Arial" w:hAnsi="Arial"/>
          <w:color w:val="333333"/>
          <w:sz w:val="20"/>
          <w:szCs w:val="20"/>
        </w:rPr>
        <w:t xml:space="preserve">The content of your end-to-end encrypted messages. F33D3R's messaging system (Vovin) is designed so that message content cannot be read by F33D3R or any third party. We store only encrypted ciphertext.</w:t>
      </w:r>
    </w:p>
    <w:p>
      <w:pPr>
        <w:pStyle w:val="ListParagraph"/>
        <w:numPr>
          <w:ilvl w:val="0"/>
          <w:numId w:val="2"/>
        </w:numPr>
        <w:spacing w:after="40" w:before="40"/>
      </w:pPr>
      <w:r>
        <w:rPr>
          <w:rFonts w:ascii="Arial" w:cs="Arial" w:eastAsia="Arial" w:hAnsi="Arial"/>
          <w:color w:val="333333"/>
          <w:sz w:val="20"/>
          <w:szCs w:val="20"/>
        </w:rPr>
        <w:t xml:space="preserve">Your precise GPS location</w:t>
      </w:r>
    </w:p>
    <w:p>
      <w:pPr>
        <w:pStyle w:val="ListParagraph"/>
        <w:numPr>
          <w:ilvl w:val="0"/>
          <w:numId w:val="2"/>
        </w:numPr>
        <w:spacing w:after="40" w:before="40"/>
      </w:pPr>
      <w:r>
        <w:rPr>
          <w:rFonts w:ascii="Arial" w:cs="Arial" w:eastAsia="Arial" w:hAnsi="Arial"/>
          <w:color w:val="333333"/>
          <w:sz w:val="20"/>
          <w:szCs w:val="20"/>
        </w:rPr>
        <w:t xml:space="preserve">Age verification documents after verification is complete, where prohibited by applicable law (e.g., Utah, Texas, Louisiana)</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3. How We Use Your Information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Legal Basis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Providing and operating the Platform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Contract performance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Age verification and KYC compliance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Legal obligation; legitimate interests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Content moderation and safety enforcement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Legal obligation; legitimate interests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Fraud prevention and platform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Legitimate interests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Feed personalization and content ranking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Legitimate interests; consent (for adult 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Processing payments and managing AET balances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Contract performance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Complying with legal requests from authorities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Legal obligation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Communicating service updates and policy changes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Contract performance; legitimate interests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Analytics to improve the Platform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Legitimate interests</w:t>
            </w:r>
          </w:p>
        </w:tc>
      </w:tr>
    </w:tbl>
    <w:p>
      <w:pPr>
        <w:spacing w:after="80" w:before="80"/>
      </w:pPr>
      <w:r>
        <w:t xml:space="preserve"/>
      </w:r>
    </w:p>
    <w:p>
      <w:pPr>
        <w:spacing w:after="60" w:before="60"/>
      </w:pPr>
      <w:r>
        <w:rPr>
          <w:rFonts w:ascii="Arial" w:cs="Arial" w:eastAsia="Arial" w:hAnsi="Arial"/>
          <w:color w:val="333333"/>
          <w:sz w:val="20"/>
          <w:szCs w:val="20"/>
        </w:rPr>
        <w:t xml:space="preserve">We do not use your data for advertising targeting. F33D3R does not serve third-party advertisements and does not share your behavioral data with advertisers.</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4. Age Verification Data</w:t>
      </w:r>
    </w:p>
    <w:p>
      <w:pPr>
        <w:spacing w:after="60" w:before="60"/>
      </w:pPr>
      <w:r>
        <w:rPr>
          <w:rFonts w:ascii="Arial" w:cs="Arial" w:eastAsia="Arial" w:hAnsi="Arial"/>
          <w:color w:val="333333"/>
          <w:sz w:val="20"/>
          <w:szCs w:val="20"/>
        </w:rPr>
        <w:t xml:space="preserve">Age verification is performed through our Verity service. Where applicable law permits retention, verification data is encrypted at rest and stored only for the minimum period required for fraud prevention and regulatory compliance. Where applicable law prohibits retention (including the states of Texas, Louisiana, and Utah), verification artifacts are deleted immediately upon completion of the verification process. We retain only a cryptographic attestation confirming your verification tier, not the underlying documents.</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5. How We Share Your Information</w:t>
      </w:r>
    </w:p>
    <w:p>
      <w:pPr>
        <w:spacing w:after="60" w:before="60"/>
      </w:pPr>
      <w:r>
        <w:rPr>
          <w:rFonts w:ascii="Arial" w:cs="Arial" w:eastAsia="Arial" w:hAnsi="Arial"/>
          <w:color w:val="333333"/>
          <w:sz w:val="20"/>
          <w:szCs w:val="20"/>
        </w:rPr>
        <w:t xml:space="preserve">We do not sell your personal information. We share information only in the following circumstances:</w:t>
      </w:r>
    </w:p>
    <w:p>
      <w:pPr>
        <w:pStyle w:val="ListParagraph"/>
        <w:numPr>
          <w:ilvl w:val="0"/>
          <w:numId w:val="2"/>
        </w:numPr>
        <w:spacing w:after="40" w:before="40"/>
      </w:pPr>
      <w:r>
        <w:rPr>
          <w:rFonts w:ascii="Arial" w:cs="Arial" w:eastAsia="Arial" w:hAnsi="Arial"/>
          <w:color w:val="333333"/>
          <w:sz w:val="20"/>
          <w:szCs w:val="20"/>
        </w:rPr>
        <w:t xml:space="preserve">With third-party service providers who assist in operating the Platform (payment processors, verification providers, cloud infrastructure), bound by data processing agreements.</w:t>
      </w:r>
    </w:p>
    <w:p>
      <w:pPr>
        <w:pStyle w:val="ListParagraph"/>
        <w:numPr>
          <w:ilvl w:val="0"/>
          <w:numId w:val="2"/>
        </w:numPr>
        <w:spacing w:after="40" w:before="40"/>
      </w:pPr>
      <w:r>
        <w:rPr>
          <w:rFonts w:ascii="Arial" w:cs="Arial" w:eastAsia="Arial" w:hAnsi="Arial"/>
          <w:color w:val="333333"/>
          <w:sz w:val="20"/>
          <w:szCs w:val="20"/>
        </w:rPr>
        <w:t xml:space="preserve">With law enforcement or regulatory authorities when required by valid legal process, court order, or applicable law. See our Law Enforcement Policy for details.</w:t>
      </w:r>
    </w:p>
    <w:p>
      <w:pPr>
        <w:pStyle w:val="ListParagraph"/>
        <w:numPr>
          <w:ilvl w:val="0"/>
          <w:numId w:val="2"/>
        </w:numPr>
        <w:spacing w:after="40" w:before="40"/>
      </w:pPr>
      <w:r>
        <w:rPr>
          <w:rFonts w:ascii="Arial" w:cs="Arial" w:eastAsia="Arial" w:hAnsi="Arial"/>
          <w:color w:val="333333"/>
          <w:sz w:val="20"/>
          <w:szCs w:val="20"/>
        </w:rPr>
        <w:t xml:space="preserve">In the event of a merger, acquisition, or sale of all or substantially all of our assets, with appropriate protections for your data.</w:t>
      </w:r>
    </w:p>
    <w:p>
      <w:pPr>
        <w:pStyle w:val="ListParagraph"/>
        <w:numPr>
          <w:ilvl w:val="0"/>
          <w:numId w:val="2"/>
        </w:numPr>
        <w:spacing w:after="40" w:before="40"/>
      </w:pPr>
      <w:r>
        <w:rPr>
          <w:rFonts w:ascii="Arial" w:cs="Arial" w:eastAsia="Arial" w:hAnsi="Arial"/>
          <w:color w:val="333333"/>
          <w:sz w:val="20"/>
          <w:szCs w:val="20"/>
        </w:rPr>
        <w:t xml:space="preserve">With your consent, where you have authorized specific sharing.</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6. Data Retention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Data Category</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Retention Period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Account information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Duration of account plus 90 days following deletion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Published content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Until you delete it; legal holds may extend retention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Encrypted message ciphertext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90 days from creation, then automatically deleted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Transaction records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 years (tax and financial compliance)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Age verification attestations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Duration of 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Age verification documents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Immediately deleted after verification (where required by law)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Server logs and IP data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30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Prometheus and analytics metrics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14 days (aggregated, non-personal)</w:t>
            </w:r>
          </w:p>
        </w:tc>
      </w:tr>
    </w:tbl>
    <w:p>
      <w:pPr>
        <w:spacing w:after="80" w:before="80"/>
      </w:pPr>
      <w:r>
        <w:t xml:space="preserve"/>
      </w:r>
    </w:p>
    <w:p>
      <w:pPr>
        <w:pStyle w:val="Heading1"/>
        <w:spacing w:after="120" w:before="360"/>
      </w:pPr>
      <w:r>
        <w:rPr>
          <w:rFonts w:ascii="Arial" w:cs="Arial" w:eastAsia="Arial" w:hAnsi="Arial"/>
          <w:b/>
          <w:bCs/>
          <w:color w:val="0A1628"/>
          <w:sz w:val="32"/>
          <w:szCs w:val="32"/>
        </w:rPr>
        <w:t xml:space="preserve">7. Your Rights</w:t>
      </w:r>
    </w:p>
    <w:p>
      <w:pPr>
        <w:spacing w:after="60" w:before="60"/>
      </w:pPr>
      <w:r>
        <w:rPr>
          <w:rFonts w:ascii="Arial" w:cs="Arial" w:eastAsia="Arial" w:hAnsi="Arial"/>
          <w:color w:val="333333"/>
          <w:sz w:val="20"/>
          <w:szCs w:val="20"/>
        </w:rPr>
        <w:t xml:space="preserve">Depending on your location, you may have the following rights regarding your personal data:</w:t>
      </w:r>
    </w:p>
    <w:p>
      <w:pPr>
        <w:pStyle w:val="ListParagraph"/>
        <w:numPr>
          <w:ilvl w:val="0"/>
          <w:numId w:val="2"/>
        </w:numPr>
        <w:spacing w:after="40" w:before="40"/>
      </w:pPr>
      <w:r>
        <w:rPr>
          <w:rFonts w:ascii="Arial" w:cs="Arial" w:eastAsia="Arial" w:hAnsi="Arial"/>
          <w:color w:val="333333"/>
          <w:sz w:val="20"/>
          <w:szCs w:val="20"/>
        </w:rPr>
        <w:t xml:space="preserve">Access: Request a copy of personal data we hold about you.</w:t>
      </w:r>
    </w:p>
    <w:p>
      <w:pPr>
        <w:pStyle w:val="ListParagraph"/>
        <w:numPr>
          <w:ilvl w:val="0"/>
          <w:numId w:val="2"/>
        </w:numPr>
        <w:spacing w:after="40" w:before="40"/>
      </w:pPr>
      <w:r>
        <w:rPr>
          <w:rFonts w:ascii="Arial" w:cs="Arial" w:eastAsia="Arial" w:hAnsi="Arial"/>
          <w:color w:val="333333"/>
          <w:sz w:val="20"/>
          <w:szCs w:val="20"/>
        </w:rPr>
        <w:t xml:space="preserve">Correction: Request correction of inaccurate data.</w:t>
      </w:r>
    </w:p>
    <w:p>
      <w:pPr>
        <w:pStyle w:val="ListParagraph"/>
        <w:numPr>
          <w:ilvl w:val="0"/>
          <w:numId w:val="2"/>
        </w:numPr>
        <w:spacing w:after="40" w:before="40"/>
      </w:pPr>
      <w:r>
        <w:rPr>
          <w:rFonts w:ascii="Arial" w:cs="Arial" w:eastAsia="Arial" w:hAnsi="Arial"/>
          <w:color w:val="333333"/>
          <w:sz w:val="20"/>
          <w:szCs w:val="20"/>
        </w:rPr>
        <w:t xml:space="preserve">Deletion: Request deletion of your data, subject to legal retention requirements.</w:t>
      </w:r>
    </w:p>
    <w:p>
      <w:pPr>
        <w:pStyle w:val="ListParagraph"/>
        <w:numPr>
          <w:ilvl w:val="0"/>
          <w:numId w:val="2"/>
        </w:numPr>
        <w:spacing w:after="40" w:before="40"/>
      </w:pPr>
      <w:r>
        <w:rPr>
          <w:rFonts w:ascii="Arial" w:cs="Arial" w:eastAsia="Arial" w:hAnsi="Arial"/>
          <w:color w:val="333333"/>
          <w:sz w:val="20"/>
          <w:szCs w:val="20"/>
        </w:rPr>
        <w:t xml:space="preserve">Portability: Receive your data in a machine-readable format.</w:t>
      </w:r>
    </w:p>
    <w:p>
      <w:pPr>
        <w:pStyle w:val="ListParagraph"/>
        <w:numPr>
          <w:ilvl w:val="0"/>
          <w:numId w:val="2"/>
        </w:numPr>
        <w:spacing w:after="40" w:before="40"/>
      </w:pPr>
      <w:r>
        <w:rPr>
          <w:rFonts w:ascii="Arial" w:cs="Arial" w:eastAsia="Arial" w:hAnsi="Arial"/>
          <w:color w:val="333333"/>
          <w:sz w:val="20"/>
          <w:szCs w:val="20"/>
        </w:rPr>
        <w:t xml:space="preserve">Objection: Object to certain types of processing, including profiling.</w:t>
      </w:r>
    </w:p>
    <w:p>
      <w:pPr>
        <w:pStyle w:val="ListParagraph"/>
        <w:numPr>
          <w:ilvl w:val="0"/>
          <w:numId w:val="2"/>
        </w:numPr>
        <w:spacing w:after="40" w:before="40"/>
      </w:pPr>
      <w:r>
        <w:rPr>
          <w:rFonts w:ascii="Arial" w:cs="Arial" w:eastAsia="Arial" w:hAnsi="Arial"/>
          <w:color w:val="333333"/>
          <w:sz w:val="20"/>
          <w:szCs w:val="20"/>
        </w:rPr>
        <w:t xml:space="preserve">Restriction: Request restriction of processing in certain circumstances.</w:t>
      </w:r>
    </w:p>
    <w:p>
      <w:pPr>
        <w:spacing w:after="80" w:before="80"/>
      </w:pPr>
      <w:r>
        <w:t xml:space="preserve"/>
      </w:r>
    </w:p>
    <w:p>
      <w:pPr>
        <w:spacing w:after="60" w:before="60"/>
      </w:pPr>
      <w:r>
        <w:rPr>
          <w:rFonts w:ascii="Arial" w:cs="Arial" w:eastAsia="Arial" w:hAnsi="Arial"/>
          <w:color w:val="333333"/>
          <w:sz w:val="20"/>
          <w:szCs w:val="20"/>
        </w:rPr>
        <w:t xml:space="preserve">To exercise any of these rights, contact privacy@f33d3r.com. We will respond within 30 days. For EU/EEA users, response is within 30 calendar days per GDPR requirements. For California users, response is within 45 days per CCPA/CPRA.</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8. Security</w:t>
      </w:r>
    </w:p>
    <w:p>
      <w:pPr>
        <w:spacing w:after="60" w:before="60"/>
      </w:pPr>
      <w:r>
        <w:rPr>
          <w:rFonts w:ascii="Arial" w:cs="Arial" w:eastAsia="Arial" w:hAnsi="Arial"/>
          <w:color w:val="333333"/>
          <w:sz w:val="20"/>
          <w:szCs w:val="20"/>
        </w:rPr>
        <w:t xml:space="preserve">F33D3R employs multiple layers of technical security:</w:t>
      </w:r>
    </w:p>
    <w:p>
      <w:pPr>
        <w:pStyle w:val="ListParagraph"/>
        <w:numPr>
          <w:ilvl w:val="0"/>
          <w:numId w:val="2"/>
        </w:numPr>
        <w:spacing w:after="40" w:before="40"/>
      </w:pPr>
      <w:r>
        <w:rPr>
          <w:rFonts w:ascii="Arial" w:cs="Arial" w:eastAsia="Arial" w:hAnsi="Arial"/>
          <w:color w:val="333333"/>
          <w:sz w:val="20"/>
          <w:szCs w:val="20"/>
        </w:rPr>
        <w:t xml:space="preserve">End-to-end encryption for all direct messages (Vovin messaging service)</w:t>
      </w:r>
    </w:p>
    <w:p>
      <w:pPr>
        <w:pStyle w:val="ListParagraph"/>
        <w:numPr>
          <w:ilvl w:val="0"/>
          <w:numId w:val="2"/>
        </w:numPr>
        <w:spacing w:after="40" w:before="40"/>
      </w:pPr>
      <w:r>
        <w:rPr>
          <w:rFonts w:ascii="Arial" w:cs="Arial" w:eastAsia="Arial" w:hAnsi="Arial"/>
          <w:color w:val="333333"/>
          <w:sz w:val="20"/>
          <w:szCs w:val="20"/>
        </w:rPr>
        <w:t xml:space="preserve">Encryption at rest for sensitive data including verification attestations and wallet information</w:t>
      </w:r>
    </w:p>
    <w:p>
      <w:pPr>
        <w:pStyle w:val="ListParagraph"/>
        <w:numPr>
          <w:ilvl w:val="0"/>
          <w:numId w:val="2"/>
        </w:numPr>
        <w:spacing w:after="40" w:before="40"/>
      </w:pPr>
      <w:r>
        <w:rPr>
          <w:rFonts w:ascii="Arial" w:cs="Arial" w:eastAsia="Arial" w:hAnsi="Arial"/>
          <w:color w:val="333333"/>
          <w:sz w:val="20"/>
          <w:szCs w:val="20"/>
        </w:rPr>
        <w:t xml:space="preserve">TLS encryption for all data in transit</w:t>
      </w:r>
    </w:p>
    <w:p>
      <w:pPr>
        <w:pStyle w:val="ListParagraph"/>
        <w:numPr>
          <w:ilvl w:val="0"/>
          <w:numId w:val="2"/>
        </w:numPr>
        <w:spacing w:after="40" w:before="40"/>
      </w:pPr>
      <w:r>
        <w:rPr>
          <w:rFonts w:ascii="Arial" w:cs="Arial" w:eastAsia="Arial" w:hAnsi="Arial"/>
          <w:color w:val="333333"/>
          <w:sz w:val="20"/>
          <w:szCs w:val="20"/>
        </w:rPr>
        <w:t xml:space="preserve">Cryptographic identity architecture (PIAL) that separates platform identity from personally identifiable information</w:t>
      </w:r>
    </w:p>
    <w:p>
      <w:pPr>
        <w:pStyle w:val="ListParagraph"/>
        <w:numPr>
          <w:ilvl w:val="0"/>
          <w:numId w:val="2"/>
        </w:numPr>
        <w:spacing w:after="40" w:before="40"/>
      </w:pPr>
      <w:r>
        <w:rPr>
          <w:rFonts w:ascii="Arial" w:cs="Arial" w:eastAsia="Arial" w:hAnsi="Arial"/>
          <w:color w:val="333333"/>
          <w:sz w:val="20"/>
          <w:szCs w:val="20"/>
        </w:rPr>
        <w:t xml:space="preserve">Access controls and audit logging for all systems handling personal data</w:t>
      </w:r>
    </w:p>
    <w:p>
      <w:pPr>
        <w:spacing w:after="80" w:before="80"/>
      </w:pPr>
      <w:r>
        <w:t xml:space="preserve"/>
      </w:r>
    </w:p>
    <w:p>
      <w:pPr>
        <w:spacing w:after="60" w:before="60"/>
      </w:pPr>
      <w:r>
        <w:rPr>
          <w:rFonts w:ascii="Arial" w:cs="Arial" w:eastAsia="Arial" w:hAnsi="Arial"/>
          <w:color w:val="333333"/>
          <w:sz w:val="20"/>
          <w:szCs w:val="20"/>
        </w:rPr>
        <w:t xml:space="preserve">Despite these measures, no system is perfectly secure. In the event of a data breach, we will notify affected users and relevant authorities as required by applicable law, including within 72 hours where required by GDPR.</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9. Jurisdiction-Specific Rights</w:t>
      </w:r>
    </w:p>
    <w:p>
      <w:pPr>
        <w:pStyle w:val="Heading2"/>
        <w:spacing w:after="80" w:before="280"/>
      </w:pPr>
      <w:r>
        <w:rPr>
          <w:rFonts w:ascii="Arial" w:cs="Arial" w:eastAsia="Arial" w:hAnsi="Arial"/>
          <w:b/>
          <w:bCs/>
          <w:color w:val="0A1628"/>
          <w:sz w:val="26"/>
          <w:szCs w:val="26"/>
        </w:rPr>
        <w:t xml:space="preserve">9.1 European Economic Area (GDPR)</w:t>
      </w:r>
    </w:p>
    <w:p>
      <w:pPr>
        <w:spacing w:after="60" w:before="60"/>
      </w:pPr>
      <w:r>
        <w:rPr>
          <w:rFonts w:ascii="Arial" w:cs="Arial" w:eastAsia="Arial" w:hAnsi="Arial"/>
          <w:color w:val="333333"/>
          <w:sz w:val="20"/>
          <w:szCs w:val="20"/>
        </w:rPr>
        <w:t xml:space="preserve">If you are located in the EEA, you have rights under the General Data Protection Regulation including the right to lodge a complaint with your local supervisory authority. Our lawful bases for processing are set out in Section 3. For cross-border data transfers, we rely on Standard Contractual Clauses and implement supplemental technical measures.</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9.2 California (CCPA/CPRA)</w:t>
      </w:r>
    </w:p>
    <w:p>
      <w:pPr>
        <w:spacing w:after="60" w:before="60"/>
      </w:pPr>
      <w:r>
        <w:rPr>
          <w:rFonts w:ascii="Arial" w:cs="Arial" w:eastAsia="Arial" w:hAnsi="Arial"/>
          <w:color w:val="333333"/>
          <w:sz w:val="20"/>
          <w:szCs w:val="20"/>
        </w:rPr>
        <w:t xml:space="preserve">California residents have the right to know what personal information is collected, to delete personal information, to opt out of the sale or sharing of personal information (F33D3R does not sell personal information), and to non-discrimination for exercising these rights. To submit a request, contact privacy@f33d3r.com or use the in-app privacy dashboard.</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9.3 United Kingdom</w:t>
      </w:r>
    </w:p>
    <w:p>
      <w:pPr>
        <w:spacing w:after="60" w:before="60"/>
      </w:pPr>
      <w:r>
        <w:rPr>
          <w:rFonts w:ascii="Arial" w:cs="Arial" w:eastAsia="Arial" w:hAnsi="Arial"/>
          <w:color w:val="333333"/>
          <w:sz w:val="20"/>
          <w:szCs w:val="20"/>
        </w:rPr>
        <w:t xml:space="preserve">F33D3R processes data in accordance with UK GDPR. UK users may lodge complaints with the Information Commissioner's Office (ICO) at ico.org.uk.</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10. Children's Privacy</w:t>
      </w:r>
    </w:p>
    <w:p>
      <w:pPr>
        <w:spacing w:after="60" w:before="60"/>
      </w:pPr>
      <w:r>
        <w:rPr>
          <w:rFonts w:ascii="Arial" w:cs="Arial" w:eastAsia="Arial" w:hAnsi="Arial"/>
          <w:color w:val="333333"/>
          <w:sz w:val="20"/>
          <w:szCs w:val="20"/>
        </w:rPr>
        <w:t xml:space="preserve">F33D3R does not knowingly collect personal information from anyone under the age of 18. If we discover that a user is under 18, we will immediately suspend the account and delete associated personal data. If you believe a minor has accessed our platform, please contact security@f33d3r.com immediately.</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11. Changes to This Policy</w:t>
      </w:r>
    </w:p>
    <w:p>
      <w:pPr>
        <w:spacing w:after="60" w:before="60"/>
      </w:pPr>
      <w:r>
        <w:rPr>
          <w:rFonts w:ascii="Arial" w:cs="Arial" w:eastAsia="Arial" w:hAnsi="Arial"/>
          <w:color w:val="333333"/>
          <w:sz w:val="20"/>
          <w:szCs w:val="20"/>
        </w:rPr>
        <w:t xml:space="preserve">We will notify you of material changes to this Privacy Policy via in-app notice and email at least 30 days before they take effect. The current version and effective date are always displayed at the top of this document.</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12. Contact</w:t>
      </w:r>
    </w:p>
    <w:p>
      <w:pPr>
        <w:spacing w:after="60" w:before="60"/>
      </w:pPr>
      <w:r>
        <w:rPr>
          <w:rFonts w:ascii="Arial" w:cs="Arial" w:eastAsia="Arial" w:hAnsi="Arial"/>
          <w:color w:val="333333"/>
          <w:sz w:val="20"/>
          <w:szCs w:val="20"/>
        </w:rPr>
        <w:t xml:space="preserve">Data protection inquiries: privacy@f33d3r.com</w:t>
      </w:r>
    </w:p>
    <w:p>
      <w:pPr>
        <w:spacing w:after="60" w:before="60"/>
      </w:pPr>
      <w:r>
        <w:rPr>
          <w:rFonts w:ascii="Arial" w:cs="Arial" w:eastAsia="Arial" w:hAnsi="Arial"/>
          <w:color w:val="333333"/>
          <w:sz w:val="20"/>
          <w:szCs w:val="20"/>
        </w:rPr>
        <w:t xml:space="preserve">For EU/UK users, our representative can be reached at the same address pending appointment of a formal EU/UK representative.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F33D3R Privacy Policy — Version 1.0 — Effective May 9, 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A162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2026-05-09T15:55:13.266Z</dcterms:created>
  <dcterms:modified xsi:type="dcterms:W3CDTF">2026-05-09T15:55:13.266Z</dcterms:modified>
</cp:coreProperties>
</file>

<file path=docProps/custom.xml><?xml version="1.0" encoding="utf-8"?>
<Properties xmlns="http://schemas.openxmlformats.org/officeDocument/2006/custom-properties" xmlns:vt="http://schemas.openxmlformats.org/officeDocument/2006/docPropsVTypes"/>
</file>