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0A1628"/>
          <w:sz w:val="72"/>
          <w:szCs w:val="72"/>
        </w:rPr>
        <w:t xml:space="preserve">F33D3R</w:t>
      </w:r>
    </w:p>
    <w:p>
      <w:pPr>
        <w:spacing w:after="120" w:before="0"/>
        <w:jc w:val="center"/>
      </w:pPr>
      <w:r>
        <w:rPr>
          <w:rFonts w:ascii="Arial" w:cs="Arial" w:eastAsia="Arial" w:hAnsi="Arial"/>
          <w:b/>
          <w:bCs/>
          <w:color w:val="F5A623"/>
          <w:sz w:val="40"/>
          <w:szCs w:val="40"/>
        </w:rPr>
        <w:t xml:space="preserve">REFUND AND DISPUTE POLICY</w:t>
      </w:r>
    </w:p>
    <w:p>
      <w:pPr>
        <w:spacing w:after="480" w:before="0"/>
        <w:jc w:val="center"/>
      </w:pPr>
      <w:r>
        <w:rPr>
          <w:rFonts w:ascii="Arial" w:cs="Arial" w:eastAsia="Arial" w:hAnsi="Arial"/>
          <w:i/>
          <w:iCs/>
          <w:color w:val="333333"/>
          <w:sz w:val="22"/>
          <w:szCs w:val="22"/>
        </w:rPr>
        <w:t xml:space="preserve">How transactions are resolved on the F33D3R Platform</w:t>
      </w:r>
    </w:p>
    <w:p>
      <w:pPr>
        <w:spacing w:after="80" w:before="0"/>
        <w:jc w:val="center"/>
      </w:pPr>
      <w:r>
        <w:rPr>
          <w:rFonts w:ascii="Arial" w:cs="Arial" w:eastAsia="Arial" w:hAnsi="Arial"/>
          <w:color w:val="333333"/>
          <w:sz w:val="20"/>
          <w:szCs w:val="20"/>
        </w:rPr>
        <w:t xml:space="preserve">Effective Date: May 9, 2026</w:t>
      </w:r>
    </w:p>
    <w:p>
      <w:pPr>
        <w:spacing w:after="80" w:before="0"/>
        <w:jc w:val="center"/>
      </w:pPr>
      <w:r>
        <w:rPr>
          <w:rFonts w:ascii="Arial" w:cs="Arial" w:eastAsia="Arial" w:hAnsi="Arial"/>
          <w:color w:val="333333"/>
          <w:sz w:val="20"/>
          <w:szCs w:val="20"/>
        </w:rPr>
        <w:t xml:space="preserve">Version: 1.0</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180"/>
              <w:bottom w:type="dxa" w:w="120"/>
              <w:right w:type="dxa" w:w="180"/>
            </w:tcMar>
          </w:tcPr>
          <w:p>
            <w:r>
              <w:rPr>
                <w:rFonts w:ascii="Arial" w:cs="Arial" w:eastAsia="Arial" w:hAnsi="Arial"/>
                <w:color w:val="856404"/>
                <w:sz w:val="18"/>
                <w:szCs w:val="18"/>
              </w:rPr>
              <w:t xml:space="preserve">⚠️  This document constitutes a legally binding agreement. Please read it carefully before using F33D3R. By creating an account or accessing the platform, you agree to these terms in their entirety.</w:t>
            </w:r>
          </w:p>
        </w:tc>
      </w:tr>
    </w:tbl>
    <w:p>
      <w:pPr>
        <w:spacing w:after="80" w:before="80"/>
      </w:pPr>
      <w:r>
        <w:t xml:space="preserve"/>
      </w:r>
    </w:p>
    <w:p>
      <w:r>
        <w:br w:type="page"/>
      </w:r>
    </w:p>
    <w:p>
      <w:pPr>
        <w:pStyle w:val="Heading1"/>
        <w:spacing w:after="120" w:before="360"/>
      </w:pPr>
      <w:r>
        <w:rPr>
          <w:rFonts w:ascii="Arial" w:cs="Arial" w:eastAsia="Arial" w:hAnsi="Arial"/>
          <w:b/>
          <w:bCs/>
          <w:color w:val="0A1628"/>
          <w:sz w:val="32"/>
          <w:szCs w:val="32"/>
        </w:rPr>
        <w:t xml:space="preserve">1. General Principles</w:t>
      </w:r>
    </w:p>
    <w:p>
      <w:pPr>
        <w:spacing w:after="60" w:before="60"/>
      </w:pPr>
      <w:r>
        <w:rPr>
          <w:rFonts w:ascii="Arial" w:cs="Arial" w:eastAsia="Arial" w:hAnsi="Arial"/>
          <w:color w:val="333333"/>
          <w:sz w:val="20"/>
          <w:szCs w:val="20"/>
        </w:rPr>
        <w:t xml:space="preserve">All sales of digital content on F33D3R are generally final. Digital content, by its nature, is immediately delivered upon purchase and cannot be returned. However, F33D3R provides a fair dispute resolution process and will issue refunds where legally required or where circumstances warrant.</w:t>
      </w:r>
    </w:p>
    <w:p>
      <w:pPr>
        <w:spacing w:after="80" w:before="80"/>
      </w:pPr>
      <w:r>
        <w:t xml:space="preserve"/>
      </w:r>
    </w:p>
    <w:p>
      <w:pPr>
        <w:pStyle w:val="Heading1"/>
        <w:spacing w:after="120" w:before="360"/>
      </w:pPr>
      <w:r>
        <w:rPr>
          <w:rFonts w:ascii="Arial" w:cs="Arial" w:eastAsia="Arial" w:hAnsi="Arial"/>
          <w:b/>
          <w:bCs/>
          <w:color w:val="0A1628"/>
          <w:sz w:val="32"/>
          <w:szCs w:val="32"/>
        </w:rPr>
        <w:t xml:space="preserve">2. When Refunds Are Available</w:t>
      </w:r>
    </w:p>
    <w:p>
      <w:pPr>
        <w:spacing w:after="60" w:before="60"/>
      </w:pPr>
      <w:r>
        <w:rPr>
          <w:rFonts w:ascii="Arial" w:cs="Arial" w:eastAsia="Arial" w:hAnsi="Arial"/>
          <w:color w:val="333333"/>
          <w:sz w:val="20"/>
          <w:szCs w:val="20"/>
        </w:rPr>
        <w:t xml:space="preserve">Refunds may be issued in the following circumstances: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Circumstance</w:t>
            </w:r>
          </w:p>
        </w:tc>
        <w:tc>
          <w:tcPr>
            <w:tcW w:type="dxa" w:w="63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Refund Treatment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Content not delivered or inaccessible due to platform error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Full refund to original payment method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Unauthorized transaction on your account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Full refund pending investigation; account security review required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Creator account terminated for policy violations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Pro-rata refund of prepaid subscription amounts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Required by applicable consumer protection law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Refund as required by law</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EU/UK users: digital content not yet accessed within 14 days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Full refund per right of withdrawal; waived upon access</w:t>
            </w:r>
          </w:p>
        </w:tc>
      </w:tr>
    </w:tbl>
    <w:p>
      <w:pPr>
        <w:spacing w:after="80" w:before="80"/>
      </w:pPr>
      <w:r>
        <w:t xml:space="preserve"/>
      </w:r>
    </w:p>
    <w:p>
      <w:pPr>
        <w:pStyle w:val="Heading1"/>
        <w:spacing w:after="120" w:before="360"/>
      </w:pPr>
      <w:r>
        <w:rPr>
          <w:rFonts w:ascii="Arial" w:cs="Arial" w:eastAsia="Arial" w:hAnsi="Arial"/>
          <w:b/>
          <w:bCs/>
          <w:color w:val="0A1628"/>
          <w:sz w:val="32"/>
          <w:szCs w:val="32"/>
        </w:rPr>
        <w:t xml:space="preserve">3. Subscription Cancellations</w:t>
      </w:r>
    </w:p>
    <w:p>
      <w:pPr>
        <w:spacing w:after="60" w:before="60"/>
      </w:pPr>
      <w:r>
        <w:rPr>
          <w:rFonts w:ascii="Arial" w:cs="Arial" w:eastAsia="Arial" w:hAnsi="Arial"/>
          <w:color w:val="333333"/>
          <w:sz w:val="20"/>
          <w:szCs w:val="20"/>
        </w:rPr>
        <w:t xml:space="preserve">You may cancel any subscription at any time through your account settings. Upon cancellation:</w:t>
      </w:r>
    </w:p>
    <w:p>
      <w:pPr>
        <w:pStyle w:val="ListParagraph"/>
        <w:numPr>
          <w:ilvl w:val="0"/>
          <w:numId w:val="2"/>
        </w:numPr>
        <w:spacing w:after="40" w:before="40"/>
      </w:pPr>
      <w:r>
        <w:rPr>
          <w:rFonts w:ascii="Arial" w:cs="Arial" w:eastAsia="Arial" w:hAnsi="Arial"/>
          <w:color w:val="333333"/>
          <w:sz w:val="20"/>
          <w:szCs w:val="20"/>
        </w:rPr>
        <w:t xml:space="preserve">Your subscription access continues until the end of the current paid billing period.</w:t>
      </w:r>
    </w:p>
    <w:p>
      <w:pPr>
        <w:pStyle w:val="ListParagraph"/>
        <w:numPr>
          <w:ilvl w:val="0"/>
          <w:numId w:val="2"/>
        </w:numPr>
        <w:spacing w:after="40" w:before="40"/>
      </w:pPr>
      <w:r>
        <w:rPr>
          <w:rFonts w:ascii="Arial" w:cs="Arial" w:eastAsia="Arial" w:hAnsi="Arial"/>
          <w:color w:val="333333"/>
          <w:sz w:val="20"/>
          <w:szCs w:val="20"/>
        </w:rPr>
        <w:t xml:space="preserve">No partial refunds are issued for unused time within a billing period, except where required by applicable law.</w:t>
      </w:r>
    </w:p>
    <w:p>
      <w:pPr>
        <w:pStyle w:val="ListParagraph"/>
        <w:numPr>
          <w:ilvl w:val="0"/>
          <w:numId w:val="2"/>
        </w:numPr>
        <w:spacing w:after="40" w:before="40"/>
      </w:pPr>
      <w:r>
        <w:rPr>
          <w:rFonts w:ascii="Arial" w:cs="Arial" w:eastAsia="Arial" w:hAnsi="Arial"/>
          <w:color w:val="333333"/>
          <w:sz w:val="20"/>
          <w:szCs w:val="20"/>
        </w:rPr>
        <w:t xml:space="preserve">If you cancel within 24 hours of an automatic renewal and have not accessed the subscription content in that period, you may request a refund of the renewal charge.</w:t>
      </w:r>
    </w:p>
    <w:p>
      <w:pPr>
        <w:spacing w:after="80" w:before="80"/>
      </w:pPr>
      <w:r>
        <w:t xml:space="preserve"/>
      </w:r>
    </w:p>
    <w:p>
      <w:pPr>
        <w:pStyle w:val="Heading1"/>
        <w:spacing w:after="120" w:before="360"/>
      </w:pPr>
      <w:r>
        <w:rPr>
          <w:rFonts w:ascii="Arial" w:cs="Arial" w:eastAsia="Arial" w:hAnsi="Arial"/>
          <w:b/>
          <w:bCs/>
          <w:color w:val="0A1628"/>
          <w:sz w:val="32"/>
          <w:szCs w:val="32"/>
        </w:rPr>
        <w:t xml:space="preserve">4. Tips and One-Time Payments</w:t>
      </w:r>
    </w:p>
    <w:p>
      <w:pPr>
        <w:spacing w:after="60" w:before="60"/>
      </w:pPr>
      <w:r>
        <w:rPr>
          <w:rFonts w:ascii="Arial" w:cs="Arial" w:eastAsia="Arial" w:hAnsi="Arial"/>
          <w:color w:val="333333"/>
          <w:sz w:val="20"/>
          <w:szCs w:val="20"/>
        </w:rPr>
        <w:t xml:space="preserve">Tips sent to creators are not refundable except in cases of unauthorized transactions. Tips are a voluntary expression of appreciation and are processed immediately to the recipient's AET balance.</w:t>
      </w:r>
    </w:p>
    <w:p>
      <w:pPr>
        <w:spacing w:after="80" w:before="80"/>
      </w:pPr>
      <w:r>
        <w:t xml:space="preserve"/>
      </w:r>
    </w:p>
    <w:p>
      <w:pPr>
        <w:pStyle w:val="Heading1"/>
        <w:spacing w:after="120" w:before="360"/>
      </w:pPr>
      <w:r>
        <w:rPr>
          <w:rFonts w:ascii="Arial" w:cs="Arial" w:eastAsia="Arial" w:hAnsi="Arial"/>
          <w:b/>
          <w:bCs/>
          <w:color w:val="0A1628"/>
          <w:sz w:val="32"/>
          <w:szCs w:val="32"/>
        </w:rPr>
        <w:t xml:space="preserve">5. Dispute Resolution Process</w:t>
      </w:r>
    </w:p>
    <w:p>
      <w:pPr>
        <w:spacing w:after="60" w:before="60"/>
      </w:pPr>
      <w:r>
        <w:rPr>
          <w:rFonts w:ascii="Arial" w:cs="Arial" w:eastAsia="Arial" w:hAnsi="Arial"/>
          <w:color w:val="333333"/>
          <w:sz w:val="20"/>
          <w:szCs w:val="20"/>
        </w:rPr>
        <w:t xml:space="preserve">To initiate a dispute:</w:t>
      </w:r>
    </w:p>
    <w:p>
      <w:pPr>
        <w:pStyle w:val="ListParagraph"/>
        <w:numPr>
          <w:ilvl w:val="0"/>
          <w:numId w:val="2"/>
        </w:numPr>
        <w:spacing w:after="40" w:before="40"/>
      </w:pPr>
      <w:r>
        <w:rPr>
          <w:rFonts w:ascii="Arial" w:cs="Arial" w:eastAsia="Arial" w:hAnsi="Arial"/>
          <w:color w:val="333333"/>
          <w:sz w:val="20"/>
          <w:szCs w:val="20"/>
        </w:rPr>
        <w:t xml:space="preserve">Step 1: Contact the creator directly through the Platform's messaging system. Many disputes can be resolved directly.</w:t>
      </w:r>
    </w:p>
    <w:p>
      <w:pPr>
        <w:pStyle w:val="ListParagraph"/>
        <w:numPr>
          <w:ilvl w:val="0"/>
          <w:numId w:val="2"/>
        </w:numPr>
        <w:spacing w:after="40" w:before="40"/>
      </w:pPr>
      <w:r>
        <w:rPr>
          <w:rFonts w:ascii="Arial" w:cs="Arial" w:eastAsia="Arial" w:hAnsi="Arial"/>
          <w:color w:val="333333"/>
          <w:sz w:val="20"/>
          <w:szCs w:val="20"/>
        </w:rPr>
        <w:t xml:space="preserve">Step 2: If you cannot resolve the dispute with the creator, submit a formal dispute through your account's transaction history. Include the transaction ID, amount, date, and reason for the dispute.</w:t>
      </w:r>
    </w:p>
    <w:p>
      <w:pPr>
        <w:pStyle w:val="ListParagraph"/>
        <w:numPr>
          <w:ilvl w:val="0"/>
          <w:numId w:val="2"/>
        </w:numPr>
        <w:spacing w:after="40" w:before="40"/>
      </w:pPr>
      <w:r>
        <w:rPr>
          <w:rFonts w:ascii="Arial" w:cs="Arial" w:eastAsia="Arial" w:hAnsi="Arial"/>
          <w:color w:val="333333"/>
          <w:sz w:val="20"/>
          <w:szCs w:val="20"/>
        </w:rPr>
        <w:t xml:space="preserve">Step 3: F33D3R will review the transaction logs, content delivery records, and any communications provided. We will issue a determination within 14 business days.</w:t>
      </w:r>
    </w:p>
    <w:p>
      <w:pPr>
        <w:pStyle w:val="ListParagraph"/>
        <w:numPr>
          <w:ilvl w:val="0"/>
          <w:numId w:val="2"/>
        </w:numPr>
        <w:spacing w:after="40" w:before="40"/>
      </w:pPr>
      <w:r>
        <w:rPr>
          <w:rFonts w:ascii="Arial" w:cs="Arial" w:eastAsia="Arial" w:hAnsi="Arial"/>
          <w:color w:val="333333"/>
          <w:sz w:val="20"/>
          <w:szCs w:val="20"/>
        </w:rPr>
        <w:t xml:space="preserve">Step 4: If you disagree with F33D3R's determination, you may escalate the matter per the dispute resolution provisions in the Terms of Service.</w:t>
      </w:r>
    </w:p>
    <w:p>
      <w:pPr>
        <w:spacing w:after="80" w:before="80"/>
      </w:pPr>
      <w:r>
        <w:t xml:space="preserve"/>
      </w:r>
    </w:p>
    <w:p>
      <w:pPr>
        <w:pStyle w:val="Heading1"/>
        <w:spacing w:after="120" w:before="360"/>
      </w:pPr>
      <w:r>
        <w:rPr>
          <w:rFonts w:ascii="Arial" w:cs="Arial" w:eastAsia="Arial" w:hAnsi="Arial"/>
          <w:b/>
          <w:bCs/>
          <w:color w:val="0A1628"/>
          <w:sz w:val="32"/>
          <w:szCs w:val="32"/>
        </w:rPr>
        <w:t xml:space="preserve">6. Chargebacks</w:t>
      </w:r>
    </w:p>
    <w:p>
      <w:pPr>
        <w:spacing w:after="60" w:before="60"/>
      </w:pPr>
      <w:r>
        <w:rPr>
          <w:rFonts w:ascii="Arial" w:cs="Arial" w:eastAsia="Arial" w:hAnsi="Arial"/>
          <w:color w:val="333333"/>
          <w:sz w:val="20"/>
          <w:szCs w:val="20"/>
        </w:rPr>
        <w:t xml:space="preserve">Filing a chargeback with your payment provider without first exhausting the dispute process above constitutes a violation of these Terms. Accounts subject to fraudulent chargebacks may be suspended, and AET balances may be held pending resolution. F33D3R will contest chargebacks that are inconsistent with our records of content delivery and user authorization.</w:t>
      </w:r>
    </w:p>
    <w:p>
      <w:pPr>
        <w:spacing w:after="80" w:before="80"/>
      </w:pPr>
      <w:r>
        <w:t xml:space="preserve"/>
      </w:r>
    </w:p>
    <w:p>
      <w:pPr>
        <w:pStyle w:val="Heading1"/>
        <w:spacing w:after="120" w:before="360"/>
      </w:pPr>
      <w:r>
        <w:rPr>
          <w:rFonts w:ascii="Arial" w:cs="Arial" w:eastAsia="Arial" w:hAnsi="Arial"/>
          <w:b/>
          <w:bCs/>
          <w:color w:val="0A1628"/>
          <w:sz w:val="32"/>
          <w:szCs w:val="32"/>
        </w:rPr>
        <w:t xml:space="preserve">7. Creator Protections</w:t>
      </w:r>
    </w:p>
    <w:p>
      <w:pPr>
        <w:spacing w:after="60" w:before="60"/>
      </w:pPr>
      <w:r>
        <w:rPr>
          <w:rFonts w:ascii="Arial" w:cs="Arial" w:eastAsia="Arial" w:hAnsi="Arial"/>
          <w:color w:val="333333"/>
          <w:sz w:val="20"/>
          <w:szCs w:val="20"/>
        </w:rPr>
        <w:t xml:space="preserve">F33D3R maintains transaction records and content delivery logs to protect creators against fraudulent disputes. Creators are notified of disputes affecting their earnings and have the opportunity to provide evidence before a determination is made.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F33D3R Refund &amp; Dispute Policy — Version 1.0 — Effective May 9, 2026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A1628"/>
      <w:sz w:val="32"/>
      <w:szCs w:val="32"/>
    </w:rPr>
  </w:style>
  <w:style w:type="paragraph" w:styleId="Heading2">
    <w:name w:val="Heading 2"/>
    <w:basedOn w:val="Normal"/>
    <w:next w:val="Normal"/>
    <w:qFormat/>
    <w:pPr>
      <w:spacing w:after="80" w:before="280"/>
      <w:outlineLvl w:val="1"/>
    </w:pPr>
    <w:rPr>
      <w:rFonts w:ascii="Arial" w:cs="Arial" w:eastAsia="Arial" w:hAnsi="Arial"/>
      <w:b/>
      <w:bCs/>
      <w:color w:val="0A1628"/>
      <w:sz w:val="26"/>
      <w:szCs w:val="26"/>
    </w:rPr>
  </w:style>
  <w:style w:type="paragraph" w:styleId="Heading3">
    <w:name w:val="Heading 3"/>
    <w:basedOn w:val="Normal"/>
    <w:next w:val="Normal"/>
    <w:qFormat/>
    <w:pPr>
      <w:spacing w:after="6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2026-05-09T15:55:13.384Z</dcterms:created>
  <dcterms:modified xsi:type="dcterms:W3CDTF">2026-05-09T15:55:13.384Z</dcterms:modified>
</cp:coreProperties>
</file>

<file path=docProps/custom.xml><?xml version="1.0" encoding="utf-8"?>
<Properties xmlns="http://schemas.openxmlformats.org/officeDocument/2006/custom-properties" xmlns:vt="http://schemas.openxmlformats.org/officeDocument/2006/docPropsVTypes"/>
</file>