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EB36" w14:textId="0716E874" w:rsidR="003C02C9" w:rsidRDefault="003C02C9">
      <w:r>
        <w:rPr>
          <w:noProof/>
        </w:rPr>
        <w:drawing>
          <wp:anchor distT="0" distB="0" distL="114300" distR="114300" simplePos="0" relativeHeight="251658240" behindDoc="0" locked="0" layoutInCell="1" allowOverlap="1" wp14:anchorId="17738F6F" wp14:editId="5704E497">
            <wp:simplePos x="0" y="0"/>
            <wp:positionH relativeFrom="column">
              <wp:posOffset>-409575</wp:posOffset>
            </wp:positionH>
            <wp:positionV relativeFrom="paragraph">
              <wp:posOffset>-515620</wp:posOffset>
            </wp:positionV>
            <wp:extent cx="6805930" cy="9265184"/>
            <wp:effectExtent l="0" t="0" r="0" b="0"/>
            <wp:wrapNone/>
            <wp:docPr id="1" name="Picture 1" descr="Capex vs Opex | Top 8 Best Differences (with Infographi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ex vs Opex | Top 8 Best Differences (with Infographic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30" cy="92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2D332C" w14:textId="434E3539" w:rsidR="003C02C9" w:rsidRDefault="003C02C9"/>
    <w:p w14:paraId="6E65C57A" w14:textId="61531694" w:rsidR="003C02C9" w:rsidRDefault="003C02C9"/>
    <w:p w14:paraId="635ED441" w14:textId="3492D706" w:rsidR="003C02C9" w:rsidRDefault="003C02C9"/>
    <w:p w14:paraId="05476E2E" w14:textId="08ECFF9D" w:rsidR="003C02C9" w:rsidRDefault="003C02C9"/>
    <w:p w14:paraId="4E976764" w14:textId="793A654B" w:rsidR="003C02C9" w:rsidRDefault="003C02C9"/>
    <w:p w14:paraId="6C6E6E50" w14:textId="7E1EDC8B" w:rsidR="003C02C9" w:rsidRDefault="003C02C9"/>
    <w:p w14:paraId="64F6A59F" w14:textId="5E18BBB6" w:rsidR="003C02C9" w:rsidRDefault="003C02C9"/>
    <w:p w14:paraId="66A231CE" w14:textId="067C0DE2" w:rsidR="003C02C9" w:rsidRDefault="003C02C9"/>
    <w:p w14:paraId="5F72AF3E" w14:textId="4A7EA8DD" w:rsidR="003C02C9" w:rsidRDefault="003C02C9"/>
    <w:p w14:paraId="6C31949F" w14:textId="63EE1CF9" w:rsidR="003C02C9" w:rsidRDefault="003C02C9"/>
    <w:p w14:paraId="6785F6F1" w14:textId="12346CC9" w:rsidR="003C02C9" w:rsidRDefault="003C02C9"/>
    <w:p w14:paraId="7C77EB2C" w14:textId="3CF128FB" w:rsidR="003C02C9" w:rsidRDefault="003C02C9"/>
    <w:p w14:paraId="72BECEDE" w14:textId="0EBF9D94" w:rsidR="003C02C9" w:rsidRDefault="003C02C9"/>
    <w:p w14:paraId="7E7EAB98" w14:textId="01E6AC5E" w:rsidR="003C02C9" w:rsidRDefault="003C02C9"/>
    <w:p w14:paraId="31E0A8FB" w14:textId="0F155760" w:rsidR="003C02C9" w:rsidRDefault="003C02C9"/>
    <w:p w14:paraId="5376A905" w14:textId="369FFCC4" w:rsidR="003C02C9" w:rsidRDefault="003C02C9"/>
    <w:p w14:paraId="2FAD8E55" w14:textId="62A8A7FF" w:rsidR="003C02C9" w:rsidRDefault="003C02C9"/>
    <w:p w14:paraId="3F65A7F6" w14:textId="366353ED" w:rsidR="003C02C9" w:rsidRDefault="003C02C9"/>
    <w:p w14:paraId="47FC4D5A" w14:textId="2648153F" w:rsidR="003C02C9" w:rsidRDefault="003C02C9"/>
    <w:p w14:paraId="1748C4E3" w14:textId="5F48C0F5" w:rsidR="003C02C9" w:rsidRDefault="003C02C9"/>
    <w:p w14:paraId="28D59AF4" w14:textId="6A66B4AA" w:rsidR="003C02C9" w:rsidRDefault="003C02C9"/>
    <w:p w14:paraId="7A1CCD84" w14:textId="47A82C27" w:rsidR="003C02C9" w:rsidRDefault="003C02C9"/>
    <w:p w14:paraId="6A5F502D" w14:textId="7C171364" w:rsidR="003C02C9" w:rsidRDefault="003C02C9"/>
    <w:p w14:paraId="6F4B8CB7" w14:textId="77777777" w:rsidR="003C02C9" w:rsidRDefault="003C02C9"/>
    <w:p w14:paraId="0673FB67" w14:textId="39C2CDA4" w:rsidR="003C02C9" w:rsidRDefault="003C02C9"/>
    <w:p w14:paraId="16A4BD72" w14:textId="4539C55A" w:rsidR="003C02C9" w:rsidRDefault="003C02C9"/>
    <w:p w14:paraId="4C1BD7C8" w14:textId="3C1B9DA9" w:rsidR="003C02C9" w:rsidRDefault="003C02C9"/>
    <w:p w14:paraId="45CEA344" w14:textId="6FD1DBAB" w:rsidR="003C02C9" w:rsidRDefault="003C02C9"/>
    <w:p w14:paraId="67B01E03" w14:textId="77777777" w:rsidR="00301FB6" w:rsidRPr="00301FB6" w:rsidRDefault="00301FB6" w:rsidP="00301FB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4495E"/>
        </w:rPr>
      </w:pPr>
      <w:proofErr w:type="spellStart"/>
      <w:r w:rsidRPr="00301FB6">
        <w:rPr>
          <w:rFonts w:ascii="Arial" w:hAnsi="Arial" w:cs="Arial"/>
          <w:b w:val="0"/>
          <w:bCs w:val="0"/>
          <w:color w:val="34495E"/>
        </w:rPr>
        <w:lastRenderedPageBreak/>
        <w:t>CapEx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nə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deməkdir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>?</w:t>
      </w:r>
    </w:p>
    <w:p w14:paraId="6A7C3972" w14:textId="77777777" w:rsidR="00301FB6" w:rsidRPr="00301FB6" w:rsidRDefault="00301FB6" w:rsidP="00301FB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CapEx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ya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kapital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məsrəfləri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gələcəkdə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istifadə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olunacaq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aktivlər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çəkilmiş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birdəfəlik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ilkin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aiddir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. Kapital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alışı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şirkətin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balansında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göstərilir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ömrü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boyu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dəyərdən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düşür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 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Biznes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vergi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ilindən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daha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uzun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müddət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ərzində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aktivdən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dəyər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əldə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etməyi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gözləyir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</w:t>
      </w:r>
    </w:p>
    <w:p w14:paraId="3AB4BAE2" w14:textId="77777777" w:rsidR="00301FB6" w:rsidRPr="00301FB6" w:rsidRDefault="00301FB6" w:rsidP="00301FB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İlkin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əhəmiyyətli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ola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biləcəyi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CapEx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büdcə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tərtib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etmək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bu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növ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alışlar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qədər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pul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ayırmağı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nəzərdə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tutur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. Bu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adətən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o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deməkdir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ki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bu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satınalmalarda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təsdiq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almaq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daha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ciddi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prosesə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riayət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etmək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lazımdır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</w:t>
      </w:r>
    </w:p>
    <w:p w14:paraId="42723C3B" w14:textId="77777777" w:rsidR="00301FB6" w:rsidRPr="00301FB6" w:rsidRDefault="00301FB6" w:rsidP="00301FB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Vergiyə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gəldikdə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CapEx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ayırmaları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aktivin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istifadə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müddəti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ərzində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amortizasiya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edilməlidir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</w:t>
      </w:r>
    </w:p>
    <w:p w14:paraId="3E7B7EEB" w14:textId="77777777" w:rsidR="00301FB6" w:rsidRPr="00301FB6" w:rsidRDefault="00301FB6" w:rsidP="00301FB6">
      <w:pPr>
        <w:pStyle w:val="NormalWeb"/>
        <w:shd w:val="clear" w:color="auto" w:fill="F9F7F2"/>
        <w:spacing w:before="0" w:beforeAutospacing="0" w:after="0" w:afterAutospacing="0"/>
        <w:textAlignment w:val="baseline"/>
        <w:rPr>
          <w:rFonts w:ascii="Work Sans" w:hAnsi="Work Sans"/>
          <w:color w:val="1A1A1A"/>
          <w:sz w:val="36"/>
          <w:szCs w:val="36"/>
        </w:rPr>
      </w:pP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CapEx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ildən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artıq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iqtisadi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dəyər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yaradan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(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yəni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aktiv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)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xərcləri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əhatə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Şübhəsiz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torpaq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binalar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həm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patentlər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müəllif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hüquqları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s. İT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satınalmaları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üçün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proqram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lisenziyaları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avadanlıqları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düşünün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CapEx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-in İT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ilə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bağlı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üstünlüklərinə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tam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nəzarət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daha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çox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 </w:t>
      </w:r>
      <w:hyperlink r:id="rId6" w:history="1">
        <w:r w:rsidRPr="00301FB6">
          <w:rPr>
            <w:rStyle w:val="Hyperlink"/>
            <w:rFonts w:ascii="inherit" w:hAnsi="inherit"/>
            <w:color w:val="2C3047"/>
            <w:sz w:val="36"/>
            <w:szCs w:val="36"/>
            <w:bdr w:val="none" w:sz="0" w:space="0" w:color="auto" w:frame="1"/>
          </w:rPr>
          <w:t xml:space="preserve">İT </w:t>
        </w:r>
        <w:proofErr w:type="spellStart"/>
        <w:r w:rsidRPr="00301FB6">
          <w:rPr>
            <w:rStyle w:val="Hyperlink"/>
            <w:rFonts w:ascii="inherit" w:hAnsi="inherit"/>
            <w:color w:val="2C3047"/>
            <w:sz w:val="36"/>
            <w:szCs w:val="36"/>
            <w:bdr w:val="none" w:sz="0" w:space="0" w:color="auto" w:frame="1"/>
          </w:rPr>
          <w:t>çevikliyi</w:t>
        </w:r>
        <w:proofErr w:type="spellEnd"/>
      </w:hyperlink>
      <w:r w:rsidRPr="00301FB6">
        <w:rPr>
          <w:rFonts w:ascii="Work Sans" w:hAnsi="Work Sans"/>
          <w:color w:val="1A1A1A"/>
          <w:sz w:val="36"/>
          <w:szCs w:val="36"/>
        </w:rPr>
        <w:t>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daxildir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çünki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siz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hər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şeyə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diqqət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yetirirsiniz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Lakin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bu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nəzarətə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sahib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olmaq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böyük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ilkin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xərc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deməkdir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alış-verişinizi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bağlamaq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deməkdir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("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ilişib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"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deyə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bilər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).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Texnologiyada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növbəti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böyük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şeyin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yaxında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olduğunu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söyləməyimə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ehtiyacınız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yoxdur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</w:t>
      </w:r>
    </w:p>
    <w:p w14:paraId="22C0C3E1" w14:textId="5F73C19C" w:rsidR="00301FB6" w:rsidRDefault="00301FB6" w:rsidP="00301FB6">
      <w:pPr>
        <w:pStyle w:val="NormalWeb"/>
        <w:shd w:val="clear" w:color="auto" w:fill="F9F7F2"/>
        <w:spacing w:before="0" w:beforeAutospacing="0" w:after="300" w:afterAutospacing="0"/>
        <w:textAlignment w:val="baseline"/>
        <w:rPr>
          <w:rFonts w:ascii="Work Sans" w:hAnsi="Work Sans"/>
          <w:color w:val="1A1A1A"/>
          <w:sz w:val="36"/>
          <w:szCs w:val="36"/>
        </w:rPr>
      </w:pP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Firmalar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zamanla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CapEx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ayırmalarını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amortizasiya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;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bu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proqnozlaşdırıla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bilənlik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deməkdir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nəticəyə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çatmamağınıza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kömək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Lakin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CapEx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kritik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məsələ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biləcək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daha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sərbəst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pul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axını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deməkdir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Nəzərə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alın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alış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qiyməti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yeganə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xərc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deyil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Siz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həmçinin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saxlama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lastRenderedPageBreak/>
        <w:t>idarə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etmə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təkmilləşdirmə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xərclərini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nəzərə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almalısınız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bu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da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tez-tez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kadr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xərclərinə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səbəb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olur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</w:t>
      </w:r>
    </w:p>
    <w:p w14:paraId="6567F572" w14:textId="77777777" w:rsidR="00301FB6" w:rsidRPr="00301FB6" w:rsidRDefault="00301FB6" w:rsidP="00301FB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4495E"/>
        </w:rPr>
      </w:pP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CapEx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-ə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hansı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 İT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Xərcləri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daxildir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>?</w:t>
      </w:r>
    </w:p>
    <w:p w14:paraId="60400BFA" w14:textId="77777777" w:rsidR="00301FB6" w:rsidRPr="00301FB6" w:rsidRDefault="00301FB6" w:rsidP="00301FB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CapEx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-ə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daxil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olan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bir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neçə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 İT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xərcləri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bunlardır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:</w:t>
      </w:r>
    </w:p>
    <w:p w14:paraId="14184F70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Avadanlıq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proqram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təminatı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aktivlərinin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alınması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xərclərini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əhatə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edən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İT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infrastrukturu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 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Proqram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təminatı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vəziyyətində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bu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böyük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ilkin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ödəniş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etdiyiniz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proqram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təminatına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əbədi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olaraq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“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sahibi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olduğunuz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”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ənənəvi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daimi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lisenziya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modelinə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şamil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ediləcəkdir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</w:t>
      </w:r>
    </w:p>
    <w:p w14:paraId="03AC3875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Aktivin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təkmilləşdirilməsi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məsələn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serverdəki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yaddaşa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əlavə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etmək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</w:t>
      </w:r>
    </w:p>
    <w:p w14:paraId="00FE9FE6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Patentlər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ticarət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nişanları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müəllif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hüquqları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(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yəni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qeyri-maddi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aktivlər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).</w:t>
      </w:r>
    </w:p>
    <w:p w14:paraId="4348E14B" w14:textId="4F3E12EB" w:rsidR="00301FB6" w:rsidRDefault="00301FB6" w:rsidP="0030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Binalar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(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məsələn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məlumat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mərkəzləri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).</w:t>
      </w:r>
    </w:p>
    <w:p w14:paraId="0EF1E99E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</w:rPr>
      </w:pPr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IBM Power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sistemləri</w:t>
      </w:r>
      <w:proofErr w:type="spellEnd"/>
    </w:p>
    <w:p w14:paraId="719C0E43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</w:rPr>
      </w:pPr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Intel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əsaslı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Windows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serverləri</w:t>
      </w:r>
      <w:proofErr w:type="spellEnd"/>
    </w:p>
    <w:p w14:paraId="0ADC2591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</w:rPr>
      </w:pP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Digər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yüksək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dollarlı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əşyalar</w:t>
      </w:r>
      <w:proofErr w:type="spellEnd"/>
    </w:p>
    <w:p w14:paraId="3A99DDA7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</w:rPr>
      </w:pPr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Universal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Enerji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Sistemləri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(UPS),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xətt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printerləri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kondisionerlər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skanerlər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generatorlar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kimi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müxtəlif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dəstəkləyici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elementlər</w:t>
      </w:r>
      <w:proofErr w:type="spellEnd"/>
    </w:p>
    <w:p w14:paraId="3BD92F6D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</w:rPr>
      </w:pP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Əlavə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satınalma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xərcləri</w:t>
      </w:r>
      <w:proofErr w:type="spellEnd"/>
    </w:p>
    <w:p w14:paraId="1B689811" w14:textId="77777777" w:rsidR="00301FB6" w:rsidRPr="00301FB6" w:rsidRDefault="00301FB6" w:rsidP="0030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</w:p>
    <w:p w14:paraId="3FA7DBFE" w14:textId="77777777" w:rsidR="00301FB6" w:rsidRPr="00301FB6" w:rsidRDefault="00301FB6" w:rsidP="00301FB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4495E"/>
        </w:rPr>
      </w:pP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OpEx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nə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deməkdir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>?</w:t>
      </w:r>
    </w:p>
    <w:p w14:paraId="25AF7B83" w14:textId="77777777" w:rsidR="00301FB6" w:rsidRPr="00301FB6" w:rsidRDefault="00301FB6" w:rsidP="00301FB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OpEx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biznesi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dəstəkləyən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gündəlik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əməliyyat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xərclərinə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aiddir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 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Bunlara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adətən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ümumi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inzibati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işçilərin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lastRenderedPageBreak/>
        <w:t>əmək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haqqı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tədqiqat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inkişaf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satılan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malların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dəyəri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(COGS),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texniki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xidmət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təmir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icarələr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s.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daxildir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</w:t>
      </w:r>
    </w:p>
    <w:p w14:paraId="58221B11" w14:textId="77777777" w:rsidR="00301FB6" w:rsidRPr="00301FB6" w:rsidRDefault="00301FB6" w:rsidP="00301FB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CapEx-dən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fərqli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olaraq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OpEx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-in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ilkin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yoxdur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ya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aşağıdır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şirkətlərə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xərclərini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müəyyən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müddət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ərzində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yaymağa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imkan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verir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 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Əməliyyat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çəkildiyi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dövr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şirkətin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mənfəət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zərər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hesabatına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daxil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edilir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 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Vergi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məqsədləri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vergi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ilində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edilən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OpEx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alışları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tam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çıxıla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bilər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 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Vergi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ilində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bu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maddələr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tam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istehlak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edildiyi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bu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xərclərin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amortizasiyası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olmayacaq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.</w:t>
      </w:r>
    </w:p>
    <w:p w14:paraId="3B546FA7" w14:textId="77777777" w:rsidR="00301FB6" w:rsidRPr="00301FB6" w:rsidRDefault="00301FB6" w:rsidP="00301FB6">
      <w:pPr>
        <w:pStyle w:val="NormalWeb"/>
        <w:shd w:val="clear" w:color="auto" w:fill="F9F7F2"/>
        <w:spacing w:before="0" w:beforeAutospacing="0" w:after="300" w:afterAutospacing="0"/>
        <w:textAlignment w:val="baseline"/>
        <w:rPr>
          <w:rFonts w:ascii="Work Sans" w:hAnsi="Work Sans"/>
          <w:color w:val="1A1A1A"/>
          <w:sz w:val="36"/>
          <w:szCs w:val="36"/>
        </w:rPr>
      </w:pP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adından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da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göründüyü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kimi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eyni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vergi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ilində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istifadə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edilən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işi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idarə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etmək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üçün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lazım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istehlak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materiallarının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alınması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üçündür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Məsələn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printer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CapEx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olacaq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lakin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mürəkkəb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kağız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üçün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xərclər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olacaq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Firmalar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OpEx-i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birdən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düşürürlər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bu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da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ümumiyyətlə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mənfəət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marjanızı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artırır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Böyümənin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artması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tələbata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xidmət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etmək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üçün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xərclər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artdıqca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aydan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aya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-ə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kəskin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şəkildə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təsir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bilər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</w:t>
      </w:r>
    </w:p>
    <w:p w14:paraId="314C3981" w14:textId="6F5DB035" w:rsidR="00301FB6" w:rsidRPr="00301FB6" w:rsidRDefault="00301FB6" w:rsidP="00301FB6">
      <w:pPr>
        <w:pStyle w:val="NormalWeb"/>
        <w:shd w:val="clear" w:color="auto" w:fill="F9F7F2"/>
        <w:spacing w:before="0" w:beforeAutospacing="0" w:after="300" w:afterAutospacing="0"/>
        <w:textAlignment w:val="baseline"/>
        <w:rPr>
          <w:rFonts w:ascii="Work Sans" w:hAnsi="Work Sans"/>
          <w:color w:val="1A1A1A"/>
          <w:sz w:val="36"/>
          <w:szCs w:val="36"/>
        </w:rPr>
      </w:pP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Satıcı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tərəfindən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idarə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olunan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bulud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strategiyası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ya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başqa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şəkildə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idarə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olunan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xidmətlərə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üstünlük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verdikdə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İT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xərcləri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kateqoriyasına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daxil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bilər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Ancaq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bu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mübadilələrlə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gəlir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MSP-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nin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əlində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olan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ödənişli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model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üçün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CapEx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ilə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əldə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biləcəyiniz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daha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böyük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nəzarətdən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(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onu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alırsan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ona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sahibsən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ondan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faydalanırsan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)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imtina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edirsən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-ə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üstünlük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vermək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,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nəticəyə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kömək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biləcək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digər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layihələr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üçün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büdcəni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azad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edir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 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Və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biz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təkcə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lastRenderedPageBreak/>
        <w:t>aparatdan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danışmırıq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-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aylıq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proqram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abunələri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OpEx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 xml:space="preserve">-ə </w:t>
      </w:r>
      <w:proofErr w:type="spellStart"/>
      <w:r w:rsidRPr="00301FB6">
        <w:rPr>
          <w:rFonts w:ascii="Work Sans" w:hAnsi="Work Sans"/>
          <w:color w:val="1A1A1A"/>
          <w:sz w:val="36"/>
          <w:szCs w:val="36"/>
        </w:rPr>
        <w:t>düşür</w:t>
      </w:r>
      <w:proofErr w:type="spellEnd"/>
      <w:r w:rsidRPr="00301FB6">
        <w:rPr>
          <w:rFonts w:ascii="Work Sans" w:hAnsi="Work Sans"/>
          <w:color w:val="1A1A1A"/>
          <w:sz w:val="36"/>
          <w:szCs w:val="36"/>
        </w:rPr>
        <w:t>.</w:t>
      </w:r>
    </w:p>
    <w:p w14:paraId="00D639F4" w14:textId="53928416" w:rsidR="00301FB6" w:rsidRPr="00301FB6" w:rsidRDefault="00301FB6" w:rsidP="00301FB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4495E"/>
        </w:rPr>
      </w:pP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OpEx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-ə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hansı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 İT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Xərcləri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 xml:space="preserve"> </w:t>
      </w:r>
      <w:proofErr w:type="spellStart"/>
      <w:r w:rsidRPr="00301FB6">
        <w:rPr>
          <w:rFonts w:ascii="Arial" w:hAnsi="Arial" w:cs="Arial"/>
          <w:b w:val="0"/>
          <w:bCs w:val="0"/>
          <w:color w:val="34495E"/>
        </w:rPr>
        <w:t>daxildir</w:t>
      </w:r>
      <w:proofErr w:type="spellEnd"/>
      <w:r w:rsidRPr="00301FB6">
        <w:rPr>
          <w:rFonts w:ascii="Arial" w:hAnsi="Arial" w:cs="Arial"/>
          <w:b w:val="0"/>
          <w:bCs w:val="0"/>
          <w:color w:val="34495E"/>
        </w:rPr>
        <w:t>?</w:t>
      </w:r>
    </w:p>
    <w:p w14:paraId="3579F838" w14:textId="317FCBC0" w:rsidR="00301FB6" w:rsidRPr="00301FB6" w:rsidRDefault="00301FB6" w:rsidP="00301FB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OpEx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-ə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aşağıdakılar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üçün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 İT </w:t>
      </w:r>
      <w:proofErr w:type="spell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xərcləri</w:t>
      </w:r>
      <w:proofErr w:type="spellEnd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proofErr w:type="gramStart"/>
      <w:r w:rsidRPr="00301FB6">
        <w:rPr>
          <w:rStyle w:val="Strong"/>
          <w:rFonts w:ascii="Arial" w:hAnsi="Arial" w:cs="Arial"/>
          <w:color w:val="34495E"/>
          <w:sz w:val="36"/>
          <w:szCs w:val="36"/>
        </w:rPr>
        <w:t>daxildir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> :</w:t>
      </w:r>
      <w:proofErr w:type="gramEnd"/>
    </w:p>
    <w:p w14:paraId="23344720" w14:textId="728121B6" w:rsidR="00301FB6" w:rsidRPr="00301FB6" w:rsidRDefault="00301FB6" w:rsidP="00301F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Bulud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hesablama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abunəlikləri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(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məsələn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IaaS, SaaS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ya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PaaS)</w:t>
      </w:r>
    </w:p>
    <w:p w14:paraId="27996035" w14:textId="49416AF9" w:rsidR="00301FB6" w:rsidRPr="00301FB6" w:rsidRDefault="00301FB6" w:rsidP="00301F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Avadanlıqların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icarəsi</w:t>
      </w:r>
      <w:proofErr w:type="spellEnd"/>
    </w:p>
    <w:p w14:paraId="420C92F7" w14:textId="795CE2A3" w:rsidR="00301FB6" w:rsidRPr="00301FB6" w:rsidRDefault="00301FB6" w:rsidP="00301F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Proqram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təminatının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saxlanması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(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məsələn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daimi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lisenziya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ilə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əlaqəli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) –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adətən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illik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xərclər</w:t>
      </w:r>
      <w:proofErr w:type="spellEnd"/>
    </w:p>
    <w:p w14:paraId="776EF308" w14:textId="19A2B6C6" w:rsidR="00301FB6" w:rsidRPr="00301FB6" w:rsidRDefault="00301FB6" w:rsidP="00301F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Proqram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təminatı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abunəlikləri</w:t>
      </w:r>
      <w:proofErr w:type="spellEnd"/>
    </w:p>
    <w:p w14:paraId="766E69EC" w14:textId="4FC68532" w:rsidR="00301FB6" w:rsidRPr="00301FB6" w:rsidRDefault="00301FB6" w:rsidP="00301F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4495E"/>
          <w:sz w:val="36"/>
          <w:szCs w:val="36"/>
        </w:rPr>
      </w:pP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Kommunal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xidmətlər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,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telekommunikasiya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və</w:t>
      </w:r>
      <w:proofErr w:type="spellEnd"/>
      <w:r w:rsidRPr="00301FB6">
        <w:rPr>
          <w:rFonts w:ascii="Arial" w:hAnsi="Arial" w:cs="Arial"/>
          <w:color w:val="34495E"/>
          <w:sz w:val="36"/>
          <w:szCs w:val="36"/>
        </w:rPr>
        <w:t xml:space="preserve"> internet </w:t>
      </w:r>
      <w:proofErr w:type="spellStart"/>
      <w:r w:rsidRPr="00301FB6">
        <w:rPr>
          <w:rFonts w:ascii="Arial" w:hAnsi="Arial" w:cs="Arial"/>
          <w:color w:val="34495E"/>
          <w:sz w:val="36"/>
          <w:szCs w:val="36"/>
        </w:rPr>
        <w:t>xidmətləri</w:t>
      </w:r>
      <w:proofErr w:type="spellEnd"/>
    </w:p>
    <w:p w14:paraId="23A4918D" w14:textId="220DDD8E" w:rsidR="00301FB6" w:rsidRPr="00301FB6" w:rsidRDefault="00301FB6" w:rsidP="00301FB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</w:rPr>
      </w:pPr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Printer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kartricləri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kağız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elektrik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enerjisi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digər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ləvazimatlar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kimi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istehlak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materialları</w:t>
      </w:r>
      <w:proofErr w:type="spellEnd"/>
    </w:p>
    <w:p w14:paraId="7B70A4D6" w14:textId="44F9834D" w:rsidR="00301FB6" w:rsidRPr="00301FB6" w:rsidRDefault="00301FB6" w:rsidP="00301FB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</w:rPr>
      </w:pP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İllik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xidmət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ya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texniki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xidmət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müqavilələri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vebsayt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hostinqi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veb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domen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qeydiyyatı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kimi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müqavilə</w:t>
      </w:r>
      <w:proofErr w:type="spellEnd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  <w:t>maddələri</w:t>
      </w:r>
      <w:proofErr w:type="spellEnd"/>
    </w:p>
    <w:p w14:paraId="332EFFAF" w14:textId="2D13A6D4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65F3ED14" w14:textId="59DAFED7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416F717F" w14:textId="6B61E47C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2587509A" w14:textId="532BD89E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542219D6" w14:textId="3B460AEC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091DD3F5" w14:textId="585917C6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6CF1E27D" w14:textId="6425AEAD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  <w:r w:rsidRPr="00301FB6">
        <w:rPr>
          <w:rFonts w:ascii="Work Sans" w:hAnsi="Work Sans"/>
          <w:color w:val="1A1A1A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6021CD4" wp14:editId="68EF9C05">
            <wp:simplePos x="0" y="0"/>
            <wp:positionH relativeFrom="margin">
              <wp:posOffset>-212090</wp:posOffset>
            </wp:positionH>
            <wp:positionV relativeFrom="paragraph">
              <wp:posOffset>-3175</wp:posOffset>
            </wp:positionV>
            <wp:extent cx="6767474" cy="47726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474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DFC1C" w14:textId="6E3C9D3F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5D15D5E8" w14:textId="0D35FF06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2DE92668" w14:textId="567D6931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32B9BDD3" w14:textId="0770C57A" w:rsid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  <w:bdr w:val="none" w:sz="0" w:space="0" w:color="auto" w:frame="1"/>
        </w:rPr>
      </w:pPr>
    </w:p>
    <w:p w14:paraId="0A255F94" w14:textId="095D2DA2" w:rsidR="00301FB6" w:rsidRPr="00301FB6" w:rsidRDefault="00301FB6" w:rsidP="00301FB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1D1D1D"/>
          <w:sz w:val="36"/>
          <w:szCs w:val="36"/>
        </w:rPr>
      </w:pPr>
    </w:p>
    <w:p w14:paraId="76D761D9" w14:textId="43F68A55" w:rsidR="00301FB6" w:rsidRPr="00301FB6" w:rsidRDefault="00301FB6" w:rsidP="00301FB6">
      <w:pPr>
        <w:pStyle w:val="NormalWeb"/>
        <w:shd w:val="clear" w:color="auto" w:fill="F9F7F2"/>
        <w:spacing w:before="0" w:beforeAutospacing="0" w:after="300" w:afterAutospacing="0"/>
        <w:textAlignment w:val="baseline"/>
        <w:rPr>
          <w:rFonts w:ascii="Work Sans" w:hAnsi="Work Sans"/>
          <w:color w:val="1A1A1A"/>
          <w:sz w:val="36"/>
          <w:szCs w:val="36"/>
        </w:rPr>
      </w:pPr>
    </w:p>
    <w:p w14:paraId="3D55BE23" w14:textId="4AE5067D" w:rsidR="003C02C9" w:rsidRDefault="003C02C9"/>
    <w:p w14:paraId="14168ACF" w14:textId="5EB7EFD9" w:rsidR="003C02C9" w:rsidRDefault="003C02C9"/>
    <w:p w14:paraId="5984F2A5" w14:textId="52232046" w:rsidR="003C02C9" w:rsidRDefault="003C02C9"/>
    <w:p w14:paraId="619449B1" w14:textId="4B416979" w:rsidR="00435F23" w:rsidRDefault="00435F23"/>
    <w:p w14:paraId="27781D5A" w14:textId="1D327646" w:rsidR="00301FB6" w:rsidRDefault="00301FB6"/>
    <w:p w14:paraId="33F01C3E" w14:textId="1D7854EF" w:rsidR="00301FB6" w:rsidRDefault="00301FB6"/>
    <w:p w14:paraId="1ECCCE34" w14:textId="77777777" w:rsidR="00301FB6" w:rsidRPr="00301FB6" w:rsidRDefault="00301FB6" w:rsidP="00301FB6">
      <w:pPr>
        <w:pStyle w:val="Heading2"/>
        <w:shd w:val="clear" w:color="auto" w:fill="FFFFFF"/>
        <w:spacing w:before="0" w:beforeAutospacing="0" w:after="0" w:afterAutospacing="0" w:line="645" w:lineRule="atLeast"/>
        <w:textAlignment w:val="baseline"/>
        <w:rPr>
          <w:rFonts w:ascii="Open Sans" w:hAnsi="Open Sans"/>
          <w:b w:val="0"/>
          <w:bCs w:val="0"/>
          <w:color w:val="232323"/>
        </w:rPr>
      </w:pPr>
      <w:proofErr w:type="spellStart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>CapEx</w:t>
      </w:r>
      <w:proofErr w:type="spellEnd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>və</w:t>
      </w:r>
      <w:proofErr w:type="spellEnd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>OpEx</w:t>
      </w:r>
      <w:proofErr w:type="spellEnd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 xml:space="preserve">-in </w:t>
      </w:r>
      <w:proofErr w:type="spellStart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>müəyyən</w:t>
      </w:r>
      <w:proofErr w:type="spellEnd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b w:val="0"/>
          <w:bCs w:val="0"/>
          <w:color w:val="232323"/>
          <w:bdr w:val="none" w:sz="0" w:space="0" w:color="auto" w:frame="1"/>
        </w:rPr>
        <w:t>edilməsi</w:t>
      </w:r>
      <w:proofErr w:type="spellEnd"/>
    </w:p>
    <w:p w14:paraId="320F7423" w14:textId="77777777" w:rsidR="00301FB6" w:rsidRPr="00301FB6" w:rsidRDefault="00301FB6" w:rsidP="00301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1D1D1D"/>
          <w:sz w:val="36"/>
          <w:szCs w:val="36"/>
        </w:rPr>
      </w:pP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Təriflər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aydın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görünsə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də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çoxlu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boz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sahələr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var. 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Serverlər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generatorlar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ya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UPS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sistemləri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kimi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bir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çox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İT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materialları</w:t>
      </w:r>
      <w:proofErr w:type="spellEnd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Emphasis"/>
          <w:rFonts w:ascii="Open Sans" w:hAnsi="Open Sans"/>
          <w:color w:val="1D1D1D"/>
          <w:sz w:val="36"/>
          <w:szCs w:val="36"/>
          <w:bdr w:val="none" w:sz="0" w:space="0" w:color="auto" w:frame="1"/>
        </w:rPr>
        <w:t>ya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 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əsas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vəsait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kimi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ya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da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əməliyyat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xərcləri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kimi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 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alına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bilər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.</w:t>
      </w:r>
      <w:proofErr w:type="gramEnd"/>
    </w:p>
    <w:p w14:paraId="15E734FD" w14:textId="77777777" w:rsidR="00301FB6" w:rsidRPr="00301FB6" w:rsidRDefault="00301FB6" w:rsidP="00301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1D1D1D"/>
          <w:sz w:val="36"/>
          <w:szCs w:val="36"/>
        </w:rPr>
      </w:pP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Misal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üçün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:</w:t>
      </w:r>
    </w:p>
    <w:p w14:paraId="61E89251" w14:textId="77777777" w:rsidR="00301FB6" w:rsidRPr="00301FB6" w:rsidRDefault="00301FB6" w:rsidP="00301FB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450" w:hanging="240"/>
        <w:textAlignment w:val="baseline"/>
        <w:rPr>
          <w:rFonts w:ascii="Open Sans" w:hAnsi="Open Sans"/>
          <w:color w:val="1D1D1D"/>
          <w:sz w:val="36"/>
          <w:szCs w:val="36"/>
        </w:rPr>
      </w:pPr>
      <w:proofErr w:type="spellStart"/>
      <w:r w:rsidRPr="00301FB6">
        <w:rPr>
          <w:rStyle w:val="Strong"/>
          <w:rFonts w:ascii="Open Sans" w:hAnsi="Open Sans"/>
          <w:color w:val="1D1D1D"/>
          <w:sz w:val="36"/>
          <w:szCs w:val="36"/>
          <w:bdr w:val="none" w:sz="0" w:space="0" w:color="auto" w:frame="1"/>
        </w:rPr>
        <w:t>CapEx</w:t>
      </w:r>
      <w:proofErr w:type="spellEnd"/>
      <w:r w:rsidRPr="00301FB6">
        <w:rPr>
          <w:rStyle w:val="Strong"/>
          <w:rFonts w:ascii="Open Sans" w:hAnsi="Open Sans"/>
          <w:color w:val="1D1D1D"/>
          <w:sz w:val="36"/>
          <w:szCs w:val="36"/>
          <w:bdr w:val="none" w:sz="0" w:space="0" w:color="auto" w:frame="1"/>
        </w:rPr>
        <w:t>. 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Nağd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ödəyib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əşyaya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tam sahib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ola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bilərsiniz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.</w:t>
      </w:r>
    </w:p>
    <w:p w14:paraId="32422769" w14:textId="77777777" w:rsidR="00301FB6" w:rsidRPr="00301FB6" w:rsidRDefault="00301FB6" w:rsidP="00301FB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450" w:hanging="240"/>
        <w:textAlignment w:val="baseline"/>
        <w:rPr>
          <w:rFonts w:ascii="Open Sans" w:hAnsi="Open Sans"/>
          <w:color w:val="1D1D1D"/>
          <w:sz w:val="36"/>
          <w:szCs w:val="36"/>
        </w:rPr>
      </w:pPr>
      <w:proofErr w:type="spellStart"/>
      <w:r w:rsidRPr="00301FB6">
        <w:rPr>
          <w:rStyle w:val="Strong"/>
          <w:rFonts w:ascii="Open Sans" w:hAnsi="Open Sans"/>
          <w:color w:val="1D1D1D"/>
          <w:sz w:val="36"/>
          <w:szCs w:val="36"/>
          <w:bdr w:val="none" w:sz="0" w:space="0" w:color="auto" w:frame="1"/>
        </w:rPr>
        <w:t>OpEx</w:t>
      </w:r>
      <w:proofErr w:type="spellEnd"/>
      <w:r w:rsidRPr="00301FB6">
        <w:rPr>
          <w:rStyle w:val="Strong"/>
          <w:rFonts w:ascii="Open Sans" w:hAnsi="Open Sans"/>
          <w:color w:val="1D1D1D"/>
          <w:sz w:val="36"/>
          <w:szCs w:val="36"/>
          <w:bdr w:val="none" w:sz="0" w:space="0" w:color="auto" w:frame="1"/>
        </w:rPr>
        <w:t>. 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Siz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əşyanı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icarəyə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götürə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ya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aylıq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qiymətə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xidmət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kimi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avadanlıqa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çıxışı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təmin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edən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 </w:t>
      </w:r>
      <w:proofErr w:type="spellStart"/>
      <w:r w:rsidRPr="00301FB6">
        <w:rPr>
          <w:rFonts w:ascii="Open Sans" w:hAnsi="Open Sans"/>
          <w:color w:val="1D1D1D"/>
          <w:sz w:val="36"/>
          <w:szCs w:val="36"/>
        </w:rPr>
        <w:fldChar w:fldCharType="begin"/>
      </w:r>
      <w:r w:rsidRPr="00301FB6">
        <w:rPr>
          <w:rFonts w:ascii="Open Sans" w:hAnsi="Open Sans"/>
          <w:color w:val="1D1D1D"/>
          <w:sz w:val="36"/>
          <w:szCs w:val="36"/>
        </w:rPr>
        <w:instrText xml:space="preserve"> HYPERLINK "https://www.bmc.com/blogs/what-is-a-managed-service-managed-services-explained/" \t "_self" </w:instrText>
      </w:r>
      <w:r w:rsidRPr="00301FB6">
        <w:rPr>
          <w:rFonts w:ascii="Open Sans" w:hAnsi="Open Sans"/>
          <w:color w:val="1D1D1D"/>
          <w:sz w:val="36"/>
          <w:szCs w:val="36"/>
        </w:rPr>
        <w:fldChar w:fldCharType="separate"/>
      </w:r>
      <w:r w:rsidRPr="00301FB6">
        <w:rPr>
          <w:rStyle w:val="Hyperlink"/>
          <w:rFonts w:ascii="Open Sans" w:hAnsi="Open Sans"/>
          <w:color w:val="0078CC"/>
          <w:sz w:val="36"/>
          <w:szCs w:val="36"/>
          <w:bdr w:val="none" w:sz="0" w:space="0" w:color="auto" w:frame="1"/>
        </w:rPr>
        <w:t>idarə</w:t>
      </w:r>
      <w:proofErr w:type="spellEnd"/>
      <w:r w:rsidRPr="00301FB6">
        <w:rPr>
          <w:rStyle w:val="Hyperlink"/>
          <w:rFonts w:ascii="Open Sans" w:hAnsi="Open Sans"/>
          <w:color w:val="0078CC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Hyperlink"/>
          <w:rFonts w:ascii="Open Sans" w:hAnsi="Open Sans"/>
          <w:color w:val="0078CC"/>
          <w:sz w:val="36"/>
          <w:szCs w:val="36"/>
          <w:bdr w:val="none" w:sz="0" w:space="0" w:color="auto" w:frame="1"/>
        </w:rPr>
        <w:t>olunan</w:t>
      </w:r>
      <w:proofErr w:type="spellEnd"/>
      <w:r w:rsidRPr="00301FB6">
        <w:rPr>
          <w:rStyle w:val="Hyperlink"/>
          <w:rFonts w:ascii="Open Sans" w:hAnsi="Open Sans"/>
          <w:color w:val="0078CC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Hyperlink"/>
          <w:rFonts w:ascii="Open Sans" w:hAnsi="Open Sans"/>
          <w:color w:val="0078CC"/>
          <w:sz w:val="36"/>
          <w:szCs w:val="36"/>
          <w:bdr w:val="none" w:sz="0" w:space="0" w:color="auto" w:frame="1"/>
        </w:rPr>
        <w:lastRenderedPageBreak/>
        <w:t>xidmətlər</w:t>
      </w:r>
      <w:proofErr w:type="spellEnd"/>
      <w:r w:rsidRPr="00301FB6">
        <w:rPr>
          <w:rStyle w:val="Hyperlink"/>
          <w:rFonts w:ascii="Open Sans" w:hAnsi="Open Sans"/>
          <w:color w:val="0078CC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Style w:val="Hyperlink"/>
          <w:rFonts w:ascii="Open Sans" w:hAnsi="Open Sans"/>
          <w:color w:val="0078CC"/>
          <w:sz w:val="36"/>
          <w:szCs w:val="36"/>
          <w:bdr w:val="none" w:sz="0" w:space="0" w:color="auto" w:frame="1"/>
        </w:rPr>
        <w:t>provayderi</w:t>
      </w:r>
      <w:proofErr w:type="spellEnd"/>
      <w:r w:rsidRPr="00301FB6">
        <w:rPr>
          <w:rStyle w:val="Hyperlink"/>
          <w:rFonts w:ascii="Open Sans" w:hAnsi="Open Sans"/>
          <w:color w:val="0078CC"/>
          <w:sz w:val="36"/>
          <w:szCs w:val="36"/>
          <w:bdr w:val="none" w:sz="0" w:space="0" w:color="auto" w:frame="1"/>
        </w:rPr>
        <w:t xml:space="preserve"> (MSP)</w:t>
      </w:r>
      <w:r w:rsidRPr="00301FB6">
        <w:rPr>
          <w:rFonts w:ascii="Open Sans" w:hAnsi="Open Sans"/>
          <w:color w:val="1D1D1D"/>
          <w:sz w:val="36"/>
          <w:szCs w:val="36"/>
        </w:rPr>
        <w:fldChar w:fldCharType="end"/>
      </w:r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 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ilə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hostinq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müqaviləsi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bağlaya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bilərsiniz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.</w:t>
      </w:r>
    </w:p>
    <w:p w14:paraId="2EEEB5E5" w14:textId="77777777" w:rsidR="00301FB6" w:rsidRPr="00301FB6" w:rsidRDefault="00301FB6" w:rsidP="00301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1D1D1D"/>
          <w:sz w:val="36"/>
          <w:szCs w:val="36"/>
        </w:rPr>
      </w:pP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Yeni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İT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imkanları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əldə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etmək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üçün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CapEx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OpEx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arasında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seçim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etmək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yeni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inkişaf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deyil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. Bu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variantlar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uzun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müddətdir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müxtəlif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forma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formalarda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bizimlədir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. 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Yaxşı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bu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gün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nə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ilə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fərqlənir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?</w:t>
      </w:r>
    </w:p>
    <w:p w14:paraId="16C4E85D" w14:textId="77777777" w:rsidR="00301FB6" w:rsidRDefault="00301FB6" w:rsidP="00301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1D1D1D"/>
          <w:sz w:val="27"/>
          <w:szCs w:val="27"/>
        </w:rPr>
      </w:pP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bulud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. 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Yeni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bulud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hostinq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imkanları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ilə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əsas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İT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avadanlığı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və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xidmətlərini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əldə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etmək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üçün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OpEx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tədarükündən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istifadə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heç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vaxt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olmadığı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qədər</w:t>
      </w:r>
      <w:proofErr w:type="spellEnd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01FB6">
        <w:rPr>
          <w:rFonts w:ascii="Open Sans" w:hAnsi="Open Sans"/>
          <w:color w:val="1D1D1D"/>
          <w:sz w:val="36"/>
          <w:szCs w:val="36"/>
          <w:bdr w:val="none" w:sz="0" w:space="0" w:color="auto" w:frame="1"/>
        </w:rPr>
        <w:t>asandır</w:t>
      </w:r>
      <w:proofErr w:type="spellEnd"/>
      <w:r>
        <w:rPr>
          <w:rFonts w:ascii="Open Sans" w:hAnsi="Open Sans"/>
          <w:color w:val="1D1D1D"/>
          <w:sz w:val="27"/>
          <w:szCs w:val="27"/>
          <w:bdr w:val="none" w:sz="0" w:space="0" w:color="auto" w:frame="1"/>
        </w:rPr>
        <w:t>.</w:t>
      </w:r>
    </w:p>
    <w:p w14:paraId="3850D785" w14:textId="77777777" w:rsidR="00301FB6" w:rsidRDefault="00301FB6" w:rsidP="00301FB6">
      <w:pPr>
        <w:pStyle w:val="Heading2"/>
        <w:shd w:val="clear" w:color="auto" w:fill="FFFFFF"/>
        <w:spacing w:before="0" w:beforeAutospacing="0" w:after="0" w:afterAutospacing="0" w:line="645" w:lineRule="atLeast"/>
        <w:textAlignment w:val="baseline"/>
        <w:rPr>
          <w:rFonts w:ascii="Open Sans" w:hAnsi="Open Sans"/>
          <w:b w:val="0"/>
          <w:bCs w:val="0"/>
          <w:color w:val="232323"/>
        </w:rPr>
      </w:pPr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 xml:space="preserve">İT </w:t>
      </w:r>
      <w:proofErr w:type="spellStart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>üçün</w:t>
      </w:r>
      <w:proofErr w:type="spellEnd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>CapEx</w:t>
      </w:r>
      <w:proofErr w:type="spellEnd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>ilə</w:t>
      </w:r>
      <w:proofErr w:type="spellEnd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>OpEx</w:t>
      </w:r>
      <w:proofErr w:type="spellEnd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 xml:space="preserve">-in </w:t>
      </w:r>
      <w:proofErr w:type="spellStart"/>
      <w:r>
        <w:rPr>
          <w:rFonts w:ascii="Open Sans" w:hAnsi="Open Sans"/>
          <w:b w:val="0"/>
          <w:bCs w:val="0"/>
          <w:color w:val="232323"/>
          <w:sz w:val="60"/>
          <w:szCs w:val="60"/>
          <w:bdr w:val="none" w:sz="0" w:space="0" w:color="auto" w:frame="1"/>
        </w:rPr>
        <w:t>müqayisəsi</w:t>
      </w:r>
      <w:proofErr w:type="spellEnd"/>
    </w:p>
    <w:p w14:paraId="1068EB53" w14:textId="77777777" w:rsidR="00301FB6" w:rsidRPr="00990437" w:rsidRDefault="00301FB6" w:rsidP="00301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1D1D1D"/>
          <w:sz w:val="40"/>
          <w:szCs w:val="40"/>
        </w:rPr>
      </w:pP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Vergi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və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ödəniş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prosedurlarından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başqa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,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CapEx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və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ya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OpEx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elementləri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kimi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əsas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İT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imkanlarını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əldə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etməyin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bir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sıra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üstünlükləri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və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çatışmazlıqları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var.</w:t>
      </w:r>
    </w:p>
    <w:p w14:paraId="2418991C" w14:textId="77777777" w:rsidR="00301FB6" w:rsidRPr="00990437" w:rsidRDefault="00301FB6" w:rsidP="00301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1D1D1D"/>
          <w:sz w:val="40"/>
          <w:szCs w:val="40"/>
        </w:rPr>
      </w:pP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Gəlin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yeni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IBM Power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sisteminin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təkmilləşdirilməsi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və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ya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satın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alınması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nümunəsinə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baxaq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və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onu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kapital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məsrəfləri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və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ya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əməliyyat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xərcləri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kimi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əldə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edərkən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prosesin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necə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fərqləndiyini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görək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.</w:t>
      </w:r>
    </w:p>
    <w:p w14:paraId="5EB6855C" w14:textId="77777777" w:rsidR="00301FB6" w:rsidRPr="00990437" w:rsidRDefault="00301FB6" w:rsidP="00301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1D1D1D"/>
          <w:sz w:val="40"/>
          <w:szCs w:val="40"/>
        </w:rPr>
      </w:pP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Qərar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verərkən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nəzərə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alınmalı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olan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müxtəlif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komponentlər</w:t>
      </w:r>
      <w:proofErr w:type="spellEnd"/>
      <w:r w:rsidRPr="00990437">
        <w:rPr>
          <w:rFonts w:ascii="Open Sans" w:hAnsi="Open Sans"/>
          <w:color w:val="1D1D1D"/>
          <w:sz w:val="40"/>
          <w:szCs w:val="40"/>
          <w:bdr w:val="none" w:sz="0" w:space="0" w:color="auto" w:frame="1"/>
        </w:rPr>
        <w:t>:</w:t>
      </w:r>
    </w:p>
    <w:p w14:paraId="1B27117C" w14:textId="7026F848" w:rsidR="00301FB6" w:rsidRDefault="00301FB6" w:rsidP="00301FB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1D1D1D"/>
          <w:sz w:val="27"/>
          <w:szCs w:val="27"/>
        </w:rPr>
      </w:pPr>
      <w:r>
        <w:rPr>
          <w:rFonts w:ascii="Open Sans" w:hAnsi="Open Sans"/>
          <w:noProof/>
          <w:color w:val="1D1D1D"/>
          <w:sz w:val="27"/>
          <w:szCs w:val="27"/>
        </w:rPr>
        <w:lastRenderedPageBreak/>
        <w:drawing>
          <wp:inline distT="0" distB="0" distL="0" distR="0" wp14:anchorId="05B62908" wp14:editId="0250C876">
            <wp:extent cx="487680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2992" w14:textId="77777777" w:rsidR="00301FB6" w:rsidRDefault="00301FB6"/>
    <w:sectPr w:rsidR="0030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128A"/>
    <w:multiLevelType w:val="multilevel"/>
    <w:tmpl w:val="C636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64EB6"/>
    <w:multiLevelType w:val="multilevel"/>
    <w:tmpl w:val="A4A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67D55"/>
    <w:multiLevelType w:val="multilevel"/>
    <w:tmpl w:val="FC40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32E8F"/>
    <w:multiLevelType w:val="multilevel"/>
    <w:tmpl w:val="CAAA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B56EB"/>
    <w:multiLevelType w:val="multilevel"/>
    <w:tmpl w:val="985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61"/>
    <w:rsid w:val="00301FB6"/>
    <w:rsid w:val="003C02C9"/>
    <w:rsid w:val="00435F23"/>
    <w:rsid w:val="00990437"/>
    <w:rsid w:val="00D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1A3C"/>
  <w15:chartTrackingRefBased/>
  <w15:docId w15:val="{D9D8794E-4CC2-460D-81E2-55E7FA06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0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2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C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02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0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FB6"/>
    <w:rPr>
      <w:b/>
      <w:bCs/>
    </w:rPr>
  </w:style>
  <w:style w:type="character" w:styleId="Emphasis">
    <w:name w:val="Emphasis"/>
    <w:basedOn w:val="DefaultParagraphFont"/>
    <w:uiPriority w:val="20"/>
    <w:qFormat/>
    <w:rsid w:val="00301F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blog/it-agility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oqtay zeynalli</dc:creator>
  <cp:keywords/>
  <dc:description/>
  <cp:lastModifiedBy>oqtay zeynalli</cp:lastModifiedBy>
  <cp:revision>3</cp:revision>
  <dcterms:created xsi:type="dcterms:W3CDTF">2022-10-25T18:51:00Z</dcterms:created>
  <dcterms:modified xsi:type="dcterms:W3CDTF">2022-10-25T19:15:00Z</dcterms:modified>
</cp:coreProperties>
</file>