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2F" w:rsidRDefault="00D0792F">
      <w:pPr>
        <w:pStyle w:val="Title"/>
        <w:rPr>
          <w:rFonts w:eastAsia="Times New Roman"/>
        </w:rPr>
      </w:pPr>
      <w:r>
        <w:rPr>
          <w:rFonts w:eastAsia="Times New Roman"/>
          <w:w w:val="105"/>
        </w:rPr>
        <w:t>FDA_HW3-</w:t>
      </w:r>
      <w:r>
        <w:rPr>
          <w:w w:val="105"/>
          <w:lang w:eastAsia="zh-TW"/>
        </w:rPr>
        <w:t>2</w:t>
      </w:r>
      <w:r>
        <w:rPr>
          <w:rFonts w:eastAsia="Times New Roman"/>
          <w:w w:val="105"/>
        </w:rPr>
        <w:t xml:space="preserve"> Report</w:t>
      </w:r>
    </w:p>
    <w:p w:rsidR="00D0792F" w:rsidRDefault="00D0792F">
      <w:pPr>
        <w:pStyle w:val="Heading1"/>
        <w:spacing w:line="462" w:lineRule="exact"/>
        <w:ind w:left="2725" w:right="2699"/>
        <w:jc w:val="center"/>
      </w:pPr>
      <w:r>
        <w:t xml:space="preserve">F74066307 </w:t>
      </w:r>
      <w:r>
        <w:rPr>
          <w:rFonts w:ascii="細明體" w:eastAsia="細明體" w:hAnsi="細明體" w:cs="細明體" w:hint="eastAsia"/>
        </w:rPr>
        <w:t>陳品修</w:t>
      </w:r>
    </w:p>
    <w:p w:rsidR="00D0792F" w:rsidRPr="001126B8" w:rsidRDefault="00D0792F" w:rsidP="001126B8">
      <w:pPr>
        <w:pStyle w:val="ListParagraph"/>
        <w:numPr>
          <w:ilvl w:val="0"/>
          <w:numId w:val="1"/>
        </w:numPr>
        <w:tabs>
          <w:tab w:val="left" w:pos="389"/>
        </w:tabs>
        <w:spacing w:before="208"/>
        <w:ind w:hanging="274"/>
        <w:rPr>
          <w:rFonts w:ascii="微軟正黑體" w:eastAsia="微軟正黑體"/>
          <w:b/>
          <w:sz w:val="40"/>
        </w:rPr>
      </w:pPr>
      <w:r w:rsidRPr="001126B8">
        <w:rPr>
          <w:rFonts w:ascii="微軟正黑體" w:eastAsia="微軟正黑體" w:hint="eastAsia"/>
          <w:b/>
          <w:sz w:val="40"/>
        </w:rPr>
        <w:t>資料選擇與前處理</w:t>
      </w:r>
      <w:r w:rsidRPr="001126B8">
        <w:rPr>
          <w:rFonts w:ascii="微軟正黑體" w:eastAsia="微軟正黑體"/>
          <w:b/>
          <w:sz w:val="40"/>
        </w:rPr>
        <w:t>:</w:t>
      </w:r>
    </w:p>
    <w:p w:rsidR="00D0792F" w:rsidRPr="001C1570" w:rsidRDefault="00D0792F">
      <w:pPr>
        <w:spacing w:before="19" w:line="172" w:lineRule="auto"/>
        <w:ind w:left="115" w:right="299" w:firstLine="320"/>
        <w:rPr>
          <w:rFonts w:ascii="微軟正黑體" w:eastAsia="微軟正黑體"/>
          <w:sz w:val="28"/>
          <w:lang w:eastAsia="zh-TW"/>
        </w:rPr>
      </w:pPr>
      <w:r w:rsidRPr="001C1570">
        <w:rPr>
          <w:rFonts w:ascii="微軟正黑體" w:eastAsia="微軟正黑體" w:hAnsi="細明體" w:cs="細明體" w:hint="eastAsia"/>
          <w:w w:val="105"/>
          <w:sz w:val="28"/>
          <w:lang w:eastAsia="zh-TW"/>
        </w:rPr>
        <w:t>選擇</w:t>
      </w:r>
      <w:r w:rsidRPr="001C1570">
        <w:rPr>
          <w:rFonts w:ascii="微軟正黑體" w:eastAsia="微軟正黑體" w:hAnsi="Arial" w:cs="Arial"/>
          <w:b/>
          <w:bCs/>
          <w:color w:val="123654"/>
          <w:sz w:val="28"/>
          <w:szCs w:val="40"/>
        </w:rPr>
        <w:t>Tarvel Review Ratings Data Set</w:t>
      </w:r>
      <w:r w:rsidRPr="001C1570">
        <w:rPr>
          <w:rFonts w:ascii="微軟正黑體" w:eastAsia="微軟正黑體" w:hAnsi="Arial" w:cs="Arial" w:hint="eastAsia"/>
          <w:b/>
          <w:bCs/>
          <w:color w:val="123654"/>
          <w:sz w:val="28"/>
          <w:szCs w:val="40"/>
          <w:lang w:eastAsia="zh-TW"/>
        </w:rPr>
        <w:t>做為資料集</w:t>
      </w:r>
    </w:p>
    <w:p w:rsidR="00D0792F" w:rsidRDefault="00D0792F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首先將用不到的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UserId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以及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Unnamed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column 25 del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掉</w:t>
      </w:r>
    </w:p>
    <w:p w:rsidR="00D0792F" w:rsidRDefault="00D0792F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1C1570">
        <w:rPr>
          <w:rFonts w:ascii="微軟正黑體" w:eastAsia="微軟正黑體" w:hAnsi="細明體" w:cs="細明體" w:hint="eastAsia"/>
          <w:w w:val="105"/>
          <w:sz w:val="28"/>
          <w:lang w:eastAsia="zh-TW"/>
        </w:rPr>
        <w:t>在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嘗試直接拿資料去分群時，發現會有「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2\t2.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」與「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NaN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」出現，評分範圍應落在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0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到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之間，因此將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2\t2.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替換成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2.2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NaN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替換成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0</w:t>
      </w:r>
    </w:p>
    <w:p w:rsidR="00D0792F" w:rsidRPr="001C1570" w:rsidRDefault="00D0792F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另外還有，雖然不知道原因，只有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 11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type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Object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而不是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float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，因此使用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astype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將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 11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改成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float</w:t>
      </w:r>
    </w:p>
    <w:p w:rsidR="00D0792F" w:rsidRDefault="00D0792F" w:rsidP="001C1570">
      <w:pPr>
        <w:pStyle w:val="ListParagraph"/>
        <w:numPr>
          <w:ilvl w:val="0"/>
          <w:numId w:val="1"/>
        </w:numPr>
        <w:tabs>
          <w:tab w:val="left" w:pos="389"/>
        </w:tabs>
        <w:spacing w:before="208"/>
        <w:ind w:hanging="274"/>
        <w:rPr>
          <w:rFonts w:ascii="微軟正黑體" w:eastAsia="微軟正黑體"/>
          <w:b/>
          <w:sz w:val="40"/>
        </w:rPr>
      </w:pPr>
      <w:r>
        <w:rPr>
          <w:rFonts w:ascii="微軟正黑體" w:eastAsia="微軟正黑體" w:hint="eastAsia"/>
          <w:b/>
          <w:sz w:val="40"/>
          <w:lang w:eastAsia="zh-TW"/>
        </w:rPr>
        <w:t>分群</w:t>
      </w:r>
      <w:r w:rsidRPr="001126B8">
        <w:rPr>
          <w:rFonts w:ascii="微軟正黑體" w:eastAsia="微軟正黑體"/>
          <w:b/>
          <w:sz w:val="40"/>
        </w:rPr>
        <w:t>:</w:t>
      </w:r>
      <w:r>
        <w:rPr>
          <w:rFonts w:ascii="微軟正黑體" w:eastAsia="微軟正黑體"/>
          <w:b/>
          <w:sz w:val="40"/>
          <w:lang w:eastAsia="zh-TW"/>
        </w:rPr>
        <w:t xml:space="preserve"> </w:t>
      </w:r>
    </w:p>
    <w:p w:rsidR="00D0792F" w:rsidRDefault="00D0792F" w:rsidP="001C1570">
      <w:pPr>
        <w:spacing w:line="426" w:lineRule="exact"/>
        <w:ind w:left="396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因為尚未明白資料的關係性，因此第一次先用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KMeans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，嘗試將資料分成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群，分完之後，對每個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裡同一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clusters id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取平均值，畫成疊加型的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Bar chart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，看各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中，在哪個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裡的平均值最高，再進行轉置，利用轉置後畫出的圖看各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在哪個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占最多</w:t>
      </w:r>
    </w:p>
    <w:p w:rsidR="00D0792F" w:rsidRPr="001126B8" w:rsidRDefault="00D0792F" w:rsidP="00B72C35">
      <w:pPr>
        <w:pStyle w:val="ListParagraph"/>
        <w:tabs>
          <w:tab w:val="left" w:pos="389"/>
        </w:tabs>
        <w:spacing w:before="208"/>
        <w:ind w:left="0" w:firstLine="0"/>
        <w:rPr>
          <w:rFonts w:ascii="微軟正黑體" w:eastAsia="微軟正黑體"/>
          <w:b/>
          <w:sz w:val="40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  <w:r w:rsidRPr="00A42ED2">
        <w:rPr>
          <w:sz w:val="32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00pt">
            <v:imagedata r:id="rId5" o:title=""/>
          </v:shape>
        </w:pict>
      </w: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</w:p>
    <w:p w:rsidR="00D0792F" w:rsidRDefault="00D0792F" w:rsidP="001C1570">
      <w:pPr>
        <w:spacing w:before="8" w:line="172" w:lineRule="auto"/>
        <w:ind w:right="165"/>
        <w:jc w:val="both"/>
        <w:rPr>
          <w:sz w:val="32"/>
          <w:lang w:eastAsia="zh-TW"/>
        </w:rPr>
      </w:pPr>
      <w:r>
        <w:rPr>
          <w:rFonts w:hint="eastAsia"/>
          <w:sz w:val="32"/>
          <w:lang w:eastAsia="zh-TW"/>
        </w:rPr>
        <w:t>轉置後</w:t>
      </w:r>
      <w:r>
        <w:rPr>
          <w:sz w:val="32"/>
          <w:lang w:eastAsia="zh-TW"/>
        </w:rPr>
        <w:t>:</w:t>
      </w:r>
    </w:p>
    <w:p w:rsidR="00D0792F" w:rsidRDefault="00D0792F" w:rsidP="001C1570">
      <w:pPr>
        <w:spacing w:before="8" w:line="172" w:lineRule="auto"/>
        <w:ind w:right="165"/>
        <w:jc w:val="both"/>
        <w:rPr>
          <w:rFonts w:eastAsia="MS Mincho"/>
          <w:sz w:val="32"/>
          <w:lang w:eastAsia="ja-JP"/>
        </w:rPr>
      </w:pPr>
      <w:r w:rsidRPr="00A42ED2">
        <w:rPr>
          <w:sz w:val="32"/>
          <w:lang w:eastAsia="zh-TW"/>
        </w:rPr>
        <w:pict>
          <v:shape id="_x0000_i1026" type="#_x0000_t75" style="width:368.25pt;height:429pt">
            <v:imagedata r:id="rId6" o:title=""/>
          </v:shape>
        </w:pict>
      </w:r>
    </w:p>
    <w:p w:rsidR="00D0792F" w:rsidRPr="00E26A70" w:rsidRDefault="00D0792F" w:rsidP="001C1570">
      <w:pPr>
        <w:spacing w:before="8" w:line="172" w:lineRule="auto"/>
        <w:ind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   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之所以看平均值，是認為因為這是評分的資料集，若是一群資料的平均值較另一群高，可能代表高得分的集中在一群中，能看出評分的走向，因此選用這個標準來分類</w:t>
      </w:r>
    </w:p>
    <w:p w:rsidR="00D0792F" w:rsidRDefault="00D0792F" w:rsidP="00B72C35">
      <w:pPr>
        <w:numPr>
          <w:ilvl w:val="0"/>
          <w:numId w:val="1"/>
        </w:numPr>
        <w:spacing w:before="8" w:line="172" w:lineRule="auto"/>
        <w:ind w:right="165"/>
        <w:jc w:val="both"/>
        <w:rPr>
          <w:rFonts w:ascii="微軟正黑體" w:eastAsia="微軟正黑體"/>
          <w:b/>
          <w:sz w:val="40"/>
          <w:lang w:eastAsia="zh-TW"/>
        </w:rPr>
      </w:pPr>
      <w:r>
        <w:rPr>
          <w:rFonts w:ascii="微軟正黑體" w:eastAsia="微軟正黑體" w:hint="eastAsia"/>
          <w:b/>
          <w:sz w:val="40"/>
          <w:lang w:eastAsia="zh-TW"/>
        </w:rPr>
        <w:t>再分群</w:t>
      </w:r>
      <w:r w:rsidRPr="001126B8">
        <w:rPr>
          <w:rFonts w:ascii="微軟正黑體" w:eastAsia="微軟正黑體"/>
          <w:b/>
          <w:sz w:val="40"/>
        </w:rPr>
        <w:t>:</w:t>
      </w:r>
    </w:p>
    <w:p w:rsidR="00D0792F" w:rsidRDefault="00D0792F" w:rsidP="00B72C35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第一次分完的結果是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cluster0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c0=df[[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5'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6'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7'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cluster1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c1=df[[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16'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17'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18'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19'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20'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21'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23'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24'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cluster2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c2=df[[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12'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13'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14'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15'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cluster3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c3=df[[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8'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9'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10'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11'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#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在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cluster4 bar</w:t>
      </w:r>
      <w:r w:rsidRPr="00B72C35">
        <w:rPr>
          <w:rFonts w:ascii="Courier New" w:hAnsi="Courier New" w:cs="Courier New" w:hint="eastAsia"/>
          <w:color w:val="008000"/>
          <w:sz w:val="21"/>
          <w:szCs w:val="21"/>
          <w:lang w:eastAsia="zh-TW"/>
        </w:rPr>
        <w:t>高</w:t>
      </w:r>
      <w:r w:rsidRPr="00B72C35">
        <w:rPr>
          <w:rFonts w:ascii="Courier New" w:hAnsi="Courier New" w:cs="Courier New"/>
          <w:color w:val="008000"/>
          <w:sz w:val="21"/>
          <w:szCs w:val="21"/>
          <w:lang w:eastAsia="zh-TW"/>
        </w:rPr>
        <w:t>:</w:t>
      </w:r>
    </w:p>
    <w:p w:rsidR="00D0792F" w:rsidRPr="00B72C35" w:rsidRDefault="00D0792F" w:rsidP="00B72C3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c4=df[[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3'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4'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B72C35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22'</w:t>
      </w:r>
      <w:r w:rsidRPr="00B72C35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其中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的欄位稍為過多，因此再對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做一次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KMeans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，這次是分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群，結果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A42ED2">
        <w:rPr>
          <w:rFonts w:ascii="微軟正黑體" w:eastAsia="微軟正黑體" w:hAnsi="細明體" w:cs="細明體"/>
          <w:w w:val="105"/>
          <w:sz w:val="28"/>
          <w:lang w:eastAsia="zh-TW"/>
        </w:rPr>
        <w:pict>
          <v:shape id="_x0000_i1027" type="#_x0000_t75" style="width:362.25pt;height:300pt">
            <v:imagedata r:id="rId7" o:title=""/>
          </v:shape>
        </w:pic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轉置後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A42ED2">
        <w:rPr>
          <w:rFonts w:ascii="微軟正黑體" w:eastAsia="微軟正黑體" w:hAnsi="細明體" w:cs="細明體"/>
          <w:w w:val="105"/>
          <w:sz w:val="28"/>
          <w:lang w:eastAsia="zh-TW"/>
        </w:rPr>
        <w:pict>
          <v:shape id="_x0000_i1028" type="#_x0000_t75" style="width:378pt;height:279pt">
            <v:imagedata r:id="rId8" o:title=""/>
          </v:shape>
        </w:pic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可以看見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的分群走向與其他不同，在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cluster 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最高，因此將其分出，變成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c1_1=df[[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16'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17'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18'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19'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20'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c1_2=df[[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E90D24">
      <w:pPr>
        <w:numPr>
          <w:ilvl w:val="0"/>
          <w:numId w:val="1"/>
        </w:numPr>
        <w:spacing w:before="8" w:line="172" w:lineRule="auto"/>
        <w:ind w:right="165"/>
        <w:jc w:val="both"/>
        <w:rPr>
          <w:rFonts w:ascii="微軟正黑體" w:eastAsia="微軟正黑體"/>
          <w:b/>
          <w:sz w:val="40"/>
          <w:lang w:eastAsia="zh-TW"/>
        </w:rPr>
      </w:pPr>
      <w:r>
        <w:rPr>
          <w:rFonts w:ascii="微軟正黑體" w:eastAsia="微軟正黑體" w:hint="eastAsia"/>
          <w:b/>
          <w:sz w:val="40"/>
          <w:lang w:eastAsia="zh-TW"/>
        </w:rPr>
        <w:t>嘗試分更多群</w:t>
      </w:r>
      <w:r w:rsidRPr="001126B8">
        <w:rPr>
          <w:rFonts w:ascii="微軟正黑體" w:eastAsia="微軟正黑體"/>
          <w:b/>
          <w:sz w:val="40"/>
        </w:rPr>
        <w:t>:</w:t>
      </w:r>
    </w:p>
    <w:p w:rsidR="00D0792F" w:rsidRDefault="00D0792F" w:rsidP="00E90D24">
      <w:pPr>
        <w:spacing w:before="8" w:line="172" w:lineRule="auto"/>
        <w:ind w:left="115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/>
          <w:b/>
          <w:sz w:val="40"/>
          <w:lang w:eastAsia="zh-TW"/>
        </w:rPr>
        <w:t xml:space="preserve">   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c1_1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中仍有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6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個欄位，因此嘗試再利用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KMeans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分成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群，而結果為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0792F" w:rsidRDefault="00D0792F" w:rsidP="00E90D24">
      <w:pPr>
        <w:spacing w:before="8" w:line="172" w:lineRule="auto"/>
        <w:ind w:left="115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E90D24">
      <w:pPr>
        <w:spacing w:before="8" w:line="172" w:lineRule="auto"/>
        <w:ind w:left="115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E90D24">
      <w:pPr>
        <w:spacing w:before="8" w:line="172" w:lineRule="auto"/>
        <w:ind w:left="115" w:right="165"/>
        <w:jc w:val="both"/>
        <w:rPr>
          <w:rFonts w:ascii="微軟正黑體" w:eastAsia="微軟正黑體"/>
          <w:b/>
          <w:sz w:val="40"/>
          <w:lang w:eastAsia="zh-TW"/>
        </w:rPr>
      </w:pPr>
      <w:r w:rsidRPr="00A42ED2">
        <w:rPr>
          <w:rFonts w:ascii="微軟正黑體" w:eastAsia="微軟正黑體"/>
          <w:b/>
          <w:sz w:val="40"/>
          <w:lang w:eastAsia="zh-TW"/>
        </w:rPr>
        <w:pict>
          <v:shape id="_x0000_i1029" type="#_x0000_t75" style="width:372pt;height:300pt">
            <v:imagedata r:id="rId9" o:title=""/>
          </v:shape>
        </w:pict>
      </w: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  <w:r w:rsidRPr="00A42ED2">
        <w:rPr>
          <w:sz w:val="32"/>
          <w:lang w:eastAsia="zh-TW"/>
        </w:rPr>
        <w:pict>
          <v:shape id="_x0000_i1030" type="#_x0000_t75" style="width:368.25pt;height:279pt">
            <v:imagedata r:id="rId10" o:title=""/>
          </v:shape>
        </w:pic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而對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c0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這三組有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個欄位的，進行再分群也無法分出走向不同的項，因此就做到這裡</w: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B72C35">
      <w:pPr>
        <w:spacing w:before="8" w:line="172" w:lineRule="auto"/>
        <w:ind w:left="388" w:right="165"/>
        <w:jc w:val="both"/>
        <w:rPr>
          <w:sz w:val="32"/>
          <w:lang w:eastAsia="zh-TW"/>
        </w:rPr>
      </w:pPr>
    </w:p>
    <w:p w:rsidR="00D0792F" w:rsidRDefault="00D0792F" w:rsidP="00E90D24">
      <w:pPr>
        <w:numPr>
          <w:ilvl w:val="0"/>
          <w:numId w:val="1"/>
        </w:numPr>
        <w:spacing w:before="8" w:line="172" w:lineRule="auto"/>
        <w:ind w:right="165"/>
        <w:jc w:val="both"/>
        <w:rPr>
          <w:rFonts w:ascii="微軟正黑體" w:eastAsia="微軟正黑體"/>
          <w:b/>
          <w:sz w:val="40"/>
          <w:lang w:eastAsia="zh-TW"/>
        </w:rPr>
      </w:pPr>
      <w:r>
        <w:rPr>
          <w:rFonts w:ascii="微軟正黑體" w:eastAsia="微軟正黑體" w:hint="eastAsia"/>
          <w:b/>
          <w:sz w:val="40"/>
          <w:lang w:eastAsia="zh-TW"/>
        </w:rPr>
        <w:t>分群導出的結論</w:t>
      </w:r>
      <w:r w:rsidRPr="001126B8">
        <w:rPr>
          <w:rFonts w:ascii="微軟正黑體" w:eastAsia="微軟正黑體"/>
          <w:b/>
          <w:sz w:val="40"/>
        </w:rPr>
        <w:t>:</w:t>
      </w:r>
    </w:p>
    <w:p w:rsidR="00D0792F" w:rsidRDefault="00D0792F" w:rsidP="00E90D24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最後結果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: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g1=df[[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16'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17'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18'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19'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20'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g2=df[[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g3=df[[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5'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6'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7'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g4=df[[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12'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15'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g5=df[[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8'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9'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10'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 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11'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g6=df[[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3'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4'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,</w:t>
      </w:r>
      <w:r w:rsidRPr="00E90D24">
        <w:rPr>
          <w:rFonts w:ascii="Courier New" w:hAnsi="Courier New" w:cs="Courier New"/>
          <w:color w:val="A31515"/>
          <w:sz w:val="21"/>
          <w:szCs w:val="21"/>
          <w:lang w:eastAsia="zh-TW"/>
        </w:rPr>
        <w:t>'Category 22'</w:t>
      </w:r>
      <w:r w:rsidRPr="00E90D24">
        <w:rPr>
          <w:rFonts w:ascii="Courier New" w:hAnsi="Courier New" w:cs="Courier New"/>
          <w:color w:val="000000"/>
          <w:sz w:val="21"/>
          <w:szCs w:val="21"/>
          <w:lang w:eastAsia="zh-TW"/>
        </w:rPr>
        <w:t>]]</w:t>
      </w:r>
    </w:p>
    <w:p w:rsidR="00D0792F" w:rsidRPr="00E90D24" w:rsidRDefault="00D0792F" w:rsidP="00E90D2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zh-TW"/>
        </w:rPr>
      </w:pPr>
    </w:p>
    <w:p w:rsidR="00D0792F" w:rsidRDefault="00D0792F" w:rsidP="00326FC2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第一組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16~21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，以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Attribute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來看是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17~22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，也就是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dance clubs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swimming pools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gyms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bakeries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beauty &amp; spas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跟</w:t>
      </w:r>
      <w:r w:rsidRPr="00326FC2">
        <w:rPr>
          <w:rFonts w:ascii="微軟正黑體" w:eastAsia="微軟正黑體" w:hAnsi="細明體" w:cs="細明體"/>
          <w:w w:val="105"/>
          <w:sz w:val="28"/>
          <w:lang w:eastAsia="zh-TW"/>
        </w:rPr>
        <w:t>cafes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六項，這六項的打分走向類似，或許像是在豪華旅館內有這些設施，在旅館入住，享受館內設施時一齊打分，因此分數類似吧</w:t>
      </w:r>
    </w:p>
    <w:p w:rsidR="00D0792F" w:rsidRPr="00326FC2" w:rsidRDefault="00D0792F" w:rsidP="00924568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第二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churches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monuments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跟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garden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</w:p>
    <w:p w:rsidR="00D0792F" w:rsidRDefault="00D0792F" w:rsidP="00924568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第三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6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7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resorts</w:t>
      </w:r>
      <w:r w:rsidRPr="00924568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theatres</w:t>
      </w:r>
      <w:r w:rsidRPr="00924568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museums</w:t>
      </w:r>
      <w:r w:rsidRPr="00924568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924568">
        <w:rPr>
          <w:rFonts w:ascii="微軟正黑體" w:eastAsia="微軟正黑體" w:hAnsi="細明體" w:cs="細明體"/>
          <w:w w:val="105"/>
          <w:sz w:val="28"/>
          <w:lang w:eastAsia="zh-TW"/>
        </w:rPr>
        <w:t>malls</w:t>
      </w:r>
    </w:p>
    <w:p w:rsidR="00D0792F" w:rsidRDefault="00D0792F" w:rsidP="00924568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第四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12~15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burger/pizza shops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hotels/other lodgings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juice bars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art galleries</w:t>
      </w:r>
    </w:p>
    <w:p w:rsidR="00D0792F" w:rsidRPr="00B705C3" w:rsidRDefault="00D0792F" w:rsidP="00B705C3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第五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8~11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zoo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restaurants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pubs/bars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local services</w:t>
      </w:r>
    </w:p>
    <w:p w:rsidR="00D0792F" w:rsidRDefault="00D0792F" w:rsidP="00B705C3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第六</w:t>
      </w:r>
      <w:r w:rsidRPr="00326FC2">
        <w:rPr>
          <w:rFonts w:ascii="微軟正黑體" w:eastAsia="微軟正黑體" w:hAnsi="細明體" w:cs="細明體" w:hint="eastAsia"/>
          <w:b/>
          <w:w w:val="105"/>
          <w:sz w:val="28"/>
          <w:lang w:eastAsia="zh-TW"/>
        </w:rPr>
        <w:t>組</w:t>
      </w:r>
      <w:r w:rsidRPr="00326FC2">
        <w:rPr>
          <w:rFonts w:ascii="微軟正黑體" w:eastAsia="微軟正黑體" w:hAnsi="細明體" w:cs="細明體"/>
          <w:b/>
          <w:w w:val="105"/>
          <w:sz w:val="28"/>
          <w:lang w:eastAsia="zh-TW"/>
        </w:rPr>
        <w:t>: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 xml:space="preserve"> 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Category 3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4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>
        <w:rPr>
          <w:rFonts w:ascii="微軟正黑體" w:eastAsia="微軟正黑體" w:hAnsi="細明體" w:cs="細明體"/>
          <w:w w:val="105"/>
          <w:sz w:val="28"/>
          <w:lang w:eastAsia="zh-TW"/>
        </w:rPr>
        <w:t>22</w:t>
      </w:r>
      <w:r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，為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beaches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parks</w:t>
      </w:r>
      <w:r w:rsidRPr="00B705C3">
        <w:rPr>
          <w:rFonts w:ascii="微軟正黑體" w:eastAsia="微軟正黑體" w:hAnsi="細明體" w:cs="細明體" w:hint="eastAsia"/>
          <w:w w:val="105"/>
          <w:sz w:val="28"/>
          <w:lang w:eastAsia="zh-TW"/>
        </w:rPr>
        <w:t>，</w:t>
      </w:r>
      <w:r w:rsidRPr="00B705C3">
        <w:rPr>
          <w:rFonts w:ascii="微軟正黑體" w:eastAsia="微軟正黑體" w:hAnsi="細明體" w:cs="細明體"/>
          <w:w w:val="105"/>
          <w:sz w:val="28"/>
          <w:lang w:eastAsia="zh-TW"/>
        </w:rPr>
        <w:t>view points</w:t>
      </w:r>
    </w:p>
    <w:p w:rsidR="00D0792F" w:rsidRDefault="00D0792F" w:rsidP="00B705C3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sz w:val="28"/>
          <w:lang w:eastAsia="zh-TW"/>
        </w:rPr>
      </w:pPr>
    </w:p>
    <w:p w:rsidR="00D0792F" w:rsidRPr="00B705C3" w:rsidRDefault="00D0792F" w:rsidP="00B705C3">
      <w:pPr>
        <w:spacing w:before="8" w:line="172" w:lineRule="auto"/>
        <w:ind w:left="388" w:right="165"/>
        <w:jc w:val="both"/>
        <w:rPr>
          <w:rFonts w:ascii="微軟正黑體" w:eastAsia="微軟正黑體" w:hAnsi="細明體" w:cs="細明體"/>
          <w:w w:val="105"/>
          <w:sz w:val="28"/>
          <w:lang w:eastAsia="zh-TW"/>
        </w:rPr>
      </w:pPr>
      <w:r>
        <w:rPr>
          <w:rFonts w:ascii="微軟正黑體" w:eastAsia="微軟正黑體" w:hAnsi="細明體" w:cs="細明體" w:hint="eastAsia"/>
          <w:sz w:val="28"/>
          <w:lang w:eastAsia="zh-TW"/>
        </w:rPr>
        <w:t>分類在同一組的代表分數的走向類似，可能同高或是同低</w:t>
      </w:r>
    </w:p>
    <w:sectPr w:rsidR="00D0792F" w:rsidRPr="00B705C3" w:rsidSect="006C0F79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CJK JP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KIJ CJ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?? ?玃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B09FC"/>
    <w:multiLevelType w:val="hybridMultilevel"/>
    <w:tmpl w:val="7F4E69C2"/>
    <w:lvl w:ilvl="0" w:tplc="9CCCC142">
      <w:start w:val="1"/>
      <w:numFmt w:val="decimal"/>
      <w:lvlText w:val="%1."/>
      <w:lvlJc w:val="left"/>
      <w:pPr>
        <w:ind w:left="388" w:hanging="273"/>
      </w:pPr>
      <w:rPr>
        <w:rFonts w:ascii="Noto Sans CJK JP Medium" w:eastAsia="Times New Roman" w:hAnsi="Noto Sans CJK JP Medium" w:cs="Noto Sans CJK JP Medium" w:hint="default"/>
        <w:spacing w:val="-1"/>
        <w:w w:val="85"/>
        <w:sz w:val="30"/>
        <w:szCs w:val="30"/>
      </w:rPr>
    </w:lvl>
    <w:lvl w:ilvl="1" w:tplc="75C45994">
      <w:start w:val="1"/>
      <w:numFmt w:val="decimal"/>
      <w:lvlText w:val="%2."/>
      <w:lvlJc w:val="left"/>
      <w:pPr>
        <w:ind w:left="569" w:hanging="239"/>
      </w:pPr>
      <w:rPr>
        <w:rFonts w:cs="Times New Roman" w:hint="default"/>
        <w:spacing w:val="-1"/>
        <w:w w:val="85"/>
        <w:sz w:val="36"/>
      </w:rPr>
    </w:lvl>
    <w:lvl w:ilvl="2" w:tplc="A1A00D9A">
      <w:numFmt w:val="bullet"/>
      <w:lvlText w:val="•"/>
      <w:lvlJc w:val="left"/>
      <w:pPr>
        <w:ind w:left="1680" w:hanging="239"/>
      </w:pPr>
      <w:rPr>
        <w:rFonts w:hint="default"/>
      </w:rPr>
    </w:lvl>
    <w:lvl w:ilvl="3" w:tplc="4086C286">
      <w:numFmt w:val="bullet"/>
      <w:lvlText w:val="•"/>
      <w:lvlJc w:val="left"/>
      <w:pPr>
        <w:ind w:left="2701" w:hanging="239"/>
      </w:pPr>
      <w:rPr>
        <w:rFonts w:hint="default"/>
      </w:rPr>
    </w:lvl>
    <w:lvl w:ilvl="4" w:tplc="11A0AC70">
      <w:numFmt w:val="bullet"/>
      <w:lvlText w:val="•"/>
      <w:lvlJc w:val="left"/>
      <w:pPr>
        <w:ind w:left="3721" w:hanging="239"/>
      </w:pPr>
      <w:rPr>
        <w:rFonts w:hint="default"/>
      </w:rPr>
    </w:lvl>
    <w:lvl w:ilvl="5" w:tplc="D6261E0E">
      <w:numFmt w:val="bullet"/>
      <w:lvlText w:val="•"/>
      <w:lvlJc w:val="left"/>
      <w:pPr>
        <w:ind w:left="4742" w:hanging="239"/>
      </w:pPr>
      <w:rPr>
        <w:rFonts w:hint="default"/>
      </w:rPr>
    </w:lvl>
    <w:lvl w:ilvl="6" w:tplc="3E7466F8">
      <w:numFmt w:val="bullet"/>
      <w:lvlText w:val="•"/>
      <w:lvlJc w:val="left"/>
      <w:pPr>
        <w:ind w:left="5763" w:hanging="239"/>
      </w:pPr>
      <w:rPr>
        <w:rFonts w:hint="default"/>
      </w:rPr>
    </w:lvl>
    <w:lvl w:ilvl="7" w:tplc="907082BC">
      <w:numFmt w:val="bullet"/>
      <w:lvlText w:val="•"/>
      <w:lvlJc w:val="left"/>
      <w:pPr>
        <w:ind w:left="6783" w:hanging="239"/>
      </w:pPr>
      <w:rPr>
        <w:rFonts w:hint="default"/>
      </w:rPr>
    </w:lvl>
    <w:lvl w:ilvl="8" w:tplc="CEC861B4">
      <w:numFmt w:val="bullet"/>
      <w:lvlText w:val="•"/>
      <w:lvlJc w:val="left"/>
      <w:pPr>
        <w:ind w:left="7804" w:hanging="2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F79"/>
    <w:rsid w:val="000E343E"/>
    <w:rsid w:val="001126B8"/>
    <w:rsid w:val="001631BE"/>
    <w:rsid w:val="00173FF2"/>
    <w:rsid w:val="001C1570"/>
    <w:rsid w:val="001E2E1C"/>
    <w:rsid w:val="002A01B8"/>
    <w:rsid w:val="00326FC2"/>
    <w:rsid w:val="0042792C"/>
    <w:rsid w:val="004300EA"/>
    <w:rsid w:val="00454EFA"/>
    <w:rsid w:val="00523580"/>
    <w:rsid w:val="005239F1"/>
    <w:rsid w:val="005354F1"/>
    <w:rsid w:val="00571240"/>
    <w:rsid w:val="006C0F79"/>
    <w:rsid w:val="007A140A"/>
    <w:rsid w:val="00924568"/>
    <w:rsid w:val="00932CD7"/>
    <w:rsid w:val="00970FA6"/>
    <w:rsid w:val="009C50A7"/>
    <w:rsid w:val="00A42ED2"/>
    <w:rsid w:val="00A91C3F"/>
    <w:rsid w:val="00B705C3"/>
    <w:rsid w:val="00B72C35"/>
    <w:rsid w:val="00BA2228"/>
    <w:rsid w:val="00BC1FF9"/>
    <w:rsid w:val="00BC7E28"/>
    <w:rsid w:val="00C668AA"/>
    <w:rsid w:val="00D0792F"/>
    <w:rsid w:val="00D16B07"/>
    <w:rsid w:val="00D96FC5"/>
    <w:rsid w:val="00DC73C4"/>
    <w:rsid w:val="00E26A70"/>
    <w:rsid w:val="00E9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79"/>
    <w:pPr>
      <w:widowControl w:val="0"/>
      <w:autoSpaceDE w:val="0"/>
      <w:autoSpaceDN w:val="0"/>
    </w:pPr>
    <w:rPr>
      <w:rFonts w:ascii="UKIJ CJK" w:hAnsi="UKIJ CJK" w:cs="UKIJ CJK"/>
      <w:kern w:val="0"/>
      <w:sz w:val="22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6C0F79"/>
    <w:pPr>
      <w:spacing w:line="507" w:lineRule="exact"/>
      <w:ind w:left="115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6C0F79"/>
    <w:pPr>
      <w:spacing w:line="445" w:lineRule="exact"/>
      <w:ind w:left="11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0FA6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70FA6"/>
    <w:rPr>
      <w:rFonts w:ascii="Cambria" w:eastAsia="新細明體" w:hAnsi="Cambria" w:cs="Times New Roman"/>
      <w:b/>
      <w:bCs/>
      <w:kern w:val="0"/>
      <w:sz w:val="48"/>
      <w:szCs w:val="48"/>
      <w:lang w:eastAsia="en-US"/>
    </w:rPr>
  </w:style>
  <w:style w:type="paragraph" w:styleId="BodyText">
    <w:name w:val="Body Text"/>
    <w:basedOn w:val="Normal"/>
    <w:link w:val="BodyTextChar"/>
    <w:uiPriority w:val="99"/>
    <w:rsid w:val="006C0F79"/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0FA6"/>
    <w:rPr>
      <w:rFonts w:ascii="UKIJ CJK" w:hAnsi="UKIJ CJK" w:cs="UKIJ CJK"/>
      <w:kern w:val="0"/>
      <w:sz w:val="22"/>
      <w:lang w:eastAsia="en-US"/>
    </w:rPr>
  </w:style>
  <w:style w:type="paragraph" w:styleId="Title">
    <w:name w:val="Title"/>
    <w:basedOn w:val="Normal"/>
    <w:link w:val="TitleChar"/>
    <w:uiPriority w:val="99"/>
    <w:qFormat/>
    <w:rsid w:val="006C0F79"/>
    <w:pPr>
      <w:spacing w:line="738" w:lineRule="exact"/>
      <w:ind w:left="2725" w:right="2702"/>
      <w:jc w:val="center"/>
    </w:pPr>
    <w:rPr>
      <w:rFonts w:ascii="Noto Sans CJK JP Medium" w:hAnsi="Noto Sans CJK JP Medium" w:cs="Noto Sans CJK JP Medium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99"/>
    <w:locked/>
    <w:rsid w:val="00970FA6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6C0F79"/>
    <w:pPr>
      <w:spacing w:line="580" w:lineRule="exact"/>
      <w:ind w:left="388" w:hanging="274"/>
    </w:pPr>
  </w:style>
  <w:style w:type="paragraph" w:customStyle="1" w:styleId="TableParagraph">
    <w:name w:val="Table Paragraph"/>
    <w:basedOn w:val="Normal"/>
    <w:uiPriority w:val="99"/>
    <w:rsid w:val="006C0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82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196</TotalTime>
  <Pages>5</Pages>
  <Words>339</Words>
  <Characters>1934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gto</cp:lastModifiedBy>
  <cp:revision>11</cp:revision>
  <dcterms:created xsi:type="dcterms:W3CDTF">2020-05-23T02:58:00Z</dcterms:created>
  <dcterms:modified xsi:type="dcterms:W3CDTF">2020-05-31T10:15:00Z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Writer</vt:lpwstr>
  </property>
</Properties>
</file>