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color w:val="000000"/>
          <w:sz w:val="52"/>
        </w:rPr>
        <w:t>FX検証研究ノート（2015-2024）</w:t>
      </w:r>
    </w:p>
    <w:p>
      <w:pPr>
        <w:spacing w:before="0" w:after="240" w:line="276" w:lineRule="auto"/>
      </w:pPr>
      <w:r>
        <w:rPr>
          <w:rFonts w:ascii="Arial" w:hAnsi="Arial" w:eastAsia="Arial"/>
          <w:b w:val="0"/>
          <w:color w:val="555555"/>
          <w:sz w:val="22"/>
        </w:rPr>
        <w:t>TrendBreakV1 / Sai近似 / V字フィボ / 急落後V字回復の検証メモ  |  作成日: 2026-05-23</w:t>
      </w:r>
    </w:p>
    <w:p>
      <w:pPr>
        <w:pStyle w:val="Heading1"/>
      </w:pPr>
      <w:r>
        <w:t>1. このノートの目的</w:t>
      </w:r>
    </w:p>
    <w:p>
      <w:pPr>
        <w:spacing w:before="0" w:after="160" w:line="276" w:lineRule="auto"/>
      </w:pPr>
      <w:r>
        <w:rPr>
          <w:rFonts w:ascii="Arial" w:hAnsi="Arial" w:eastAsia="Arial"/>
          <w:b w:val="0"/>
          <w:color w:val="000000"/>
          <w:sz w:val="22"/>
        </w:rPr>
        <w:t>ここまで行ったFX手法検証を、後から見返して再現できる研究ノートとして整理したものです。主な対象はTrendBreakV1、Sai手法の時間足比較、騙し回避、同方向追加ポジション、エリオット風5波、V字フィボ、急落後V字回復です。</w:t>
      </w:r>
    </w:p>
    <w:p>
      <w:pPr>
        <w:pStyle w:val="ListBullet"/>
        <w:spacing w:before="0" w:after="80" w:line="276" w:lineRule="auto"/>
      </w:pPr>
      <w:r>
        <w:rPr>
          <w:rFonts w:ascii="Arial" w:hAnsi="Arial" w:eastAsia="Arial"/>
          <w:b w:val="0"/>
          <w:color w:val="000000"/>
          <w:sz w:val="22"/>
        </w:rPr>
        <w:t>検証期間は主に2015年1月1日から2024年12月31日。</w:t>
      </w:r>
    </w:p>
    <w:p>
      <w:pPr>
        <w:pStyle w:val="ListBullet"/>
        <w:spacing w:before="0" w:after="80" w:line="276" w:lineRule="auto"/>
      </w:pPr>
      <w:r>
        <w:rPr>
          <w:rFonts w:ascii="Arial" w:hAnsi="Arial" w:eastAsia="Arial"/>
          <w:b w:val="0"/>
          <w:color w:val="000000"/>
          <w:sz w:val="22"/>
        </w:rPr>
        <w:t>対象はXAUUSD、USDJPY、EURJPY、GBPJPY、CHFJPY、AUDJPY、SILVERなど。</w:t>
      </w:r>
    </w:p>
    <w:p>
      <w:pPr>
        <w:pStyle w:val="ListBullet"/>
        <w:spacing w:before="0" w:after="80" w:line="276" w:lineRule="auto"/>
      </w:pPr>
      <w:r>
        <w:rPr>
          <w:rFonts w:ascii="Arial" w:hAnsi="Arial" w:eastAsia="Arial"/>
          <w:b w:val="0"/>
          <w:color w:val="000000"/>
          <w:sz w:val="22"/>
        </w:rPr>
        <w:t>結果はバックテスト上の研究値であり、将来の利益を保証するものではありません。</w:t>
      </w:r>
    </w:p>
    <w:p>
      <w:pPr>
        <w:pStyle w:val="Heading1"/>
      </w:pPr>
      <w:r>
        <w:t>2. 用語メモ</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4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用語</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意味</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売買での使い方</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R</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1回の許容損失を1単位にした成績表示。1%リスクなら+10Rは約+10%。</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資金額に左右されず、手法の強さを比較する。</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ATR</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平均的な値動きの大きさ。ATR14は直近14本の平均的な変動幅。</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急落幅、SL幅、高ボラ判定の基準に使う。</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PF</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総利益 ÷ 総損失。1.0超で利益側、1.3以上なら比較的良好。</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勝率だけでなく損益バランスを見る。</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DD</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ピークからどれだけ資産曲線が落ちたか。</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耐えられるリスクかを判断する。</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lookback</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過去何本を見るか。</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高値更新・安値更新の基準期間。</w:t>
            </w:r>
          </w:p>
        </w:tc>
      </w:tr>
      <w:tr>
        <w:tc>
          <w:tcPr>
            <w:tcW w:type="dxa" w:w="14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exclude</w:t>
            </w:r>
          </w:p>
        </w:tc>
        <w:tc>
          <w:tcPr>
            <w:tcW w:type="dxa" w:w="4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直近何本は水準タッチがないことを見る期間。</w:t>
            </w:r>
          </w:p>
        </w:tc>
        <w:tc>
          <w:tcPr>
            <w:tcW w:type="dxa" w:w="3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直近で触られ続けている弱い水準を除外する。</w:t>
            </w:r>
          </w:p>
        </w:tc>
      </w:tr>
    </w:tbl>
    <w:p>
      <w:pPr>
        <w:spacing w:before="0" w:after="160" w:line="276" w:lineRule="auto"/>
      </w:pPr>
    </w:p>
    <w:p>
      <w:pPr>
        <w:pStyle w:val="Heading1"/>
      </w:pPr>
      <w:r>
        <w:t>3. 主要結論</w:t>
      </w:r>
    </w:p>
    <w:p>
      <w:pPr>
        <w:pStyle w:val="ListBullet"/>
        <w:spacing w:before="0" w:after="80" w:line="276" w:lineRule="auto"/>
      </w:pPr>
      <w:r>
        <w:rPr>
          <w:rFonts w:ascii="Arial" w:hAnsi="Arial" w:eastAsia="Arial"/>
          <w:b w:val="0"/>
          <w:color w:val="000000"/>
          <w:sz w:val="22"/>
        </w:rPr>
        <w:t>TrendBreakV1 HYBRIDは10年検証で+191.53R、PF1.624。現時点の中核候補。</w:t>
      </w:r>
    </w:p>
    <w:p>
      <w:pPr>
        <w:pStyle w:val="ListBullet"/>
        <w:spacing w:before="0" w:after="80" w:line="276" w:lineRule="auto"/>
      </w:pPr>
      <w:r>
        <w:rPr>
          <w:rFonts w:ascii="Arial" w:hAnsi="Arial" w:eastAsia="Arial"/>
          <w:b w:val="0"/>
          <w:color w:val="000000"/>
          <w:sz w:val="22"/>
        </w:rPr>
        <w:t>騙し回避では、ブレイク後3本以内に水準内へ戻るかどうかが強い特徴として出た。</w:t>
      </w:r>
    </w:p>
    <w:p>
      <w:pPr>
        <w:pStyle w:val="ListBullet"/>
        <w:spacing w:before="0" w:after="80" w:line="276" w:lineRule="auto"/>
      </w:pPr>
      <w:r>
        <w:rPr>
          <w:rFonts w:ascii="Arial" w:hAnsi="Arial" w:eastAsia="Arial"/>
          <w:b w:val="0"/>
          <w:color w:val="000000"/>
          <w:sz w:val="22"/>
        </w:rPr>
        <w:t>同方向追加ポジションは、全体では最大2ポジションで+197.15R。大幅改善ではないが、XAUUSD/GBPJPY/CHFJPYでは効果あり。</w:t>
      </w:r>
    </w:p>
    <w:p>
      <w:pPr>
        <w:pStyle w:val="ListBullet"/>
        <w:spacing w:before="0" w:after="80" w:line="276" w:lineRule="auto"/>
      </w:pPr>
      <w:r>
        <w:rPr>
          <w:rFonts w:ascii="Arial" w:hAnsi="Arial" w:eastAsia="Arial"/>
          <w:b w:val="0"/>
          <w:color w:val="000000"/>
          <w:sz w:val="22"/>
        </w:rPr>
        <w:t>Sai近似は全体ではH1が最も良好。H4/D1は一部手法だけ候補。</w:t>
      </w:r>
    </w:p>
    <w:p>
      <w:pPr>
        <w:pStyle w:val="ListBullet"/>
        <w:spacing w:before="0" w:after="80" w:line="276" w:lineRule="auto"/>
      </w:pPr>
      <w:r>
        <w:rPr>
          <w:rFonts w:ascii="Arial" w:hAnsi="Arial" w:eastAsia="Arial"/>
          <w:b w:val="0"/>
          <w:color w:val="000000"/>
          <w:sz w:val="22"/>
        </w:rPr>
        <w:t>V字フィボはH4の61.8%戻しが強く、急落後V字の買い方向に絞るとPFが改善。</w:t>
      </w:r>
    </w:p>
    <w:p>
      <w:pPr>
        <w:pStyle w:val="ListBullet"/>
        <w:spacing w:before="0" w:after="80" w:line="276" w:lineRule="auto"/>
      </w:pPr>
      <w:r>
        <w:rPr>
          <w:rFonts w:ascii="Arial" w:hAnsi="Arial" w:eastAsia="Arial"/>
          <w:b w:val="0"/>
          <w:color w:val="000000"/>
          <w:sz w:val="22"/>
        </w:rPr>
        <w:t>エリオット風5波は単体主力にはまだ弱く、補助仮説として扱うのが妥当。</w:t>
      </w:r>
    </w:p>
    <w:p>
      <w:pPr>
        <w:pStyle w:val="Heading1"/>
      </w:pPr>
      <w:r>
        <w:t>4. TrendBreakV1 ベースラインと騙し回避</w:t>
      </w:r>
    </w:p>
    <w:tbl>
      <w:tblPr>
        <w:tblStyle w:val="TableGrid"/>
        <w:tblW w:type="auto" w:w="0"/>
        <w:jc w:val="left"/>
        <w:tblLayout w:type="fixed"/>
        <w:tblLook w:firstColumn="1" w:firstRow="1" w:lastColumn="0" w:lastRow="0" w:noHBand="0" w:noVBand="1" w:val="04A0"/>
      </w:tblPr>
      <w:tblGrid>
        <w:gridCol w:w="4680"/>
        <w:gridCol w:w="4680"/>
      </w:tblGrid>
      <w:tr>
        <w:tc>
          <w:tcPr>
            <w:tcW w:type="dxa" w:w="36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項目</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結果</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取引数</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461</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総R（コスト込み）</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+191.53R</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勝率</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36.88%</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PF</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1.624</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最大DD</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17.95R</w:t>
            </w:r>
          </w:p>
        </w:tc>
      </w:tr>
      <w:tr>
        <w:tc>
          <w:tcPr>
            <w:tcW w:type="dxa" w:w="3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3本以内に終値がブレイク水準内へ戻った率</w:t>
            </w:r>
          </w:p>
        </w:tc>
        <w:tc>
          <w:tcPr>
            <w:tcW w:type="dxa" w:w="57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37.53%</w:t>
            </w:r>
          </w:p>
        </w:tc>
      </w:tr>
    </w:tbl>
    <w:p>
      <w:pPr>
        <w:spacing w:before="0" w:after="160" w:line="276" w:lineRule="auto"/>
      </w:pPr>
    </w:p>
    <w:p>
      <w:pPr>
        <w:spacing w:before="0" w:after="160" w:line="276" w:lineRule="auto"/>
      </w:pPr>
      <w:r>
        <w:rPr>
          <w:rFonts w:ascii="Arial" w:hAnsi="Arial" w:eastAsia="Arial"/>
          <w:b w:val="0"/>
          <w:color w:val="000000"/>
          <w:sz w:val="22"/>
        </w:rPr>
        <w:t>売買への活かし方: ブレイク後にすぐ水準内へ戻る動きは騙し候補です。単純に全て避けるのではなく、実体比率、終値位置、逆ヒゲ、停滞後ブレイクと組み合わせて使う方が自然です。</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23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フィルタ</w:t>
            </w:r>
          </w:p>
        </w:tc>
        <w:tc>
          <w:tcPr>
            <w:tcW w:type="dxa" w:w="25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意味</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取引数</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勝率</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総R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PF</w:t>
            </w:r>
          </w:p>
        </w:tc>
        <w:tc>
          <w:tcPr>
            <w:tcW w:type="dxa" w:w="8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最大DD</w:t>
            </w:r>
          </w:p>
        </w:tc>
      </w:tr>
      <w:tr>
        <w:tc>
          <w:tcPr>
            <w:tcW w:type="dxa" w:w="23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body_ratio&gt;=0.6</w:t>
            </w:r>
          </w:p>
        </w:tc>
        <w:tc>
          <w:tcPr>
            <w:tcW w:type="dxa" w:w="25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シグナル足の実体が強い</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377</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38.20%</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+176.27R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1.716</w:t>
            </w:r>
          </w:p>
        </w:tc>
        <w:tc>
          <w:tcPr>
            <w:tcW w:type="dxa" w:w="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11.70R</w:t>
            </w:r>
          </w:p>
        </w:tc>
      </w:tr>
      <w:tr>
        <w:tc>
          <w:tcPr>
            <w:tcW w:type="dxa" w:w="23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stagnation_then_break</w:t>
            </w:r>
          </w:p>
        </w:tc>
        <w:tc>
          <w:tcPr>
            <w:tcW w:type="dxa" w:w="25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直前6本が停滞気味</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237</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39.66%</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+125.71R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1.840</w:t>
            </w:r>
          </w:p>
        </w:tc>
        <w:tc>
          <w:tcPr>
            <w:tcW w:type="dxa" w:w="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14.64R</w:t>
            </w:r>
          </w:p>
        </w:tc>
      </w:tr>
      <w:tr>
        <w:tc>
          <w:tcPr>
            <w:tcW w:type="dxa" w:w="23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confirm_3_closes_outside</w:t>
            </w:r>
          </w:p>
        </w:tc>
        <w:tc>
          <w:tcPr>
            <w:tcW w:type="dxa" w:w="25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3本連続で水準外に残る</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287</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37.63%</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+129.06R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1.684</w:t>
            </w:r>
          </w:p>
        </w:tc>
        <w:tc>
          <w:tcPr>
            <w:tcW w:type="dxa" w:w="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9.52R</w:t>
            </w:r>
          </w:p>
        </w:tc>
      </w:tr>
    </w:tbl>
    <w:p>
      <w:pPr>
        <w:spacing w:before="0" w:after="160" w:line="276" w:lineRule="auto"/>
      </w:pPr>
    </w:p>
    <w:p>
      <w:pPr>
        <w:pStyle w:val="Heading1"/>
      </w:pPr>
      <w:r>
        <w:t>5. 同方向追加ポジション検証</w:t>
      </w:r>
    </w:p>
    <w:p>
      <w:pPr>
        <w:spacing w:before="0" w:after="160" w:line="276" w:lineRule="auto"/>
      </w:pPr>
      <w:r>
        <w:rPr>
          <w:rFonts w:ascii="Arial" w:hAnsi="Arial" w:eastAsia="Arial"/>
          <w:b w:val="0"/>
          <w:color w:val="000000"/>
          <w:sz w:val="22"/>
        </w:rPr>
        <w:t>同方向に最大1から5ポジションまで持つ検証では、全体最適は最大2ポジションでした。ただし改善幅は小さく、無理に複雑化するほどではありません。</w:t>
      </w:r>
    </w:p>
    <w:tbl>
      <w:tblPr>
        <w:tblStyle w:val="TableGrid"/>
        <w:tblW w:type="auto" w:w="0"/>
        <w:jc w:val="left"/>
        <w:tblLayout w:type="fixed"/>
        <w:tblLook w:firstColumn="1" w:firstRow="1" w:lastColumn="0" w:lastRow="0" w:noHBand="0" w:noVBand="1" w:val="04A0"/>
      </w:tblPr>
      <w:tblGrid>
        <w:gridCol w:w="1560"/>
        <w:gridCol w:w="1560"/>
        <w:gridCol w:w="1560"/>
        <w:gridCol w:w="1560"/>
        <w:gridCol w:w="1560"/>
        <w:gridCol w:w="1560"/>
      </w:tblGrid>
      <w:tr>
        <w:tc>
          <w:tcPr>
            <w:tcW w:type="dxa" w:w="16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最大ポジション</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エントリー数</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勝率</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総R</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PF</w:t>
            </w:r>
          </w:p>
        </w:tc>
        <w:tc>
          <w:tcPr>
            <w:tcW w:type="dxa" w:w="21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最大DD</w:t>
            </w:r>
          </w:p>
        </w:tc>
      </w:tr>
      <w:tr>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461</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36.88%</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+191.53R</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1.624</w:t>
            </w:r>
          </w:p>
        </w:tc>
        <w:tc>
          <w:tcPr>
            <w:tcW w:type="dxa" w:w="21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18.27R</w:t>
            </w:r>
          </w:p>
        </w:tc>
      </w:tr>
      <w:tr>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465</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37.20%</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+197.15R</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1.640</w:t>
            </w:r>
          </w:p>
        </w:tc>
        <w:tc>
          <w:tcPr>
            <w:tcW w:type="dxa" w:w="21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18.27R</w:t>
            </w:r>
          </w:p>
        </w:tc>
      </w:tr>
      <w:tr>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3-5</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465</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37.20%</w:t>
            </w:r>
          </w:p>
        </w:tc>
        <w:tc>
          <w:tcPr>
            <w:tcW w:type="dxa" w:w="16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+197.15R</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1.640</w:t>
            </w:r>
          </w:p>
        </w:tc>
        <w:tc>
          <w:tcPr>
            <w:tcW w:type="dxa" w:w="21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18.27R</w:t>
            </w:r>
          </w:p>
        </w:tc>
      </w:tr>
    </w:tbl>
    <w:p>
      <w:pPr>
        <w:spacing w:before="0" w:after="160" w:line="276" w:lineRule="auto"/>
      </w:pPr>
    </w:p>
    <w:p>
      <w:pPr>
        <w:spacing w:before="0" w:after="160" w:line="276" w:lineRule="auto"/>
      </w:pPr>
      <w:r>
        <w:rPr>
          <w:rFonts w:ascii="Arial" w:hAnsi="Arial" w:eastAsia="Arial"/>
          <w:b w:val="0"/>
          <w:color w:val="000000"/>
          <w:sz w:val="22"/>
        </w:rPr>
        <w:t>運用判断: XAUUSD、GBPJPY、CHFJPYは最大2ポジションを試す余地があります。USDJPY、EURJPY、SILVER、AUDJPYは基本1ポジション維持が無難です。</w:t>
      </w:r>
    </w:p>
    <w:p>
      <w:pPr>
        <w:pStyle w:val="Heading1"/>
      </w:pPr>
      <w:r>
        <w:t>6. Sai近似ロジックの時間足比較</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10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時間足</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取引数</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勝率</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総R</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PF</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最大連敗</w:t>
            </w:r>
          </w:p>
        </w:tc>
        <w:tc>
          <w:tcPr>
            <w:tcW w:type="dxa" w:w="28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平均保有日数</w:t>
            </w:r>
          </w:p>
        </w:tc>
      </w:tr>
      <w:tr>
        <w:tc>
          <w:tcPr>
            <w:tcW w:type="dxa" w:w="1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H1</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3670</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41.63%</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+99.91R</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1.05</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24</w:t>
            </w:r>
          </w:p>
        </w:tc>
        <w:tc>
          <w:tcPr>
            <w:tcW w:type="dxa" w:w="2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1.78</w:t>
            </w:r>
          </w:p>
        </w:tc>
      </w:tr>
      <w:tr>
        <w:tc>
          <w:tcPr>
            <w:tcW w:type="dxa" w:w="1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1739</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39.91%</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-6.06R</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0.99</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w:t>
            </w:r>
          </w:p>
        </w:tc>
        <w:tc>
          <w:tcPr>
            <w:tcW w:type="dxa" w:w="2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4.63</w:t>
            </w:r>
          </w:p>
        </w:tc>
      </w:tr>
      <w:tr>
        <w:tc>
          <w:tcPr>
            <w:tcW w:type="dxa" w:w="1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D1</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292</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38.70%</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-11.42R</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0.94</w:t>
            </w:r>
          </w:p>
        </w:tc>
        <w:tc>
          <w:tcPr>
            <w:tcW w:type="dxa" w:w="12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13</w:t>
            </w:r>
          </w:p>
        </w:tc>
        <w:tc>
          <w:tcPr>
            <w:tcW w:type="dxa" w:w="28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17.78</w:t>
            </w:r>
          </w:p>
        </w:tc>
      </w:tr>
    </w:tbl>
    <w:p>
      <w:pPr>
        <w:spacing w:before="0" w:after="160" w:line="276" w:lineRule="auto"/>
      </w:pPr>
    </w:p>
    <w:p>
      <w:pPr>
        <w:spacing w:before="0" w:after="160" w:line="276" w:lineRule="auto"/>
      </w:pPr>
      <w:r>
        <w:rPr>
          <w:rFonts w:ascii="Arial" w:hAnsi="Arial" w:eastAsia="Arial"/>
          <w:b w:val="0"/>
          <w:color w:val="000000"/>
          <w:sz w:val="22"/>
        </w:rPr>
        <w:t>現時点では、Sai近似を丸ごとH4/D1へ移す根拠は弱いです。H1を軸にしつつ、H4のV字＋高値停滞、H4のレンジ抜け2回目以降、D1の値幅広め高値停滞だけを別枠で視覚確認するのが良さそうです。</w:t>
      </w:r>
    </w:p>
    <w:p>
      <w:pPr>
        <w:pStyle w:val="Heading1"/>
      </w:pPr>
      <w:r>
        <w:t>7. V字フィボ・エリオット検証</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7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足</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戦略</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取引数</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勝率</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総R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PF</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最大DD</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VFIB_618_RR2</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887</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41.83%</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+126.92R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1.25</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18.59R</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VFIB_618_BODY50_RR2</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812</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42.49%</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+126.86R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1.28</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16.12R</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VFIB_618_BODY60_RR2</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750</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42.13%</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+106.41R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1.25</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14.38R</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H1</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VFIB_618_BODY60_LONG_RR2</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1513</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38.60%</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+186.64R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1.19</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50.87R</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H1</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VFIB_618_BODY60_LONG_REC1_SPEED030_RR2</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570</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38.60%</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+71.76R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1.20</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28.42R</w:t>
            </w:r>
          </w:p>
        </w:tc>
      </w:tr>
      <w:tr>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H1</w:t>
            </w:r>
          </w:p>
        </w:tc>
        <w:tc>
          <w:tcPr>
            <w:tcW w:type="dxa" w:w="3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ELLIOTT_W5_RR3_LOOSE</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450</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30.00%</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+73.33R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1.23</w:t>
            </w:r>
          </w:p>
        </w:tc>
        <w:tc>
          <w:tcPr>
            <w:tcW w:type="dxa" w:w="13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34.70R</w:t>
            </w:r>
          </w:p>
        </w:tc>
      </w:tr>
    </w:tbl>
    <w:p>
      <w:pPr>
        <w:spacing w:before="0" w:after="160" w:line="276" w:lineRule="auto"/>
      </w:pPr>
    </w:p>
    <w:p>
      <w:pPr>
        <w:spacing w:before="0" w:after="160" w:line="276" w:lineRule="auto"/>
      </w:pPr>
      <w:r>
        <w:rPr>
          <w:rFonts w:ascii="Arial" w:hAnsi="Arial" w:eastAsia="Arial"/>
          <w:b w:val="0"/>
          <w:color w:val="000000"/>
          <w:sz w:val="22"/>
        </w:rPr>
        <w:t>読み取り: V字フィボはH4の61.8%戻しが最も扱いやすい候補です。エリオット風5波はプラス例もありますがDDが重く、現段階では単体採用よりも環境認識の補助として扱う方が安全です。</w:t>
      </w:r>
    </w:p>
    <w:p>
      <w:pPr>
        <w:pStyle w:val="Heading1"/>
      </w:pPr>
      <w:r>
        <w:t>8. 急落後V字回復の定量化</w:t>
      </w:r>
    </w:p>
    <w:p>
      <w:pPr>
        <w:spacing w:before="0" w:after="160" w:line="276" w:lineRule="auto"/>
      </w:pPr>
      <w:r>
        <w:rPr>
          <w:rFonts w:ascii="Arial" w:hAnsi="Arial" w:eastAsia="Arial"/>
          <w:b w:val="0"/>
          <w:color w:val="000000"/>
          <w:sz w:val="22"/>
        </w:rPr>
        <w:t>急落後V字回復は、裁量で見つけると曖昧になりやすいため、次のように機械定義しました。</w:t>
      </w:r>
    </w:p>
    <w:p>
      <w:pPr>
        <w:pStyle w:val="ListBullet"/>
        <w:spacing w:before="0" w:after="80" w:line="276" w:lineRule="auto"/>
      </w:pPr>
      <w:r>
        <w:rPr>
          <w:rFonts w:ascii="Arial" w:hAnsi="Arial" w:eastAsia="Arial"/>
          <w:b w:val="0"/>
          <w:color w:val="000000"/>
          <w:sz w:val="22"/>
        </w:rPr>
        <w:t>確定スイング高値から確定スイング安値まで、H4なら3.5ATR以上落ちる。</w:t>
      </w:r>
    </w:p>
    <w:p>
      <w:pPr>
        <w:pStyle w:val="ListBullet"/>
        <w:spacing w:before="0" w:after="80" w:line="276" w:lineRule="auto"/>
      </w:pPr>
      <w:r>
        <w:rPr>
          <w:rFonts w:ascii="Arial" w:hAnsi="Arial" w:eastAsia="Arial"/>
          <w:b w:val="0"/>
          <w:color w:val="000000"/>
          <w:sz w:val="22"/>
        </w:rPr>
        <w:t>その安値から下落幅の61.8%以上を終値で回復する。</w:t>
      </w:r>
    </w:p>
    <w:p>
      <w:pPr>
        <w:pStyle w:val="ListBullet"/>
        <w:spacing w:before="0" w:after="80" w:line="276" w:lineRule="auto"/>
      </w:pPr>
      <w:r>
        <w:rPr>
          <w:rFonts w:ascii="Arial" w:hAnsi="Arial" w:eastAsia="Arial"/>
          <w:b w:val="0"/>
          <w:color w:val="000000"/>
          <w:sz w:val="22"/>
        </w:rPr>
        <w:t>シグナル足の実体がローソク足全体の60%以上。</w:t>
      </w:r>
    </w:p>
    <w:p>
      <w:pPr>
        <w:pStyle w:val="ListBullet"/>
        <w:spacing w:before="0" w:after="80" w:line="276" w:lineRule="auto"/>
      </w:pPr>
      <w:r>
        <w:rPr>
          <w:rFonts w:ascii="Arial" w:hAnsi="Arial" w:eastAsia="Arial"/>
          <w:b w:val="0"/>
          <w:color w:val="000000"/>
          <w:sz w:val="22"/>
        </w:rPr>
        <w:t>買いのみ。SLはV字の谷より0.25ATR下、TPは2R。</w:t>
      </w:r>
    </w:p>
    <w:p>
      <w:pPr>
        <w:pStyle w:val="ListBullet"/>
        <w:spacing w:before="0" w:after="80" w:line="276" w:lineRule="auto"/>
      </w:pPr>
      <w:r>
        <w:rPr>
          <w:rFonts w:ascii="Arial" w:hAnsi="Arial" w:eastAsia="Arial"/>
          <w:b w:val="0"/>
          <w:color w:val="000000"/>
          <w:sz w:val="22"/>
        </w:rPr>
        <w:t>補助指標として、急落速度、回復速度、下落幅ATRを記録する。</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30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条件</w:t>
            </w:r>
          </w:p>
        </w:tc>
        <w:tc>
          <w:tcPr>
            <w:tcW w:type="dxa" w:w="7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足</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取引数</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勝率</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総R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PF</w:t>
            </w:r>
          </w:p>
        </w:tc>
        <w:tc>
          <w:tcPr>
            <w:tcW w:type="dxa" w:w="201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最大DD</w:t>
            </w:r>
          </w:p>
        </w:tc>
      </w:tr>
      <w:tr>
        <w:tc>
          <w:tcPr>
            <w:tcW w:type="dxa" w:w="3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 実体60%・急落後V字買い</w:t>
            </w:r>
          </w:p>
        </w:tc>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566</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43.29%</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+103.78R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1.33</w:t>
            </w:r>
          </w:p>
        </w:tc>
        <w:tc>
          <w:tcPr>
            <w:tcW w:type="dxa" w:w="20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14.62R</w:t>
            </w:r>
          </w:p>
        </w:tc>
      </w:tr>
      <w:tr>
        <w:tc>
          <w:tcPr>
            <w:tcW w:type="dxa" w:w="3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 回復が下落本数以内</w:t>
            </w:r>
          </w:p>
        </w:tc>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402</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41.54%</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+61.86R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1.27</w:t>
            </w:r>
          </w:p>
        </w:tc>
        <w:tc>
          <w:tcPr>
            <w:tcW w:type="dxa" w:w="20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11.10R</w:t>
            </w:r>
          </w:p>
        </w:tc>
      </w:tr>
      <w:tr>
        <w:tc>
          <w:tcPr>
            <w:tcW w:type="dxa" w:w="3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 急落幅4ATR・速度0.60以上</w:t>
            </w:r>
          </w:p>
        </w:tc>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187</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44.39%</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+41.52R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1.41</w:t>
            </w:r>
          </w:p>
        </w:tc>
        <w:tc>
          <w:tcPr>
            <w:tcW w:type="dxa" w:w="20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9.84R</w:t>
            </w:r>
          </w:p>
        </w:tc>
      </w:tr>
      <w:tr>
        <w:tc>
          <w:tcPr>
            <w:tcW w:type="dxa" w:w="30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D1 実体60%・回復速度・急落速度</w:t>
            </w:r>
          </w:p>
        </w:tc>
        <w:tc>
          <w:tcPr>
            <w:tcW w:type="dxa" w:w="7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D1</w:t>
            </w:r>
          </w:p>
        </w:tc>
        <w:tc>
          <w:tcPr>
            <w:tcW w:type="dxa" w:w="85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103</w:t>
            </w:r>
          </w:p>
        </w:tc>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56.31%</w:t>
            </w:r>
          </w:p>
        </w:tc>
        <w:tc>
          <w:tcPr>
            <w:tcW w:type="dxa" w:w="1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+34.14R</w:t>
            </w:r>
          </w:p>
        </w:tc>
        <w:tc>
          <w:tcPr>
            <w:tcW w:type="dxa" w:w="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1.82</w:t>
            </w:r>
          </w:p>
        </w:tc>
        <w:tc>
          <w:tcPr>
            <w:tcW w:type="dxa" w:w="201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9.15R</w:t>
            </w:r>
          </w:p>
        </w:tc>
      </w:tr>
    </w:tbl>
    <w:p>
      <w:pPr>
        <w:spacing w:before="0" w:after="160" w:line="276" w:lineRule="auto"/>
      </w:pPr>
    </w:p>
    <w:p>
      <w:pPr>
        <w:spacing w:before="0" w:after="160" w:line="276" w:lineRule="auto"/>
      </w:pPr>
      <w:r>
        <w:rPr>
          <w:rFonts w:ascii="Arial" w:hAnsi="Arial" w:eastAsia="Arial"/>
          <w:b w:val="0"/>
          <w:color w:val="000000"/>
          <w:sz w:val="22"/>
        </w:rPr>
        <w:t>運用候補: H4は取引数と総利益のバランスが良く、D1は回数は少ないものの勝率とPFが高いです。まずはH4の急落後V字をPineで可視化し、谷、61.8%ライン、シグナル足を目視確認するのが次の作業です。</w:t>
      </w:r>
    </w:p>
    <w:p>
      <w:pPr>
        <w:pStyle w:val="Heading1"/>
      </w:pPr>
      <w:r>
        <w:t>9. 現時点の優先順位</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9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優先度</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テーマ</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判断</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color w:val="000000"/>
                <w:sz w:val="19"/>
              </w:rPr>
              <w:t>次のアクション</w:t>
            </w:r>
          </w:p>
        </w:tc>
      </w:tr>
      <w:tr>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A</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TrendBreakV1 HYBRID</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主力候補。R管理がしやすい。</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Pineの約定/決済表示を安定化し、実運用に近いアラートを整備。</w:t>
            </w:r>
          </w:p>
        </w:tc>
      </w:tr>
      <w:tr>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A</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H4 急落後V字回復</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新しい有望候補。買い方向に絞る価値あり。</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PineでV字・61.8%・SL/TPを可視化。</w:t>
            </w:r>
          </w:p>
        </w:tc>
      </w:tr>
      <w:tr>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B</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騙し回避</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3本以内戻りと実体比率は有効な観察点。</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TrendBreakのフィルタとして採用するか追加検証。</w:t>
            </w:r>
          </w:p>
        </w:tc>
      </w:tr>
      <w:tr>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B</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同方向追加</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最大2ポジションは一部通貨で有効。</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通貨別にON/OFFを分ける。</w:t>
            </w:r>
          </w:p>
        </w:tc>
      </w:tr>
      <w:tr>
        <w:tc>
          <w:tcPr>
            <w:tcW w:type="dxa" w:w="9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C</w:t>
            </w:r>
          </w:p>
        </w:tc>
        <w:tc>
          <w:tcPr>
            <w:tcW w:type="dxa" w:w="18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エリオット風5波</w:t>
            </w:r>
          </w:p>
        </w:tc>
        <w:tc>
          <w:tcPr>
            <w:tcW w:type="dxa" w:w="310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単体採用はまだ弱い。</w:t>
            </w:r>
          </w:p>
        </w:tc>
        <w:tc>
          <w:tcPr>
            <w:tcW w:type="dxa" w:w="3560"/>
            <w:vAlign w:val="center"/>
            <w:tcMar>
              <w:top w:w="80" w:type="dxa"/>
              <w:start w:w="120" w:type="dxa"/>
              <w:bottom w:w="80" w:type="dxa"/>
              <w:end w:w="120" w:type="dxa"/>
            </w:tcMar>
          </w:tcPr>
          <w:p>
            <w:pPr>
              <w:spacing w:before="0" w:after="0" w:line="276" w:lineRule="auto"/>
            </w:pPr>
            <w:r>
              <w:rPr>
                <w:rFonts w:ascii="Arial" w:hAnsi="Arial" w:eastAsia="Arial"/>
                <w:b w:val="0"/>
                <w:color w:val="000000"/>
                <w:sz w:val="19"/>
              </w:rPr>
              <w:t>補助認識として使えるか検証継続。</w:t>
            </w:r>
          </w:p>
        </w:tc>
      </w:tr>
    </w:tbl>
    <w:p>
      <w:pPr>
        <w:spacing w:before="0" w:after="160" w:line="276" w:lineRule="auto"/>
      </w:pPr>
    </w:p>
    <w:p>
      <w:pPr>
        <w:pStyle w:val="Heading1"/>
      </w:pPr>
      <w:r>
        <w:t>10. 次にやること</w:t>
      </w:r>
    </w:p>
    <w:p>
      <w:pPr>
        <w:pStyle w:val="ListBullet"/>
        <w:spacing w:before="0" w:after="80" w:line="276" w:lineRule="auto"/>
      </w:pPr>
      <w:r>
        <w:rPr>
          <w:rFonts w:ascii="Arial" w:hAnsi="Arial" w:eastAsia="Arial"/>
          <w:b w:val="0"/>
          <w:color w:val="000000"/>
          <w:sz w:val="22"/>
        </w:rPr>
        <w:t>H4急落後V字回復のPine可視化スクリプトを作る。</w:t>
      </w:r>
    </w:p>
    <w:p>
      <w:pPr>
        <w:pStyle w:val="ListBullet"/>
        <w:spacing w:before="0" w:after="80" w:line="276" w:lineRule="auto"/>
      </w:pPr>
      <w:r>
        <w:rPr>
          <w:rFonts w:ascii="Arial" w:hAnsi="Arial" w:eastAsia="Arial"/>
          <w:b w:val="0"/>
          <w:color w:val="000000"/>
          <w:sz w:val="22"/>
        </w:rPr>
        <w:t>TrendBreakV1に騙し回避フィルタを正式に組み込む前後で再検証する。</w:t>
      </w:r>
    </w:p>
    <w:p>
      <w:pPr>
        <w:pStyle w:val="ListBullet"/>
        <w:spacing w:before="0" w:after="80" w:line="276" w:lineRule="auto"/>
      </w:pPr>
      <w:r>
        <w:rPr>
          <w:rFonts w:ascii="Arial" w:hAnsi="Arial" w:eastAsia="Arial"/>
          <w:b w:val="0"/>
          <w:color w:val="000000"/>
          <w:sz w:val="22"/>
        </w:rPr>
        <w:t>M5/M15は十分な過去データが入手できた後に同じ検証フレームで比較する。</w:t>
      </w:r>
    </w:p>
    <w:p>
      <w:pPr>
        <w:pStyle w:val="ListBullet"/>
        <w:spacing w:before="0" w:after="80" w:line="276" w:lineRule="auto"/>
      </w:pPr>
      <w:r>
        <w:rPr>
          <w:rFonts w:ascii="Arial" w:hAnsi="Arial" w:eastAsia="Arial"/>
          <w:b w:val="0"/>
          <w:color w:val="000000"/>
          <w:sz w:val="22"/>
        </w:rPr>
        <w:t>各手法をGoogleスプレッドシートまたはCSVで、通貨別・年別・月別に管理できる形へ整理する。</w:t>
      </w:r>
    </w:p>
    <w:p>
      <w:pPr>
        <w:pStyle w:val="Heading1"/>
      </w:pPr>
      <w:r>
        <w:t>11. 参照ファイル</w:t>
      </w:r>
    </w:p>
    <w:p>
      <w:pPr>
        <w:spacing w:before="0" w:after="160" w:line="276" w:lineRule="auto"/>
      </w:pPr>
      <w:r>
        <w:rPr>
          <w:rFonts w:ascii="Arial" w:hAnsi="Arial" w:eastAsia="Arial"/>
          <w:b w:val="0"/>
          <w:color w:val="000000"/>
          <w:sz w:val="22"/>
        </w:rPr>
        <w:t>主な生成物は以下のローカルパスに保存されています。</w:t>
      </w:r>
    </w:p>
    <w:p>
      <w:pPr>
        <w:pStyle w:val="ListBullet"/>
        <w:spacing w:before="0" w:after="80" w:line="276" w:lineRule="auto"/>
      </w:pPr>
      <w:r>
        <w:rPr>
          <w:rFonts w:ascii="Arial" w:hAnsi="Arial" w:eastAsia="Arial"/>
          <w:b w:val="0"/>
          <w:color w:val="000000"/>
          <w:sz w:val="22"/>
        </w:rPr>
        <w:t>/Users/asamifujita/Documents/Codex/2026-05-21/fx-ai/backtests/trendbreak_v1/fakeout_feature_study_fast_2015_2024/report_ja.md</w:t>
      </w:r>
    </w:p>
    <w:p>
      <w:pPr>
        <w:pStyle w:val="ListBullet"/>
        <w:spacing w:before="0" w:after="80" w:line="276" w:lineRule="auto"/>
      </w:pPr>
      <w:r>
        <w:rPr>
          <w:rFonts w:ascii="Arial" w:hAnsi="Arial" w:eastAsia="Arial"/>
          <w:b w:val="0"/>
          <w:color w:val="000000"/>
          <w:sz w:val="22"/>
        </w:rPr>
        <w:t>/Users/asamifujita/Documents/Codex/2026-05-21/fx-ai/backtests/trendbreak_v1/pyramiding_sweep_2015_2024/report_ja.md</w:t>
      </w:r>
    </w:p>
    <w:p>
      <w:pPr>
        <w:pStyle w:val="ListBullet"/>
        <w:spacing w:before="0" w:after="80" w:line="276" w:lineRule="auto"/>
      </w:pPr>
      <w:r>
        <w:rPr>
          <w:rFonts w:ascii="Arial" w:hAnsi="Arial" w:eastAsia="Arial"/>
          <w:b w:val="0"/>
          <w:color w:val="000000"/>
          <w:sz w:val="22"/>
        </w:rPr>
        <w:t>/Users/asamifujita/Documents/Codex/2026-05-21/fx-ai/backtests/sai_h1/timeframe_comparison_2015_2024/report_ja.md</w:t>
      </w:r>
    </w:p>
    <w:p>
      <w:pPr>
        <w:pStyle w:val="ListBullet"/>
        <w:spacing w:before="0" w:after="80" w:line="276" w:lineRule="auto"/>
      </w:pPr>
      <w:r>
        <w:rPr>
          <w:rFonts w:ascii="Arial" w:hAnsi="Arial" w:eastAsia="Arial"/>
          <w:b w:val="0"/>
          <w:color w:val="000000"/>
          <w:sz w:val="22"/>
        </w:rPr>
        <w:t>/Users/asamifujita/Documents/Codex/2026-05-21/fx-ai/backtests/elliott_fibo/results_2015_2024/report_ja.md</w:t>
      </w:r>
    </w:p>
    <w:p>
      <w:pPr>
        <w:pStyle w:val="ListBullet"/>
        <w:spacing w:before="0" w:after="80" w:line="276" w:lineRule="auto"/>
      </w:pPr>
      <w:r>
        <w:rPr>
          <w:rFonts w:ascii="Arial" w:hAnsi="Arial" w:eastAsia="Arial"/>
          <w:b w:val="0"/>
          <w:color w:val="000000"/>
          <w:sz w:val="22"/>
        </w:rPr>
        <w:t>/Users/asamifujita/Documents/Codex/2026-05-21/fx-ai/backtests/elliott_fibo/results_2015_2024/vshape_quant/report_ja.md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