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ISO 14064-1 là một tiêu chuẩn quốc tế quy định các nguyên tắc và yêu cầu để định lượng và báo cáo phát thải khí nhà kính (GHG) ở cấp độ tổ chức. Khi áp dụng tiêu chuẩn này trong bối cảnh châu Âu, các tổ chức cần tuân thủ các quy định và hướng dẫn cụ thể liên quan đến việc sử dụng các hệ số phát thải (emission factors) để đảm bảo tính chính xác và nhất quán. Dưới đây là cách tiếp cận chi tiết: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e2olulncrcsd" w:id="0"/>
      <w:bookmarkEnd w:id="0"/>
      <w:r w:rsidDel="00000000" w:rsidR="00000000" w:rsidRPr="00000000">
        <w:rPr>
          <w:b w:val="1"/>
          <w:color w:val="000000"/>
          <w:sz w:val="26"/>
          <w:szCs w:val="26"/>
          <w:rtl w:val="0"/>
        </w:rPr>
        <w:t xml:space="preserve">1. ISO 14064-1: Khung cơ bản</w:t>
      </w:r>
    </w:p>
    <w:p w:rsidR="00000000" w:rsidDel="00000000" w:rsidP="00000000" w:rsidRDefault="00000000" w:rsidRPr="00000000" w14:paraId="00000003">
      <w:pPr>
        <w:spacing w:after="240" w:before="240" w:lineRule="auto"/>
        <w:rPr/>
      </w:pPr>
      <w:r w:rsidDel="00000000" w:rsidR="00000000" w:rsidRPr="00000000">
        <w:rPr>
          <w:rtl w:val="0"/>
        </w:rPr>
        <w:t xml:space="preserve">ISO 14064-1 đưa ra các bước cơ bản để quản lý phát thải khí nhà kính:</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Xác định ranh giới tổ chức</w:t>
      </w:r>
      <w:r w:rsidDel="00000000" w:rsidR="00000000" w:rsidRPr="00000000">
        <w:rPr>
          <w:rtl w:val="0"/>
        </w:rPr>
        <w:t xml:space="preserve">: Định rõ phạm vi báo cáo, bao gồm tất cả các hoạt động, cơ sở và nguồn phát thải thuộc tổ chức.</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b w:val="1"/>
          <w:rtl w:val="0"/>
        </w:rPr>
        <w:t xml:space="preserve">Xác định nguồn phát thải</w:t>
      </w:r>
      <w:r w:rsidDel="00000000" w:rsidR="00000000" w:rsidRPr="00000000">
        <w:rPr>
          <w:rtl w:val="0"/>
        </w:rPr>
        <w:t xml:space="preserve">: Liệt kê tất cả các nguồn phát thải khí nhà kính trong phạm vi đã xác định.</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Thu thập và phân tích dữ liệu</w:t>
      </w:r>
      <w:r w:rsidDel="00000000" w:rsidR="00000000" w:rsidRPr="00000000">
        <w:rPr>
          <w:rtl w:val="0"/>
        </w:rPr>
        <w:t xml:space="preserve">: Thu thập dữ liệu liên quan đến phát thải, sử dụng các phương pháp định lượng và hệ số phát thải phù hợp.</w:t>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b w:val="1"/>
          <w:rtl w:val="0"/>
        </w:rPr>
        <w:t xml:space="preserve">Báo cáo và xác minh</w:t>
      </w:r>
      <w:r w:rsidDel="00000000" w:rsidR="00000000" w:rsidRPr="00000000">
        <w:rPr>
          <w:rtl w:val="0"/>
        </w:rPr>
        <w:t xml:space="preserve">: Lập báo cáo phát thải và tiến hành xác minh bởi bên thứ ba để đảm bảo tính minh bạch và độ chính xác.</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48c7qwm7qt6a" w:id="1"/>
      <w:bookmarkEnd w:id="1"/>
      <w:r w:rsidDel="00000000" w:rsidR="00000000" w:rsidRPr="00000000">
        <w:rPr>
          <w:b w:val="1"/>
          <w:color w:val="000000"/>
          <w:sz w:val="26"/>
          <w:szCs w:val="26"/>
          <w:rtl w:val="0"/>
        </w:rPr>
        <w:t xml:space="preserve">2. Emission Factors theo chuẩn châu Âu</w:t>
      </w:r>
    </w:p>
    <w:p w:rsidR="00000000" w:rsidDel="00000000" w:rsidP="00000000" w:rsidRDefault="00000000" w:rsidRPr="00000000" w14:paraId="00000009">
      <w:pPr>
        <w:spacing w:after="240" w:before="240" w:lineRule="auto"/>
        <w:rPr/>
      </w:pPr>
      <w:r w:rsidDel="00000000" w:rsidR="00000000" w:rsidRPr="00000000">
        <w:rPr>
          <w:rtl w:val="0"/>
        </w:rPr>
        <w:t xml:space="preserve">Emission factors (hệ số phát thải) là các giá trị được sử dụng để ước tính lượng phát thải khí nhà kính từ một hoạt động cụ thể. Theo chuẩn châu Âu, các hệ số phát thải phải được lấy từ các nguồn đáng tin cậy và được công nhận. Một số nguồn chính bao gồm:</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egnivfkr2s2c" w:id="2"/>
      <w:bookmarkEnd w:id="2"/>
      <w:r w:rsidDel="00000000" w:rsidR="00000000" w:rsidRPr="00000000">
        <w:rPr>
          <w:b w:val="1"/>
          <w:color w:val="000000"/>
          <w:sz w:val="22"/>
          <w:szCs w:val="22"/>
          <w:rtl w:val="0"/>
        </w:rPr>
        <w:t xml:space="preserve">Nguồn thông tin chính về Emission Factors tại châu Âu</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b w:val="1"/>
          <w:rtl w:val="0"/>
        </w:rPr>
        <w:t xml:space="preserve">Cơ quan Môi trường châu Âu (European Environment Agency - EEA)</w:t>
      </w:r>
      <w:r w:rsidDel="00000000" w:rsidR="00000000" w:rsidRPr="00000000">
        <w:rPr>
          <w:rtl w:val="0"/>
        </w:rPr>
        <w:t xml:space="preserve">: Cung cấp các hệ số phát thải chuẩn cho nhiều loại khí nhà kính và các hoạt động khác nhau.</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Báo cáo và hướng dẫn của IPCC (Intergovernmental Panel on Climate Change)</w:t>
      </w:r>
      <w:r w:rsidDel="00000000" w:rsidR="00000000" w:rsidRPr="00000000">
        <w:rPr>
          <w:rtl w:val="0"/>
        </w:rPr>
        <w:t xml:space="preserve">: Được sử dụng rộng rãi trên toàn cầu và được chấp nhận trong các quy định của châu Âu.</w:t>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b w:val="1"/>
          <w:rtl w:val="0"/>
        </w:rPr>
        <w:t xml:space="preserve">Cơ quan Môi trường quốc gia</w:t>
      </w:r>
      <w:r w:rsidDel="00000000" w:rsidR="00000000" w:rsidRPr="00000000">
        <w:rPr>
          <w:rtl w:val="0"/>
        </w:rPr>
        <w:t xml:space="preserve">: Nhiều quốc gia châu Âu có cơ quan môi trường quốc gia cung cấp các hệ số phát thải được điều chỉnh cho điều kiện cụ thể của quốc gia đó.</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1tr9apwfkn1d" w:id="3"/>
      <w:bookmarkEnd w:id="3"/>
      <w:r w:rsidDel="00000000" w:rsidR="00000000" w:rsidRPr="00000000">
        <w:rPr>
          <w:b w:val="1"/>
          <w:color w:val="000000"/>
          <w:sz w:val="22"/>
          <w:szCs w:val="22"/>
          <w:rtl w:val="0"/>
        </w:rPr>
        <w:t xml:space="preserve">Các yếu tố quan trọng khi chọn Emission Factors</w:t>
      </w:r>
    </w:p>
    <w:p w:rsidR="00000000" w:rsidDel="00000000" w:rsidP="00000000" w:rsidRDefault="00000000" w:rsidRPr="00000000" w14:paraId="0000000F">
      <w:pPr>
        <w:numPr>
          <w:ilvl w:val="0"/>
          <w:numId w:val="9"/>
        </w:numPr>
        <w:spacing w:after="0" w:afterAutospacing="0" w:before="240" w:lineRule="auto"/>
        <w:ind w:left="720" w:hanging="360"/>
      </w:pPr>
      <w:r w:rsidDel="00000000" w:rsidR="00000000" w:rsidRPr="00000000">
        <w:rPr>
          <w:b w:val="1"/>
          <w:rtl w:val="0"/>
        </w:rPr>
        <w:t xml:space="preserve">Tính phù hợp</w:t>
      </w:r>
      <w:r w:rsidDel="00000000" w:rsidR="00000000" w:rsidRPr="00000000">
        <w:rPr>
          <w:rtl w:val="0"/>
        </w:rPr>
        <w:t xml:space="preserve">: Emission factors phải phù hợp với loại hoạt động và nguồn phát thải cụ thể của tổ chức.</w:t>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b w:val="1"/>
          <w:rtl w:val="0"/>
        </w:rPr>
        <w:t xml:space="preserve">Độ chính xác</w:t>
      </w:r>
      <w:r w:rsidDel="00000000" w:rsidR="00000000" w:rsidRPr="00000000">
        <w:rPr>
          <w:rtl w:val="0"/>
        </w:rPr>
        <w:t xml:space="preserve">: Chọn các hệ số phát thải có độ chính xác cao để đảm bảo tính chính xác của báo cáo phát thải.</w:t>
      </w:r>
    </w:p>
    <w:p w:rsidR="00000000" w:rsidDel="00000000" w:rsidP="00000000" w:rsidRDefault="00000000" w:rsidRPr="00000000" w14:paraId="00000011">
      <w:pPr>
        <w:numPr>
          <w:ilvl w:val="0"/>
          <w:numId w:val="9"/>
        </w:numPr>
        <w:spacing w:after="240" w:before="0" w:beforeAutospacing="0" w:lineRule="auto"/>
        <w:ind w:left="720" w:hanging="360"/>
      </w:pPr>
      <w:r w:rsidDel="00000000" w:rsidR="00000000" w:rsidRPr="00000000">
        <w:rPr>
          <w:b w:val="1"/>
          <w:rtl w:val="0"/>
        </w:rPr>
        <w:t xml:space="preserve">Điều chỉnh theo điều kiện quốc gia</w:t>
      </w:r>
      <w:r w:rsidDel="00000000" w:rsidR="00000000" w:rsidRPr="00000000">
        <w:rPr>
          <w:rtl w:val="0"/>
        </w:rPr>
        <w:t xml:space="preserve">: Các hệ số phát thải có thể cần được điều chỉnh theo các điều kiện cụ thể của quốc gia hoặc khu vực để phản ánh chính xác hơn lượng phát thải thực tế.</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87vhu8y7vqxi" w:id="4"/>
      <w:bookmarkEnd w:id="4"/>
      <w:r w:rsidDel="00000000" w:rsidR="00000000" w:rsidRPr="00000000">
        <w:rPr>
          <w:b w:val="1"/>
          <w:color w:val="000000"/>
          <w:sz w:val="26"/>
          <w:szCs w:val="26"/>
          <w:rtl w:val="0"/>
        </w:rPr>
        <w:t xml:space="preserve">3. Quy trình áp dụng Emission Factors theo ISO 14064-1 tại châu Âu</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Xác định nguồn phát thải</w:t>
      </w:r>
      <w:r w:rsidDel="00000000" w:rsidR="00000000" w:rsidRPr="00000000">
        <w:rPr>
          <w:rtl w:val="0"/>
        </w:rPr>
        <w:t xml:space="preserve">: Xác định tất cả các nguồn phát thải trong phạm vi của tổ chức.</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Chọn Emission Factors phù hợp</w:t>
      </w:r>
      <w:r w:rsidDel="00000000" w:rsidR="00000000" w:rsidRPr="00000000">
        <w:rPr>
          <w:rtl w:val="0"/>
        </w:rPr>
        <w:t xml:space="preserve">: Chọn các hệ số phát thải từ các nguồn được công nhận như EEA hoặc IPCC.</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Thu thập dữ liệu hoạt động</w:t>
      </w:r>
      <w:r w:rsidDel="00000000" w:rsidR="00000000" w:rsidRPr="00000000">
        <w:rPr>
          <w:rtl w:val="0"/>
        </w:rPr>
        <w:t xml:space="preserve">: Thu thập dữ liệu về các hoạt động liên quan đến phát thải (ví dụ: lượng nhiên liệu tiêu thụ, sản lượng sản xuất).</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Tính toán phát thải</w:t>
      </w:r>
      <w:r w:rsidDel="00000000" w:rsidR="00000000" w:rsidRPr="00000000">
        <w:rPr>
          <w:rtl w:val="0"/>
        </w:rPr>
        <w:t xml:space="preserve">: Sử dụng các hệ số phát thải để tính toán lượng phát thải khí nhà kính.</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b w:val="1"/>
          <w:rtl w:val="0"/>
        </w:rPr>
        <w:t xml:space="preserve">Báo cáo và xác minh</w:t>
      </w:r>
      <w:r w:rsidDel="00000000" w:rsidR="00000000" w:rsidRPr="00000000">
        <w:rPr>
          <w:rtl w:val="0"/>
        </w:rPr>
        <w:t xml:space="preserve">: Lập báo cáo phát thải theo các yêu cầu của ISO 14064-1 và tiến hành xác minh bởi bên thứ ba để đảm bảo tính chính xác và minh bạch.</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cfk7ukfxj5m7" w:id="5"/>
      <w:bookmarkEnd w:id="5"/>
      <w:r w:rsidDel="00000000" w:rsidR="00000000" w:rsidRPr="00000000">
        <w:rPr>
          <w:b w:val="1"/>
          <w:color w:val="000000"/>
          <w:sz w:val="26"/>
          <w:szCs w:val="26"/>
          <w:rtl w:val="0"/>
        </w:rPr>
        <w:t xml:space="preserve">4. Ví dụ về Emission Factors</w:t>
      </w:r>
    </w:p>
    <w:p w:rsidR="00000000" w:rsidDel="00000000" w:rsidP="00000000" w:rsidRDefault="00000000" w:rsidRPr="00000000" w14:paraId="00000019">
      <w:pPr>
        <w:numPr>
          <w:ilvl w:val="0"/>
          <w:numId w:val="10"/>
        </w:numPr>
        <w:spacing w:after="0" w:afterAutospacing="0" w:before="240" w:lineRule="auto"/>
        <w:ind w:left="720" w:hanging="360"/>
      </w:pPr>
      <w:r w:rsidDel="00000000" w:rsidR="00000000" w:rsidRPr="00000000">
        <w:rPr>
          <w:b w:val="1"/>
          <w:rtl w:val="0"/>
        </w:rPr>
        <w:t xml:space="preserve">CO2 từ nhiên liệu hóa thạch</w:t>
      </w:r>
      <w:r w:rsidDel="00000000" w:rsidR="00000000" w:rsidRPr="00000000">
        <w:rPr>
          <w:rtl w:val="0"/>
        </w:rPr>
        <w:t xml:space="preserve">: Sử dụng các hệ số phát thải CO2 từ EEA để tính toán lượng CO2 phát thải khi đốt cháy nhiên liệu hóa thạch.</w:t>
      </w:r>
    </w:p>
    <w:p w:rsidR="00000000" w:rsidDel="00000000" w:rsidP="00000000" w:rsidRDefault="00000000" w:rsidRPr="00000000" w14:paraId="0000001A">
      <w:pPr>
        <w:numPr>
          <w:ilvl w:val="0"/>
          <w:numId w:val="10"/>
        </w:numPr>
        <w:spacing w:after="240" w:before="0" w:beforeAutospacing="0" w:lineRule="auto"/>
        <w:ind w:left="720" w:hanging="360"/>
      </w:pPr>
      <w:r w:rsidDel="00000000" w:rsidR="00000000" w:rsidRPr="00000000">
        <w:rPr>
          <w:b w:val="1"/>
          <w:rtl w:val="0"/>
        </w:rPr>
        <w:t xml:space="preserve">CH4 từ xử lý nước thải</w:t>
      </w:r>
      <w:r w:rsidDel="00000000" w:rsidR="00000000" w:rsidRPr="00000000">
        <w:rPr>
          <w:rtl w:val="0"/>
        </w:rPr>
        <w:t xml:space="preserve">: Sử dụng các hệ số phát thải CH4 từ IPCC cho quá trình xử lý nước thải.</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jfua77ukn3ir" w:id="6"/>
      <w:bookmarkEnd w:id="6"/>
      <w:r w:rsidDel="00000000" w:rsidR="00000000" w:rsidRPr="00000000">
        <w:rPr>
          <w:b w:val="1"/>
          <w:color w:val="000000"/>
          <w:sz w:val="26"/>
          <w:szCs w:val="26"/>
          <w:rtl w:val="0"/>
        </w:rPr>
        <w:t xml:space="preserve">Kết luận</w:t>
      </w:r>
    </w:p>
    <w:p w:rsidR="00000000" w:rsidDel="00000000" w:rsidP="00000000" w:rsidRDefault="00000000" w:rsidRPr="00000000" w14:paraId="0000001C">
      <w:pPr>
        <w:spacing w:after="240" w:before="240" w:lineRule="auto"/>
        <w:rPr/>
      </w:pPr>
      <w:r w:rsidDel="00000000" w:rsidR="00000000" w:rsidRPr="00000000">
        <w:rPr>
          <w:rtl w:val="0"/>
        </w:rPr>
        <w:t xml:space="preserve">Khi áp dụng ISO 14064-1 trong bối cảnh châu Âu, việc chọn và sử dụng các hệ số phát thải theo chuẩn châu Âu đóng vai trò quan trọng trong việc đảm bảo tính chính xác và nhất quán của hệ thống kiểm kê khí nhà kính. Các hệ số phát thải phải được lấy từ các nguồn đáng tin cậy và được điều chỉnh phù hợp với điều kiện cụ thể của tổ chức và khu vực. Việc tuân thủ các hướng dẫn và quy định của châu Âu giúp đảm bảo tính minh bạch và độ tin cậy của báo cáo phát thải khí nhà kính.</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5y3jkuv1bmj" w:id="7"/>
      <w:bookmarkEnd w:id="7"/>
      <w:r w:rsidDel="00000000" w:rsidR="00000000" w:rsidRPr="00000000">
        <w:rPr>
          <w:b w:val="1"/>
          <w:color w:val="000000"/>
          <w:sz w:val="26"/>
          <w:szCs w:val="26"/>
          <w:rtl w:val="0"/>
        </w:rPr>
        <w:t xml:space="preserve">1. Cơ quan Môi trường Châu Âu (EEA)</w:t>
      </w:r>
    </w:p>
    <w:p w:rsidR="00000000" w:rsidDel="00000000" w:rsidP="00000000" w:rsidRDefault="00000000" w:rsidRPr="00000000" w14:paraId="00000020">
      <w:pPr>
        <w:spacing w:after="240" w:before="240" w:lineRule="auto"/>
        <w:rPr/>
      </w:pPr>
      <w:r w:rsidDel="00000000" w:rsidR="00000000" w:rsidRPr="00000000">
        <w:rPr>
          <w:rtl w:val="0"/>
        </w:rPr>
        <w:t xml:space="preserve">Cơ quan Môi trường Châu Âu cung cấp nhiều tài liệu và cơ sở dữ liệu về các hệ số phát thải cho các hoạt động và loại khí nhà kính khác nhau. Bạn có thể truy cập vào trang web của EEA để tìm kiếm các thông tin cần thiết.</w:t>
      </w:r>
    </w:p>
    <w:p w:rsidR="00000000" w:rsidDel="00000000" w:rsidP="00000000" w:rsidRDefault="00000000" w:rsidRPr="00000000" w14:paraId="00000021">
      <w:pPr>
        <w:numPr>
          <w:ilvl w:val="0"/>
          <w:numId w:val="11"/>
        </w:numPr>
        <w:spacing w:after="240" w:before="240" w:lineRule="auto"/>
        <w:ind w:left="720" w:hanging="360"/>
      </w:pPr>
      <w:r w:rsidDel="00000000" w:rsidR="00000000" w:rsidRPr="00000000">
        <w:rPr>
          <w:b w:val="1"/>
          <w:rtl w:val="0"/>
        </w:rPr>
        <w:t xml:space="preserve">Trang web EEA</w:t>
      </w:r>
      <w:r w:rsidDel="00000000" w:rsidR="00000000" w:rsidRPr="00000000">
        <w:rPr>
          <w:rtl w:val="0"/>
        </w:rPr>
        <w:t xml:space="preserve">: </w:t>
      </w:r>
      <w:hyperlink r:id="rId6">
        <w:r w:rsidDel="00000000" w:rsidR="00000000" w:rsidRPr="00000000">
          <w:rPr>
            <w:color w:val="1155cc"/>
            <w:u w:val="single"/>
            <w:rtl w:val="0"/>
          </w:rPr>
          <w:t xml:space="preserve">EEA</w:t>
        </w:r>
      </w:hyperlink>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tbkhey5b45gz" w:id="8"/>
      <w:bookmarkEnd w:id="8"/>
      <w:r w:rsidDel="00000000" w:rsidR="00000000" w:rsidRPr="00000000">
        <w:rPr>
          <w:b w:val="1"/>
          <w:color w:val="000000"/>
          <w:sz w:val="26"/>
          <w:szCs w:val="26"/>
          <w:rtl w:val="0"/>
        </w:rPr>
        <w:t xml:space="preserve">2. Hội đồng Liên chính phủ về Biến đổi Khí hậu (IPCC)</w:t>
      </w:r>
    </w:p>
    <w:p w:rsidR="00000000" w:rsidDel="00000000" w:rsidP="00000000" w:rsidRDefault="00000000" w:rsidRPr="00000000" w14:paraId="00000023">
      <w:pPr>
        <w:spacing w:after="240" w:before="240" w:lineRule="auto"/>
        <w:rPr/>
      </w:pPr>
      <w:r w:rsidDel="00000000" w:rsidR="00000000" w:rsidRPr="00000000">
        <w:rPr>
          <w:rtl w:val="0"/>
        </w:rPr>
        <w:t xml:space="preserve">IPCC cung cấp các hướng dẫn và hệ số phát thải trong các báo cáo kỹ thuật của mình. Báo cáo IPCC Guidelines for National Greenhouse Gas Inventories là một nguồn tài liệu quan trọng.</w:t>
      </w:r>
    </w:p>
    <w:p w:rsidR="00000000" w:rsidDel="00000000" w:rsidP="00000000" w:rsidRDefault="00000000" w:rsidRPr="00000000" w14:paraId="00000024">
      <w:pPr>
        <w:numPr>
          <w:ilvl w:val="0"/>
          <w:numId w:val="7"/>
        </w:numPr>
        <w:spacing w:after="240" w:before="240" w:lineRule="auto"/>
        <w:ind w:left="720" w:hanging="360"/>
      </w:pPr>
      <w:r w:rsidDel="00000000" w:rsidR="00000000" w:rsidRPr="00000000">
        <w:rPr>
          <w:b w:val="1"/>
          <w:rtl w:val="0"/>
        </w:rPr>
        <w:t xml:space="preserve">Trang web IPCC</w:t>
      </w:r>
      <w:r w:rsidDel="00000000" w:rsidR="00000000" w:rsidRPr="00000000">
        <w:rPr>
          <w:rtl w:val="0"/>
        </w:rPr>
        <w:t xml:space="preserve">: IPCC Guidelines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snh7xxxutvs" w:id="9"/>
      <w:bookmarkEnd w:id="9"/>
      <w:r w:rsidDel="00000000" w:rsidR="00000000" w:rsidRPr="00000000">
        <w:rPr>
          <w:b w:val="1"/>
          <w:color w:val="000000"/>
          <w:sz w:val="26"/>
          <w:szCs w:val="26"/>
          <w:rtl w:val="0"/>
        </w:rPr>
        <w:t xml:space="preserve">3. Cơ quan Môi trường Quốc gia</w:t>
      </w:r>
    </w:p>
    <w:p w:rsidR="00000000" w:rsidDel="00000000" w:rsidP="00000000" w:rsidRDefault="00000000" w:rsidRPr="00000000" w14:paraId="00000026">
      <w:pPr>
        <w:spacing w:after="240" w:before="240" w:lineRule="auto"/>
        <w:rPr/>
      </w:pPr>
      <w:r w:rsidDel="00000000" w:rsidR="00000000" w:rsidRPr="00000000">
        <w:rPr>
          <w:rtl w:val="0"/>
        </w:rPr>
        <w:t xml:space="preserve">Nhiều quốc gia châu Âu có cơ quan môi trường quốc gia cung cấp các tài liệu và hệ số phát thải điều chỉnh phù hợp với điều kiện của quốc gia đó. Một số ví dụ bao gồm:</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b w:val="1"/>
          <w:rtl w:val="0"/>
        </w:rPr>
        <w:t xml:space="preserve">Anh</w:t>
      </w:r>
      <w:r w:rsidDel="00000000" w:rsidR="00000000" w:rsidRPr="00000000">
        <w:rPr>
          <w:rtl w:val="0"/>
        </w:rPr>
        <w:t xml:space="preserve">: Cơ quan Môi trường Anh (Environment Agency)</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Đức</w:t>
      </w:r>
      <w:r w:rsidDel="00000000" w:rsidR="00000000" w:rsidRPr="00000000">
        <w:rPr>
          <w:rtl w:val="0"/>
        </w:rPr>
        <w:t xml:space="preserve">: Cơ quan Môi trường Liên bang Đức (Umweltbundesamt - UBA)</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b w:val="1"/>
          <w:rtl w:val="0"/>
        </w:rPr>
        <w:t xml:space="preserve">Pháp</w:t>
      </w:r>
      <w:r w:rsidDel="00000000" w:rsidR="00000000" w:rsidRPr="00000000">
        <w:rPr>
          <w:rtl w:val="0"/>
        </w:rPr>
        <w:t xml:space="preserve">: Cơ quan Chuyển đổi Sinh thái Pháp (Agence de la transition écologique - ADEME)</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hjwombg99r1j" w:id="10"/>
      <w:bookmarkEnd w:id="10"/>
      <w:r w:rsidDel="00000000" w:rsidR="00000000" w:rsidRPr="00000000">
        <w:rPr>
          <w:b w:val="1"/>
          <w:color w:val="000000"/>
          <w:sz w:val="26"/>
          <w:szCs w:val="26"/>
          <w:rtl w:val="0"/>
        </w:rPr>
        <w:t xml:space="preserve">4. Cơ quan Bảo vệ Môi trường Hoa Kỳ (EPA)</w:t>
      </w:r>
    </w:p>
    <w:p w:rsidR="00000000" w:rsidDel="00000000" w:rsidP="00000000" w:rsidRDefault="00000000" w:rsidRPr="00000000" w14:paraId="0000002B">
      <w:pPr>
        <w:spacing w:after="240" w:before="240" w:lineRule="auto"/>
        <w:rPr/>
      </w:pPr>
      <w:r w:rsidDel="00000000" w:rsidR="00000000" w:rsidRPr="00000000">
        <w:rPr>
          <w:rtl w:val="0"/>
        </w:rPr>
        <w:t xml:space="preserve">Mặc dù là cơ quan của Hoa Kỳ, EPA cũng cung cấp nhiều tài liệu và cơ sở dữ liệu về hệ số phát thải, có thể tham khảo cho các mục đích so sánh và bổ sung.</w:t>
      </w:r>
    </w:p>
    <w:p w:rsidR="00000000" w:rsidDel="00000000" w:rsidP="00000000" w:rsidRDefault="00000000" w:rsidRPr="00000000" w14:paraId="0000002C">
      <w:pPr>
        <w:numPr>
          <w:ilvl w:val="0"/>
          <w:numId w:val="6"/>
        </w:numPr>
        <w:spacing w:after="240" w:before="240" w:lineRule="auto"/>
        <w:ind w:left="720" w:hanging="360"/>
      </w:pPr>
      <w:r w:rsidDel="00000000" w:rsidR="00000000" w:rsidRPr="00000000">
        <w:rPr>
          <w:b w:val="1"/>
          <w:rtl w:val="0"/>
        </w:rPr>
        <w:t xml:space="preserve">Trang web EPA</w:t>
      </w:r>
      <w:r w:rsidDel="00000000" w:rsidR="00000000" w:rsidRPr="00000000">
        <w:rPr>
          <w:rtl w:val="0"/>
        </w:rPr>
        <w:t xml:space="preserve">: </w:t>
      </w:r>
      <w:hyperlink r:id="rId7">
        <w:r w:rsidDel="00000000" w:rsidR="00000000" w:rsidRPr="00000000">
          <w:rPr>
            <w:color w:val="1155cc"/>
            <w:u w:val="single"/>
            <w:rtl w:val="0"/>
          </w:rPr>
          <w:t xml:space="preserve">EPA Emission Factors</w:t>
        </w:r>
      </w:hyperlink>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eazx4r8eojw0" w:id="11"/>
      <w:bookmarkEnd w:id="11"/>
      <w:r w:rsidDel="00000000" w:rsidR="00000000" w:rsidRPr="00000000">
        <w:rPr>
          <w:b w:val="1"/>
          <w:color w:val="000000"/>
          <w:sz w:val="26"/>
          <w:szCs w:val="26"/>
          <w:rtl w:val="0"/>
        </w:rPr>
        <w:t xml:space="preserve">5. Các tổ chức tiêu chuẩn quốc tế và châu Âu</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ISO</w:t>
      </w:r>
      <w:r w:rsidDel="00000000" w:rsidR="00000000" w:rsidRPr="00000000">
        <w:rPr>
          <w:rtl w:val="0"/>
        </w:rPr>
        <w:t xml:space="preserve">: Tổ chức Tiêu chuẩn hóa Quốc tế cung cấp các tiêu chuẩn chi tiết, bao gồm ISO 14064-1.</w:t>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b w:val="1"/>
          <w:rtl w:val="0"/>
        </w:rPr>
        <w:t xml:space="preserve">CEN (Comité Européen de Normalisation)</w:t>
      </w:r>
      <w:r w:rsidDel="00000000" w:rsidR="00000000" w:rsidRPr="00000000">
        <w:rPr>
          <w:rtl w:val="0"/>
        </w:rPr>
        <w:t xml:space="preserve">: Tổ chức tiêu chuẩn châu Âu có thể có các tiêu chuẩn và tài liệu liên quan.</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o3ja6dpo8jal" w:id="12"/>
      <w:bookmarkEnd w:id="12"/>
      <w:r w:rsidDel="00000000" w:rsidR="00000000" w:rsidRPr="00000000">
        <w:rPr>
          <w:b w:val="1"/>
          <w:color w:val="000000"/>
          <w:sz w:val="26"/>
          <w:szCs w:val="26"/>
          <w:rtl w:val="0"/>
        </w:rPr>
        <w:t xml:space="preserve">6. Cơ sở dữ liệu khoa học và kỹ thuật</w:t>
      </w:r>
    </w:p>
    <w:p w:rsidR="00000000" w:rsidDel="00000000" w:rsidP="00000000" w:rsidRDefault="00000000" w:rsidRPr="00000000" w14:paraId="00000031">
      <w:pPr>
        <w:spacing w:after="240" w:before="240" w:lineRule="auto"/>
        <w:rPr/>
      </w:pPr>
      <w:r w:rsidDel="00000000" w:rsidR="00000000" w:rsidRPr="00000000">
        <w:rPr>
          <w:rtl w:val="0"/>
        </w:rPr>
        <w:t xml:space="preserve">Nhiều tạp chí khoa học và cơ sở dữ liệu kỹ thuật cung cấp các bài báo, nghiên cứu và tài liệu về các hệ số phát thải và kiểm kê khí nhà kính. Một số cơ sở dữ liệu phổ biến bao gồm:</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ScienceDirect</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SpringerLink</w:t>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b w:val="1"/>
          <w:rtl w:val="0"/>
        </w:rPr>
        <w:t xml:space="preserve">Google Scholar</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95fjro1ynso5" w:id="13"/>
      <w:bookmarkEnd w:id="13"/>
      <w:r w:rsidDel="00000000" w:rsidR="00000000" w:rsidRPr="00000000">
        <w:rPr>
          <w:b w:val="1"/>
          <w:color w:val="000000"/>
          <w:sz w:val="26"/>
          <w:szCs w:val="26"/>
          <w:rtl w:val="0"/>
        </w:rPr>
        <w:t xml:space="preserve">7. Các tổ chức phi chính phủ và tổ chức quốc tế</w:t>
      </w:r>
    </w:p>
    <w:p w:rsidR="00000000" w:rsidDel="00000000" w:rsidP="00000000" w:rsidRDefault="00000000" w:rsidRPr="00000000" w14:paraId="00000036">
      <w:pPr>
        <w:spacing w:after="240" w:before="240" w:lineRule="auto"/>
        <w:rPr/>
      </w:pPr>
      <w:r w:rsidDel="00000000" w:rsidR="00000000" w:rsidRPr="00000000">
        <w:rPr>
          <w:rtl w:val="0"/>
        </w:rPr>
        <w:t xml:space="preserve">Các tổ chức như Tổ chức Quốc tế về Bảo tồn Thiên nhiên (WWF), Ngân hàng Thế giới (World Bank), và Quỹ Môi trường Toàn cầu (GEF) thường có các tài liệu hướng dẫn và nghiên cứu về khí nhà kính.</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u5jenyrdjhye" w:id="14"/>
      <w:bookmarkEnd w:id="14"/>
      <w:r w:rsidDel="00000000" w:rsidR="00000000" w:rsidRPr="00000000">
        <w:rPr>
          <w:b w:val="1"/>
          <w:color w:val="000000"/>
          <w:sz w:val="26"/>
          <w:szCs w:val="26"/>
          <w:rtl w:val="0"/>
        </w:rPr>
        <w:t xml:space="preserve">8. Tài liệu từ các hội nghị và hội thảo</w:t>
      </w:r>
    </w:p>
    <w:p w:rsidR="00000000" w:rsidDel="00000000" w:rsidP="00000000" w:rsidRDefault="00000000" w:rsidRPr="00000000" w14:paraId="00000038">
      <w:pPr>
        <w:spacing w:after="240" w:before="240" w:lineRule="auto"/>
        <w:rPr/>
      </w:pPr>
      <w:r w:rsidDel="00000000" w:rsidR="00000000" w:rsidRPr="00000000">
        <w:rPr>
          <w:rtl w:val="0"/>
        </w:rPr>
        <w:t xml:space="preserve">Tham gia các hội nghị và hội thảo về môi trường và biến đổi khí hậu cũng là cách tốt để thu thập thông tin mới nhất và kết nối với các chuyên gia trong lĩnh vực.</w:t>
      </w:r>
    </w:p>
    <w:p w:rsidR="00000000" w:rsidDel="00000000" w:rsidP="00000000" w:rsidRDefault="00000000" w:rsidRPr="00000000" w14:paraId="00000039">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ea.europa.eu/" TargetMode="External"/><Relationship Id="rId7" Type="http://schemas.openxmlformats.org/officeDocument/2006/relationships/hyperlink" Target="https://www.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