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</w:t>
      </w:r>
    </w:p>
    <w:p>
      <w:pPr>
        <w:pStyle w:val="Heading1"/>
      </w:pPr>
      <w:r>
        <w:t>Overview</w:t>
      </w:r>
    </w:p>
    <w:p>
      <w:r>
        <w:t xml:space="preserve">Plain start,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color w:val="DC2626"/>
        </w:rPr>
        <w:t>red</w:t>
      </w:r>
      <w:r>
        <w:t xml:space="preserve">, </w:t>
      </w:r>
      <w:r>
        <w:rPr>
          <w:highlight w:val="yellow"/>
        </w:rPr>
        <w:t>highlighted</w:t>
      </w:r>
      <w:r>
        <w:t xml:space="preserve"> and H</w:t>
      </w:r>
      <w:r>
        <w:rPr>
          <w:vertAlign w:val="subscript"/>
        </w:rPr>
        <w:t>2</w:t>
      </w:r>
      <w:r>
        <w:t>O x</w:t>
      </w:r>
      <w:r>
        <w:rPr>
          <w:vertAlign w:val="superscript"/>
        </w:rPr>
        <w:t>2</w:t>
      </w:r>
      <w:r>
        <w:t>.</w:t>
      </w:r>
    </w:p>
    <w:p>
      <w:r>
        <w:rPr>
          <w:sz w:val="44"/>
        </w:rPr>
        <w:t>Big text</w:t>
      </w:r>
    </w:p>
    <w:p>
      <w:r>
        <w:t>Accents: café, Greek αβγ, quotes “hi”.</w:t>
      </w:r>
    </w:p>
    <w:p/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Bullet2"/>
      </w:pPr>
      <w:r>
        <w:t>Nested bullet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Apple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1.20</w:t>
            </w:r>
          </w:p>
        </w:tc>
      </w:tr>
    </w:tbl>
    <w:p>
      <w:r>
        <w:t>Before the picture.</w:t>
      </w:r>
    </w:p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