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m="http://schemas.openxmlformats.org/officeDocument/2006/math" xmlns:r="http://schemas.openxmlformats.org/officeDocument/2006/relationships">
  <w:body>
    <w:p>
      <w:pPr>
        <w:pStyle w:val="PaperTitle"/>
        <w:spacing w:after="140" w:line="260" w:lineRule="auto"/>
      </w:pPr>
      <w:r>
        <w:t xml:space="preserve">Calibración Espacial y Georreferenciación Automática de Reflectividad Radar mediante Corrección de Matriz Afín y Matching de Ecos Fijos</w:t>
      </w:r>
    </w:p>
    <w:p>
      <w:pPr>
        <w:pStyle w:val="PaperAuthors"/>
        <w:spacing w:after="140" w:line="260" w:lineRule="auto"/>
      </w:pPr>
      <w:r>
        <w:t xml:space="preserve">Sistema de Monitoreo Meteorológico Radar v2.0</w:t>
      </w:r>
    </w:p>
    <w:p>
      <w:pPr>
        <w:pStyle w:val="PaperAffiliation"/>
        <w:spacing w:after="140" w:line="260" w:lineRule="auto"/>
      </w:pPr>
      <w:r>
        <w:t xml:space="preserve">Laboratorio de Procesamiento Geoespacial e Inteligencia de Datos — Radar DACC Mendoza / UTN</w:t>
      </w:r>
    </w:p>
    <w:p>
      <w:pPr>
        <w:pStyle w:val="AbstractHead"/>
        <w:spacing w:after="140" w:line="260" w:lineRule="auto"/>
      </w:pPr>
      <w:r>
        <w:t xml:space="preserve">RESUMEN</w:t>
      </w:r>
    </w:p>
    <w:p>
      <w:pPr>
        <w:pStyle w:val="AbstractBody"/>
        <w:spacing w:after="140" w:line="260" w:lineRule="auto"/>
      </w:pPr>
      <w:r>
        <w:t xml:space="preserve">El procesamiento de productos operacionales de radar meteorológico a partir de imágenes matriciales no georreferenciadas (formatos GIF/PNG) exige una etapa rigurosa de rectificación geoespacial para su interoperabilidad en Sistemas de Información Geográfica (SIG). En este trabajo se formaliza el modelo analítico de corrección automática implementado en el pipeline geolocalizar.py, el cual recalibra la matriz afín proyectiva WGS 84 (EPSG:4326) evaluando la desviación espacial de ecos orográficos permanentes (ground clutter) mediante correlación normalizada y métricas de Intersección sobre Unión (IoU). Asimismo, se analizan las fuentes de incertidumbre residual que originan leves desajustes en clientes GIS de alta resolución y se formulan modelos de refinamiento subpíxel e inferencia afín multieco con 6 grados de libertad.</w:t>
      </w:r>
    </w:p>
    <w:p>
      <w:pPr>
        <w:pStyle w:val="AbstractBody"/>
        <w:spacing w:after="140" w:line="260" w:lineRule="auto"/>
      </w:pPr>
      <w:r>
        <w:rPr>
          <w:b/>
        </w:rPr>
        <w:t xml:space="preserve">Keywords — </w:t>
      </w:r>
      <w:r>
        <w:rPr>
          <w:i/>
        </w:rPr>
        <w:t xml:space="preserve">Palabras Clave: Radar Meteorológico, Georreferenciación Automática, Matriz Afín, Template Matching, Clutter Fijo, GeoTIFF, EPSG:4326.</w:t>
      </w:r>
    </w:p>
    <w:p>
      <w:pPr>
        <w:pStyle w:val="Heading1"/>
        <w:spacing w:after="140" w:line="260" w:lineRule="auto"/>
      </w:pPr>
      <w:r>
        <w:t xml:space="preserve">1. Introducción y Marco Operacional</w:t>
      </w:r>
    </w:p>
    <w:p>
      <w:pPr>
        <w:spacing w:after="140" w:line="260" w:lineRule="auto"/>
      </w:pPr>
      <w:r>
        <w:t xml:space="preserve">Los radares de vigilancia meteorológica generan imágenes de reflectividad en coordenadas polares (PPI) que frecuentemente se rasterizan y publican como archivos raster planos. Para permitir el análisis hidrológico y la superposición con capas vectoriales de alta precisión geodésica (rutas, cuencas, divisiones políticas), es mandatario proyectar la matriz digital al elipsoide terrestre.</w:t>
      </w:r>
    </w:p>
    <w:p>
      <w:pPr>
        <w:spacing w:after="140" w:line="260" w:lineRule="auto"/>
      </w:pPr>
      <w:r>
        <w:t xml:space="preserve">Debido a tolerancias mecánicas de la antena, desajustes temporales del codificador acimutal o variaciones en los recortes del renderizador gráfico, el origen de coordenadas de la imagen experimenta desplazamientos aleatorios en cada ciclo de barrido. Para neutralizar este error sistemático de manera autónoma, el sistema implementa un anclaje geodésico apoyado en formaciones orográficas permanentes (ecos fijos).</w:t>
      </w:r>
    </w:p>
    <w:p>
      <w:pPr>
        <w:pStyle w:val="Heading1"/>
        <w:spacing w:after="140" w:line="260" w:lineRule="auto"/>
      </w:pPr>
      <w:r>
        <w:t xml:space="preserve">2. Modelo de Corrección y Formulación Matemática</w:t>
      </w:r>
    </w:p>
    <w:p>
      <w:pPr>
        <w:spacing w:after="140" w:line="260" w:lineRule="auto"/>
      </w:pPr>
      <w:r>
        <w:t xml:space="preserve">El proceso de georreferenciación se estructura en una secuencia de etapas secuenciales que determinan la traslación espacial óptima.</w:t>
      </w:r>
    </w:p>
    <w:p>
      <w:pPr>
        <w:pStyle w:val="Heading2"/>
        <w:spacing w:after="140" w:line="260" w:lineRule="auto"/>
      </w:pPr>
      <w:r>
        <w:t xml:space="preserve">2.1 Detección del Baricentro del Eco Fijo</w:t>
      </w:r>
    </w:p>
    <w:p>
      <w:pPr>
        <w:spacing w:after="140" w:line="260" w:lineRule="auto"/>
      </w:pPr>
      <w:r>
        <w:t xml:space="preserve">Dada la máscara binaria de la imagen de radar observada </w:t>
      </w:r>
    </w:p>
    <w:p>
      <w:pPr>
        <w:spacing w:after="140" w:line="260" w:lineRule="auto"/>
      </w:pPr>
      <w:r>
        <w:t xml:space="preserve">Se ejecuta un template matching en cascada multiescala. La función de coincidencia evalúa simultáneamente el coeficiente de correlación normalizado y la superposición morfológica (IoU):</w:t>
      </w:r>
    </w:p>
    <w:p>
      <w:pPr>
        <w:jc w:val="center"/>
        <w:spacing w:before="120" w:after="120"/>
        <w:tabs>
          <w:tab w:val="right" w:pos="9360"/>
        </w:tabs>
      </w:pPr>
      <m:oMathPara>
        <m:oMath>
          <m:r>
            <m:rPr/>
            <m:t>IoU</m:t>
          </m:r>
          <m:r>
            <m:rPr>
              <m:i/>
            </m:rPr>
            <m:t>(u, v) = </m:t>
          </m:r>
          <m:f>
            <m:fPr/>
            <m:num>
              <m:r>
                <m:rPr>
                  <m:i/>
                </m:rPr>
                <m:t>|</m:t>
              </m:r>
              <m:sSub>
                <m:sSubPr/>
                <m:e>
                  <m:r>
                    <m:rPr>
                      <m:i/>
                    </m:rPr>
                    <m:t>M</m:t>
                  </m:r>
                </m:e>
                <m:sub>
                  <m:r>
                    <m:rPr/>
                    <m:t>img</m:t>
                  </m:r>
                </m:sub>
              </m:sSub>
              <m:r>
                <m:rPr>
                  <m:i/>
                </m:rPr>
                <m:t> ∩ </m:t>
              </m:r>
              <m:sSub>
                <m:sSubPr/>
                <m:e>
                  <m:r>
                    <m:rPr>
                      <m:i/>
                    </m:rPr>
                    <m:t>M</m:t>
                  </m:r>
                </m:e>
                <m:sub>
                  <m:r>
                    <m:rPr/>
                    <m:t>tmpl</m:t>
                  </m:r>
                </m:sub>
              </m:sSub>
              <m:r>
                <m:rPr>
                  <m:i/>
                </m:rPr>
                <m:t>|</m:t>
              </m:r>
            </m:num>
            <m:den>
              <m:r>
                <m:rPr>
                  <m:i/>
                </m:rPr>
                <m:t>|</m:t>
              </m:r>
              <m:sSub>
                <m:sSubPr/>
                <m:e>
                  <m:r>
                    <m:rPr>
                      <m:i/>
                    </m:rPr>
                    <m:t>M</m:t>
                  </m:r>
                </m:e>
                <m:sub>
                  <m:r>
                    <m:rPr/>
                    <m:t>img</m:t>
                  </m:r>
                </m:sub>
              </m:sSub>
              <m:r>
                <m:rPr>
                  <m:i/>
                </m:rPr>
                <m:t> ∪ </m:t>
              </m:r>
              <m:sSub>
                <m:sSubPr/>
                <m:e>
                  <m:r>
                    <m:rPr>
                      <m:i/>
                    </m:rPr>
                    <m:t>M</m:t>
                  </m:r>
                </m:e>
                <m:sub>
                  <m:r>
                    <m:rPr/>
                    <m:t>tmpl</m:t>
                  </m:r>
                </m:sub>
              </m:sSub>
              <m:r>
                <m:rPr>
                  <m:i/>
                </m:rPr>
                <m:t>|</m:t>
              </m:r>
            </m:den>
          </m:f>
        </m:oMath>
      </m:oMathPara>
      <w:r>
        <w:rPr>
          <w:rFonts w:ascii="Cambria" w:hAnsi="Cambria"/>
          <w:sz w:val="20"/>
        </w:rPr>
        <w:tab/>
        <w:t>(1)</w:t>
      </w:r>
    </w:p>
    <w:p>
      <w:pPr>
        <w:jc w:val="center"/>
        <w:spacing w:before="120" w:after="120"/>
        <w:tabs>
          <w:tab w:val="right" w:pos="9360"/>
        </w:tabs>
      </w:pPr>
      <m:oMathPara>
        <m:oMath>
          <m:r>
            <m:rPr>
              <m:i/>
            </m:rPr>
            <m:t>γ</m:t>
          </m:r>
          <m:r>
            <m:rPr>
              <m:i/>
            </m:rPr>
            <m:t>(u, v) = </m:t>
          </m:r>
          <m:f>
            <m:fPr/>
            <m:num>
              <m:r>
                <m:rPr>
                  <m:i/>
                </m:rPr>
                <m:t>∑</m:t>
              </m:r>
              <m:d>
                <m:dPr>
                  <m:begChr m:val="["/>
                  <m:endChr m:val="]"/>
                </m:dPr>
                <m:e>
                  <m:r>
                    <m:rPr>
                      <m:i/>
                    </m:rPr>
                    <m:t>I(x, y) - </m:t>
                  </m:r>
                  <m:sSub>
                    <m:sSubPr/>
                    <m:e>
                      <m:r>
                        <m:rPr>
                          <m:i/>
                        </m:rPr>
                        <m:t>Ī</m:t>
                      </m:r>
                    </m:e>
                    <m:sub>
                      <m:r>
                        <m:rPr/>
                        <m:t>u,v</m:t>
                      </m:r>
                    </m:sub>
                  </m:sSub>
                </m:e>
              </m:d>
              <m:d>
                <m:dPr>
                  <m:begChr m:val="["/>
                  <m:endChr m:val="]"/>
                </m:dPr>
                <m:e>
                  <m:r>
                    <m:rPr>
                      <m:i/>
                    </m:rPr>
                    <m:t>T(x - u, y - v) - T̄</m:t>
                  </m:r>
                </m:e>
              </m:d>
            </m:num>
            <m:den>
              <m:sSup>
                <m:sSupPr/>
                <m:e>
                  <m:d>
                    <m:dPr>
                      <m:begChr m:val="["/>
                      <m:endChr m:val="]"/>
                    </m:dPr>
                    <m:e>
                      <m:r>
                        <m:rPr>
                          <m:i/>
                        </m:rPr>
                        <m:t>∑</m:t>
                      </m:r>
                      <m:sSup>
                        <m:sSupPr/>
                        <m:e>
                          <m:d>
                            <m:dPr>
                              <m:begChr m:val="["/>
                              <m:endChr m:val="]"/>
                            </m:dPr>
                            <m:e>
                              <m:r>
                                <m:rPr>
                                  <m:i/>
                                </m:rPr>
                                <m:t>I(x, y) - </m:t>
                              </m:r>
                              <m:sSub>
                                <m:sSubPr/>
                                <m:e>
                                  <m:r>
                                    <m:rPr>
                                      <m:i/>
                                    </m:rPr>
                                    <m:t>Ī</m:t>
                                  </m:r>
                                </m:e>
                                <m:sub>
                                  <m:r>
                                    <m:rPr/>
                                    <m:t>u,v</m:t>
                                  </m:r>
                                </m:sub>
                              </m:sSub>
                            </m:e>
                          </m:d>
                        </m:e>
                        <m:sup>
                          <m:r>
                            <m:rPr/>
                            <m:t>2</m:t>
                          </m:r>
                        </m:sup>
                      </m:sSup>
                      <m:r>
                        <m:rPr>
                          <m:i/>
                        </m:rPr>
                        <m:t> · ∑</m:t>
                      </m:r>
                      <m:sSup>
                        <m:sSupPr/>
                        <m:e>
                          <m:d>
                            <m:dPr>
                              <m:begChr m:val="["/>
                              <m:endChr m:val="]"/>
                            </m:dPr>
                            <m:e>
                              <m:r>
                                <m:rPr>
                                  <m:i/>
                                </m:rPr>
                                <m:t>T(x - u, y - v) - T̄</m:t>
                              </m:r>
                            </m:e>
                          </m:d>
                        </m:e>
                        <m:sup>
                          <m:r>
                            <m:rPr/>
                            <m:t>2</m:t>
                          </m:r>
                        </m:sup>
                      </m:sSup>
                    </m:e>
                  </m:d>
                </m:e>
                <m:sup>
                  <m:r>
                    <m:rPr/>
                    <m:t>1/2</m:t>
                  </m:r>
                </m:sup>
              </m:sSup>
            </m:den>
          </m:f>
        </m:oMath>
      </m:oMathPara>
      <w:r>
        <w:rPr>
          <w:rFonts w:ascii="Cambria" w:hAnsi="Cambria"/>
          <w:sz w:val="20"/>
        </w:rPr>
        <w:tab/>
        <w:t>(2)</w:t>
      </w:r>
    </w:p>
    <w:p>
      <w:pPr>
        <w:spacing w:after="140" w:line="260" w:lineRule="auto"/>
      </w:pPr>
      <w:r>
        <w:t xml:space="preserve">La posición óptima </w:t>
      </w:r>
    </w:p>
    <w:p>
      <w:pPr>
        <w:jc w:val="center"/>
        <w:spacing w:before="120" w:after="120"/>
        <w:tabs>
          <w:tab w:val="right" w:pos="9360"/>
        </w:tabs>
      </w:pPr>
      <m:oMathPara>
        <m:oMath>
          <m:r>
            <m:rPr>
              <m:i/>
            </m:rPr>
            <m:t>(</m:t>
          </m:r>
          <m:sSup>
            <m:sSupPr/>
            <m:e>
              <m:r>
                <m:rPr>
                  <m:i/>
                </m:rPr>
                <m:t>u</m:t>
              </m:r>
            </m:e>
            <m:sup>
              <m:r>
                <m:rPr/>
                <m:t>*</m:t>
              </m:r>
            </m:sup>
          </m:sSup>
          <m:r>
            <m:rPr>
              <m:i/>
            </m:rPr>
            <m:t>, </m:t>
          </m:r>
          <m:sSup>
            <m:sSupPr/>
            <m:e>
              <m:r>
                <m:rPr>
                  <m:i/>
                </m:rPr>
                <m:t>v</m:t>
              </m:r>
            </m:e>
            <m:sup>
              <m:r>
                <m:rPr/>
                <m:t>*</m:t>
              </m:r>
            </m:sup>
          </m:sSup>
          <m:r>
            <m:rPr>
              <m:i/>
            </m:rPr>
            <m:t>) = </m:t>
          </m:r>
          <m:r>
            <m:rPr>
              <m:i/>
            </m:rPr>
            <m:t>arg max</m:t>
          </m:r>
          <m:d>
            <m:dPr>
              <m:begChr m:val="["/>
              <m:endChr m:val="]"/>
            </m:dPr>
            <m:e>
              <m:r>
                <m:rPr>
                  <m:i/>
                </m:rPr>
                <m:t>IoU(u, v) · γ(u, v)</m:t>
              </m:r>
            </m:e>
          </m:d>
        </m:oMath>
      </m:oMathPara>
      <w:r>
        <w:rPr>
          <w:rFonts w:ascii="Cambria" w:hAnsi="Cambria"/>
          <w:sz w:val="20"/>
        </w:rPr>
        <w:tab/>
        <w:t>(3)</w:t>
      </w:r>
    </w:p>
    <w:p>
      <w:pPr>
        <w:spacing w:after="140" w:line="260" w:lineRule="auto"/>
      </w:pPr>
      <w:r>
        <w:t xml:space="preserve">Definida la coordenada de esquina </w:t>
      </w:r>
    </w:p>
    <w:p>
      <w:pPr>
        <w:jc w:val="center"/>
        <w:spacing w:before="120" w:after="120"/>
        <w:tabs>
          <w:tab w:val="right" w:pos="9360"/>
        </w:tabs>
      </w:pPr>
      <m:oMathPara>
        <m:oMath>
          <m:sSub>
            <m:sSubPr/>
            <m:e>
              <m:r>
                <m:rPr>
                  <m:i/>
                </m:rPr>
                <m:t>c</m:t>
              </m:r>
            </m:e>
            <m:sub>
              <m:r>
                <m:rPr/>
                <m:t>found</m:t>
              </m:r>
            </m:sub>
          </m:sSub>
          <m:r>
            <m:rPr>
              <m:i/>
            </m:rPr>
            <m:t> = </m:t>
          </m:r>
          <m:sSup>
            <m:sSupPr/>
            <m:e>
              <m:r>
                <m:rPr>
                  <m:i/>
                </m:rPr>
                <m:t>u</m:t>
              </m:r>
            </m:e>
            <m:sup>
              <m:r>
                <m:rPr/>
                <m:t>*</m:t>
              </m:r>
            </m:sup>
          </m:sSup>
          <m:r>
            <m:rPr>
              <m:i/>
            </m:rPr>
            <m:t> + </m:t>
          </m:r>
          <m:f>
            <m:fPr/>
            <m:num>
              <m:sSub>
                <m:sSubPr/>
                <m:e>
                  <m:r>
                    <m:rPr>
                      <m:i/>
                    </m:rPr>
                    <m:t>W</m:t>
                  </m:r>
                </m:e>
                <m:sub>
                  <m:r>
                    <m:rPr/>
                    <m:t>eco</m:t>
                  </m:r>
                </m:sub>
              </m:sSub>
              <m:r>
                <m:rPr>
                  <m:i/>
                </m:rPr>
                <m:t> - 1</m:t>
              </m:r>
            </m:num>
            <m:den>
              <m:r>
                <m:rPr>
                  <m:i/>
                </m:rPr>
                <m:t>2</m:t>
              </m:r>
            </m:den>
          </m:f>
          <m:r>
            <m:rPr>
              <m:i/>
            </m:rPr>
            <m:t>,  </m:t>
          </m:r>
          <m:sSub>
            <m:sSubPr/>
            <m:e>
              <m:r>
                <m:rPr>
                  <m:i/>
                </m:rPr>
                <m:t>r</m:t>
              </m:r>
            </m:e>
            <m:sub>
              <m:r>
                <m:rPr/>
                <m:t>found</m:t>
              </m:r>
            </m:sub>
          </m:sSub>
          <m:r>
            <m:rPr>
              <m:i/>
            </m:rPr>
            <m:t> = </m:t>
          </m:r>
          <m:sSup>
            <m:sSupPr/>
            <m:e>
              <m:r>
                <m:rPr>
                  <m:i/>
                </m:rPr>
                <m:t>v</m:t>
              </m:r>
            </m:e>
            <m:sup>
              <m:r>
                <m:rPr/>
                <m:t>*</m:t>
              </m:r>
            </m:sup>
          </m:sSup>
          <m:r>
            <m:rPr>
              <m:i/>
            </m:rPr>
            <m:t> + </m:t>
          </m:r>
          <m:f>
            <m:fPr/>
            <m:num>
              <m:sSub>
                <m:sSubPr/>
                <m:e>
                  <m:r>
                    <m:rPr>
                      <m:i/>
                    </m:rPr>
                    <m:t>H</m:t>
                  </m:r>
                </m:e>
                <m:sub>
                  <m:r>
                    <m:rPr/>
                    <m:t>eco</m:t>
                  </m:r>
                </m:sub>
              </m:sSub>
              <m:r>
                <m:rPr>
                  <m:i/>
                </m:rPr>
                <m:t> - 1</m:t>
              </m:r>
            </m:num>
            <m:den>
              <m:r>
                <m:rPr>
                  <m:i/>
                </m:rPr>
                <m:t>2</m:t>
              </m:r>
            </m:den>
          </m:f>
        </m:oMath>
      </m:oMathPara>
      <w:r>
        <w:rPr>
          <w:rFonts w:ascii="Cambria" w:hAnsi="Cambria"/>
          <w:sz w:val="20"/>
        </w:rPr>
        <w:tab/>
        <w:t>(4)</w:t>
      </w:r>
    </w:p>
    <w:p>
      <w:pPr>
        <w:pStyle w:val="Heading2"/>
        <w:spacing w:after="140" w:line="260" w:lineRule="auto"/>
      </w:pPr>
      <w:r>
        <w:t xml:space="preserve">2.2 Proyección a Coordenadas Terrestres y Cálculo del Vector de Error</w:t>
      </w:r>
    </w:p>
    <w:p>
      <w:pPr>
        <w:spacing w:after="140" w:line="260" w:lineRule="auto"/>
      </w:pPr>
      <w:r>
        <w:t xml:space="preserve">Mediante la matriz afín inicial de referencia </w:t>
      </w:r>
    </w:p>
    <w:p>
      <w:pPr>
        <w:jc w:val="center"/>
        <w:spacing w:before="120" w:after="120"/>
        <w:tabs>
          <w:tab w:val="right" w:pos="9360"/>
        </w:tabs>
      </w:pPr>
      <m:oMathPara>
        <m:oMath>
          <m:d>
            <m:dPr>
              <m:begChr m:val="["/>
              <m:endChr m:val="]"/>
            </m:dPr>
            <m:e>
              <m:m>
                <m:mPr>
                  <m:baseJc m:val="center"/>
                </m:mPr>
                <m:mr>
                  <m:e>
                    <m:sSub>
                      <m:sSubPr/>
                      <m:e>
                        <m:r>
                          <m:rPr>
                            <m:i/>
                          </m:rPr>
                          <m:t>λ</m:t>
                        </m:r>
                      </m:e>
                      <m:sub>
                        <m:r>
                          <m:rPr/>
                          <m:t>found</m:t>
                        </m:r>
                      </m:sub>
                    </m:sSub>
                  </m:e>
                </m:mr>
                <m:mr>
                  <m:e>
                    <m:sSub>
                      <m:sSubPr/>
                      <m:e>
                        <m:r>
                          <m:rPr>
                            <m:i/>
                          </m:rPr>
                          <m:t>φ</m:t>
                        </m:r>
                      </m:e>
                      <m:sub>
                        <m:r>
                          <m:rPr/>
                          <m:t>found</m:t>
                        </m:r>
                      </m:sub>
                    </m:sSub>
                  </m:e>
                </m:mr>
                <m:mr>
                  <m:e>
                    <m:r>
                      <m:rPr>
                        <m:i/>
                      </m:rPr>
                      <m:t>1</m:t>
                    </m:r>
                  </m:e>
                </m:mr>
              </m:m>
            </m:e>
          </m:d>
          <m:r>
            <m:rPr>
              <m:i/>
            </m:rPr>
            <m:t> = </m:t>
          </m:r>
          <m:sSub>
            <m:sSubPr/>
            <m:e>
              <m:r>
                <m:rPr>
                  <m:i/>
                </m:rPr>
                <m:t>T</m:t>
              </m:r>
            </m:e>
            <m:sub>
              <m:r>
                <m:rPr/>
                <m:t>ref</m:t>
              </m:r>
            </m:sub>
          </m:sSub>
          <m:r>
            <m:rPr>
              <m:i/>
            </m:rPr>
            <m:t> · </m:t>
          </m:r>
          <m:d>
            <m:dPr>
              <m:begChr m:val="["/>
              <m:endChr m:val="]"/>
            </m:dPr>
            <m:e>
              <m:m>
                <m:mPr>
                  <m:baseJc m:val="center"/>
                </m:mPr>
                <m:mr>
                  <m:e>
                    <m:sSub>
                      <m:sSubPr/>
                      <m:e>
                        <m:r>
                          <m:rPr>
                            <m:i/>
                          </m:rPr>
                          <m:t>c</m:t>
                        </m:r>
                      </m:e>
                      <m:sub>
                        <m:r>
                          <m:rPr/>
                          <m:t>found</m:t>
                        </m:r>
                      </m:sub>
                    </m:sSub>
                  </m:e>
                </m:mr>
                <m:mr>
                  <m:e>
                    <m:sSub>
                      <m:sSubPr/>
                      <m:e>
                        <m:r>
                          <m:rPr>
                            <m:i/>
                          </m:rPr>
                          <m:t>r</m:t>
                        </m:r>
                      </m:e>
                      <m:sub>
                        <m:r>
                          <m:rPr/>
                          <m:t>found</m:t>
                        </m:r>
                      </m:sub>
                    </m:sSub>
                  </m:e>
                </m:mr>
                <m:mr>
                  <m:e>
                    <m:r>
                      <m:rPr>
                        <m:i/>
                      </m:rPr>
                      <m:t>1</m:t>
                    </m:r>
                  </m:e>
                </m:mr>
              </m:m>
            </m:e>
          </m:d>
        </m:oMath>
      </m:oMathPara>
      <w:r>
        <w:rPr>
          <w:rFonts w:ascii="Cambria" w:hAnsi="Cambria"/>
          <w:sz w:val="20"/>
        </w:rPr>
        <w:tab/>
        <w:t>(5)</w:t>
      </w:r>
    </w:p>
    <w:p>
      <w:pPr>
        <w:spacing w:after="140" w:line="260" w:lineRule="auto"/>
      </w:pPr>
      <w:r>
        <w:t xml:space="preserve">Siendo </w:t>
      </w:r>
    </w:p>
    <w:p>
      <w:pPr>
        <w:jc w:val="center"/>
        <w:spacing w:before="120" w:after="120"/>
        <w:tabs>
          <w:tab w:val="right" w:pos="9360"/>
        </w:tabs>
      </w:pPr>
      <m:oMathPara>
        <m:oMath>
          <m:r>
            <m:rPr>
              <m:i/>
            </m:rPr>
            <m:t>Δλ = </m:t>
          </m:r>
          <m:sSub>
            <m:sSubPr/>
            <m:e>
              <m:r>
                <m:rPr>
                  <m:i/>
                </m:rPr>
                <m:t>λ</m:t>
              </m:r>
            </m:e>
            <m:sub>
              <m:r>
                <m:rPr/>
                <m:t>true</m:t>
              </m:r>
            </m:sub>
          </m:sSub>
          <m:r>
            <m:rPr>
              <m:i/>
            </m:rPr>
            <m:t> - </m:t>
          </m:r>
          <m:sSub>
            <m:sSubPr/>
            <m:e>
              <m:r>
                <m:rPr>
                  <m:i/>
                </m:rPr>
                <m:t>λ</m:t>
              </m:r>
            </m:e>
            <m:sub>
              <m:r>
                <m:rPr/>
                <m:t>found</m:t>
              </m:r>
            </m:sub>
          </m:sSub>
          <m:r>
            <m:rPr>
              <m:i/>
            </m:rPr>
            <m:t>,  </m:t>
          </m:r>
          <m:r>
            <m:rPr>
              <m:i/>
            </m:rPr>
            <m:t>Δφ = </m:t>
          </m:r>
          <m:sSub>
            <m:sSubPr/>
            <m:e>
              <m:r>
                <m:rPr>
                  <m:i/>
                </m:rPr>
                <m:t>φ</m:t>
              </m:r>
            </m:e>
            <m:sub>
              <m:r>
                <m:rPr/>
                <m:t>true</m:t>
              </m:r>
            </m:sub>
          </m:sSub>
          <m:r>
            <m:rPr>
              <m:i/>
            </m:rPr>
            <m:t> - </m:t>
          </m:r>
          <m:sSub>
            <m:sSubPr/>
            <m:e>
              <m:r>
                <m:rPr>
                  <m:i/>
                </m:rPr>
                <m:t>φ</m:t>
              </m:r>
            </m:e>
            <m:sub>
              <m:r>
                <m:rPr/>
                <m:t>found</m:t>
              </m:r>
            </m:sub>
          </m:sSub>
        </m:oMath>
      </m:oMathPara>
      <w:r>
        <w:rPr>
          <w:rFonts w:ascii="Cambria" w:hAnsi="Cambria"/>
          <w:sz w:val="20"/>
        </w:rPr>
        <w:tab/>
        <w:t>(6)</w:t>
      </w:r>
    </w:p>
    <w:p>
      <w:pPr>
        <w:pStyle w:val="Heading2"/>
        <w:spacing w:after="140" w:line="260" w:lineRule="auto"/>
      </w:pPr>
      <w:r>
        <w:t xml:space="preserve">2.3 Recalibración de la Transformación Afín</w:t>
      </w:r>
    </w:p>
    <w:p>
      <w:pPr>
        <w:spacing w:after="140" w:line="260" w:lineRule="auto"/>
      </w:pPr>
      <w:r>
        <w:t xml:space="preserve">La corrección del GeoTIFF final se efectúa actualizando directamente los coeficientes de traslación del origen en la matriz afín de GDAL/Rasterio:</w:t>
      </w:r>
    </w:p>
    <w:p>
      <w:pPr>
        <w:jc w:val="center"/>
        <w:spacing w:before="120" w:after="120"/>
        <w:tabs>
          <w:tab w:val="right" w:pos="9360"/>
        </w:tabs>
      </w:pPr>
      <m:oMathPara>
        <m:oMath>
          <m:sSub>
            <m:sSubPr/>
            <m:e>
              <m:r>
                <m:rPr>
                  <m:i/>
                </m:rPr>
                <m:t>T</m:t>
              </m:r>
            </m:e>
            <m:sub>
              <m:r>
                <m:rPr/>
                <m:t>corr</m:t>
              </m:r>
            </m:sub>
          </m:sSub>
          <m:r>
            <m:rPr>
              <m:i/>
            </m:rPr>
            <m:t> = </m:t>
          </m:r>
          <m:d>
            <m:dPr>
              <m:begChr m:val="["/>
              <m:endChr m:val="]"/>
            </m:dPr>
            <m:e>
              <m:m>
                <m:mPr>
                  <m:baseJc m:val="center"/>
                </m:mPr>
                <m:mr>
                  <m:e>
                    <m:r>
                      <m:rPr>
                        <m:i/>
                      </m:rPr>
                      <m:t>a</m:t>
                    </m:r>
                  </m:e>
                  <m:e>
                    <m:r>
                      <m:rPr>
                        <m:i/>
                      </m:rPr>
                      <m:t>b</m:t>
                    </m:r>
                  </m:e>
                  <m:e>
                    <m:r>
                      <m:rPr>
                        <m:i/>
                      </m:rPr>
                      <m:t>c + Δλ</m:t>
                    </m:r>
                  </m:e>
                </m:mr>
                <m:mr>
                  <m:e>
                    <m:r>
                      <m:rPr>
                        <m:i/>
                      </m:rPr>
                      <m:t>d</m:t>
                    </m:r>
                  </m:e>
                  <m:e>
                    <m:r>
                      <m:rPr>
                        <m:i/>
                      </m:rPr>
                      <m:t>e</m:t>
                    </m:r>
                  </m:e>
                  <m:e>
                    <m:r>
                      <m:rPr>
                        <m:i/>
                      </m:rPr>
                      <m:t>f + Δφ</m:t>
                    </m:r>
                  </m:e>
                </m:mr>
                <m:mr>
                  <m:e>
                    <m:r>
                      <m:rPr>
                        <m:i/>
                      </m:rPr>
                      <m:t>0</m:t>
                    </m:r>
                  </m:e>
                  <m:e>
                    <m:r>
                      <m:rPr>
                        <m:i/>
                      </m:rPr>
                      <m:t>0</m:t>
                    </m:r>
                  </m:e>
                  <m:e>
                    <m:r>
                      <m:rPr>
                        <m:i/>
                      </m:rPr>
                      <m:t>1</m:t>
                    </m:r>
                  </m:e>
                </m:mr>
              </m:m>
            </m:e>
          </m:d>
        </m:oMath>
      </m:oMathPara>
      <w:r>
        <w:rPr>
          <w:rFonts w:ascii="Cambria" w:hAnsi="Cambria"/>
          <w:sz w:val="20"/>
        </w:rPr>
        <w:tab/>
        <w:t>(7)</w:t>
      </w:r>
    </w:p>
    <w:p>
      <w:pPr>
        <w:jc w:val="center"/>
        <w:spacing w:after="80" w:line="260" w:lineRule="auto"/>
      </w:pPr>
      <w:r>
        <w:rPr>
          <w:i/>
        </w:rPr>
        <w:t xml:space="preserve">Tabla 1: Parámetros de la Matriz Afín Proyectiva en el Estándar GDAL/Rasterio.</w:t>
      </w:r>
    </w:p>
    <w:tbl>
      <w:tblPr>
        <w:jc w:val="center"/>
        <w:tblW w:w="9360" w:type="dxa"/>
        <w:tblBorders>
          <w:top w:val="single" w:sz="12" w:space="0" w:color="0F294A"/>
          <w:left w:val="none"/>
          <w:bottom w:val="single" w:sz="12" w:space="0" w:color="0F294A"/>
          <w:right w:val="none"/>
          <w:insideH w:val="single" w:sz="4" w:space="0" w:color="BDC3C7"/>
          <w:insideV w:val="none"/>
        </w:tblBorders>
      </w:tblPr>
      <w:tr>
        <w:tblHeader/>
        <w:tc>
          <w:tcPr>
            <w:tcW w:w="1400" w:type="dxa"/>
            <w:tcMar>
              <w:top w:w="100" w:type="dxa"/>
              <w:bottom w:w="100" w:type="dxa"/>
              <w:left w:w="120" w:type="dxa"/>
              <w:right w:w="120" w:type="dxa"/>
            </w:tcMar>
          </w:tcPr>
          <w:p>
            <w:pPr>
              <w:jc w:val="center"/>
              <w:spacing w:after="0" w:line="200" w:lineRule="auto"/>
            </w:pPr>
            <w:r>
              <w:rPr>
                <w:b/>
                <w:sz w:val="19"/>
                <w:color w:val="0F294A"/>
              </w:rPr>
              <w:t>Coeficiente</w:t>
            </w:r>
          </w:p>
        </w:tc>
        <w:tc>
          <w:tcPr>
            <w:tcW w:w="3100" w:type="dxa"/>
            <w:tcMar>
              <w:top w:w="100" w:type="dxa"/>
              <w:bottom w:w="100" w:type="dxa"/>
              <w:left w:w="120" w:type="dxa"/>
              <w:right w:w="120" w:type="dxa"/>
            </w:tcMar>
          </w:tcPr>
          <w:p>
            <w:pPr>
              <w:jc w:val="center"/>
              <w:spacing w:after="0" w:line="200" w:lineRule="auto"/>
            </w:pPr>
            <w:r>
              <w:rPr>
                <w:b/>
                <w:sz w:val="19"/>
                <w:color w:val="0F294A"/>
              </w:rPr>
              <w:t>Interpretación Física</w:t>
            </w:r>
          </w:p>
        </w:tc>
        <w:tc>
          <w:tcPr>
            <w:tcW w:w="2400" w:type="dxa"/>
            <w:tcMar>
              <w:top w:w="100" w:type="dxa"/>
              <w:bottom w:w="100" w:type="dxa"/>
              <w:left w:w="120" w:type="dxa"/>
              <w:right w:w="120" w:type="dxa"/>
            </w:tcMar>
          </w:tcPr>
          <w:p>
            <w:pPr>
              <w:jc w:val="center"/>
              <w:spacing w:after="0" w:line="200" w:lineRule="auto"/>
            </w:pPr>
            <w:r>
              <w:rPr>
                <w:b/>
                <w:sz w:val="19"/>
                <w:color w:val="0F294A"/>
              </w:rPr>
              <w:t>Dominio Operacional</w:t>
            </w:r>
          </w:p>
        </w:tc>
        <w:tc>
          <w:tcPr>
            <w:tcW w:w="2460" w:type="dxa"/>
            <w:tcMar>
              <w:top w:w="100" w:type="dxa"/>
              <w:bottom w:w="100" w:type="dxa"/>
              <w:left w:w="120" w:type="dxa"/>
              <w:right w:w="120" w:type="dxa"/>
            </w:tcMar>
          </w:tcPr>
          <w:p>
            <w:pPr>
              <w:jc w:val="center"/>
              <w:spacing w:after="0" w:line="200" w:lineRule="auto"/>
            </w:pPr>
            <w:r>
              <w:rPr>
                <w:b/>
                <w:sz w:val="19"/>
                <w:color w:val="0F294A"/>
              </w:rPr>
              <w:t>Efecto de Calibración</w:t>
            </w:r>
          </w:p>
        </w:tc>
      </w:tr>
      <w:tr>
        <w:tc>
          <w:tcPr>
            <w:tcW w:w="1400" w:type="dxa"/>
            <w:tcMar>
              <w:top w:w="80" w:type="dxa"/>
              <w:bottom w:w="80" w:type="dxa"/>
              <w:left w:w="120" w:type="dxa"/>
              <w:right w:w="120" w:type="dxa"/>
            </w:tcMar>
          </w:tcPr>
          <w:p>
            <w:pPr>
              <w:jc w:val="center"/>
              <w:spacing w:after="0" w:line="210" w:lineRule="auto"/>
            </w:pPr>
            <w:r>
              <w:rPr>
                <w:sz w:val="18"/>
                <w:color w:val="212529"/>
              </w:rPr>
              <w:t>a</w:t>
            </w:r>
          </w:p>
        </w:tc>
        <w:tc>
          <w:tcPr>
            <w:tcW w:w="3100" w:type="dxa"/>
            <w:tcMar>
              <w:top w:w="80" w:type="dxa"/>
              <w:bottom w:w="80" w:type="dxa"/>
              <w:left w:w="120" w:type="dxa"/>
              <w:right w:w="120" w:type="dxa"/>
            </w:tcMar>
          </w:tcPr>
          <w:p>
            <w:pPr>
              <w:jc w:val="left"/>
              <w:spacing w:after="0" w:line="210" w:lineRule="auto"/>
            </w:pPr>
            <w:r>
              <w:rPr>
                <w:sz w:val="18"/>
                <w:color w:val="212529"/>
              </w:rPr>
              <w:t>Resolución longitudinal (grados/píxel)</w:t>
            </w:r>
          </w:p>
        </w:tc>
        <w:tc>
          <w:tcPr>
            <w:tcW w:w="2400" w:type="dxa"/>
            <w:tcMar>
              <w:top w:w="80" w:type="dxa"/>
              <w:bottom w:w="80" w:type="dxa"/>
              <w:left w:w="120" w:type="dxa"/>
              <w:right w:w="120" w:type="dxa"/>
            </w:tcMar>
          </w:tcPr>
          <w:p>
            <w:pPr>
              <w:jc w:val="left"/>
              <w:spacing w:after="0" w:line="210" w:lineRule="auto"/>
            </w:pPr>
            <w:r>
              <w:rPr>
                <w:sz w:val="18"/>
                <w:color w:val="212529"/>
              </w:rPr>
              <w:t>a &gt; 0 (≈ +0.0075°)</w:t>
            </w:r>
          </w:p>
        </w:tc>
        <w:tc>
          <w:tcPr>
            <w:tcW w:w="2460" w:type="dxa"/>
            <w:tcMar>
              <w:top w:w="80" w:type="dxa"/>
              <w:bottom w:w="80" w:type="dxa"/>
              <w:left w:w="120" w:type="dxa"/>
              <w:right w:w="120" w:type="dxa"/>
            </w:tcMar>
          </w:tcPr>
          <w:p>
            <w:pPr>
              <w:jc w:val="left"/>
              <w:spacing w:after="0" w:line="210" w:lineRule="auto"/>
            </w:pPr>
            <w:r>
              <w:rPr>
                <w:sz w:val="18"/>
                <w:color w:val="212529"/>
              </w:rPr>
              <w:t>Invariante (Escala X fija)</w:t>
            </w:r>
          </w:p>
        </w:tc>
      </w:tr>
      <w:tr>
        <w:tc>
          <w:tcPr>
            <w:tcW w:w="1400" w:type="dxa"/>
            <w:shd w:val="clear" w:color="auto" w:fill="F8F9FA"/>
            <w:tcMar>
              <w:top w:w="80" w:type="dxa"/>
              <w:bottom w:w="80" w:type="dxa"/>
              <w:left w:w="120" w:type="dxa"/>
              <w:right w:w="120" w:type="dxa"/>
            </w:tcMar>
          </w:tcPr>
          <w:p>
            <w:pPr>
              <w:jc w:val="center"/>
              <w:spacing w:after="0" w:line="210" w:lineRule="auto"/>
            </w:pPr>
            <w:r>
              <w:rPr>
                <w:sz w:val="18"/>
                <w:color w:val="212529"/>
              </w:rPr>
              <w:t>b</w:t>
            </w:r>
          </w:p>
        </w:tc>
        <w:tc>
          <w:tcPr>
            <w:tcW w:w="3100" w:type="dxa"/>
            <w:shd w:val="clear" w:color="auto" w:fill="F8F9FA"/>
            <w:tcMar>
              <w:top w:w="80" w:type="dxa"/>
              <w:bottom w:w="80" w:type="dxa"/>
              <w:left w:w="120" w:type="dxa"/>
              <w:right w:w="120" w:type="dxa"/>
            </w:tcMar>
          </w:tcPr>
          <w:p>
            <w:pPr>
              <w:jc w:val="left"/>
              <w:spacing w:after="0" w:line="210" w:lineRule="auto"/>
            </w:pPr>
            <w:r>
              <w:rPr>
                <w:sz w:val="18"/>
                <w:color w:val="212529"/>
              </w:rPr>
              <w:t>Término de rotación / cizallamiento en X</w:t>
            </w:r>
          </w:p>
        </w:tc>
        <w:tc>
          <w:tcPr>
            <w:tcW w:w="2400" w:type="dxa"/>
            <w:shd w:val="clear" w:color="auto" w:fill="F8F9FA"/>
            <w:tcMar>
              <w:top w:w="80" w:type="dxa"/>
              <w:bottom w:w="80" w:type="dxa"/>
              <w:left w:w="120" w:type="dxa"/>
              <w:right w:w="120" w:type="dxa"/>
            </w:tcMar>
          </w:tcPr>
          <w:p>
            <w:pPr>
              <w:jc w:val="left"/>
              <w:spacing w:after="0" w:line="210" w:lineRule="auto"/>
            </w:pPr>
            <w:r>
              <w:rPr>
                <w:sz w:val="18"/>
                <w:color w:val="212529"/>
              </w:rPr>
              <w:t>b = 0.0</w:t>
            </w:r>
          </w:p>
        </w:tc>
        <w:tc>
          <w:tcPr>
            <w:tcW w:w="2460" w:type="dxa"/>
            <w:shd w:val="clear" w:color="auto" w:fill="F8F9FA"/>
            <w:tcMar>
              <w:top w:w="80" w:type="dxa"/>
              <w:bottom w:w="80" w:type="dxa"/>
              <w:left w:w="120" w:type="dxa"/>
              <w:right w:w="120" w:type="dxa"/>
            </w:tcMar>
          </w:tcPr>
          <w:p>
            <w:pPr>
              <w:jc w:val="left"/>
              <w:spacing w:after="0" w:line="210" w:lineRule="auto"/>
            </w:pPr>
            <w:r>
              <w:rPr>
                <w:sz w:val="18"/>
                <w:color w:val="212529"/>
              </w:rPr>
              <w:t>Invariante (Norte arriba)</w:t>
            </w:r>
          </w:p>
        </w:tc>
      </w:tr>
      <w:tr>
        <w:tc>
          <w:tcPr>
            <w:tcW w:w="1400" w:type="dxa"/>
            <w:tcMar>
              <w:top w:w="80" w:type="dxa"/>
              <w:bottom w:w="80" w:type="dxa"/>
              <w:left w:w="120" w:type="dxa"/>
              <w:right w:w="120" w:type="dxa"/>
            </w:tcMar>
          </w:tcPr>
          <w:p>
            <w:pPr>
              <w:jc w:val="center"/>
              <w:spacing w:after="0" w:line="210" w:lineRule="auto"/>
            </w:pPr>
            <w:r>
              <w:rPr>
                <w:sz w:val="18"/>
                <w:color w:val="212529"/>
              </w:rPr>
              <w:t>c</w:t>
            </w:r>
          </w:p>
        </w:tc>
        <w:tc>
          <w:tcPr>
            <w:tcW w:w="3100" w:type="dxa"/>
            <w:tcMar>
              <w:top w:w="80" w:type="dxa"/>
              <w:bottom w:w="80" w:type="dxa"/>
              <w:left w:w="120" w:type="dxa"/>
              <w:right w:w="120" w:type="dxa"/>
            </w:tcMar>
          </w:tcPr>
          <w:p>
            <w:pPr>
              <w:jc w:val="left"/>
              <w:spacing w:after="0" w:line="210" w:lineRule="auto"/>
            </w:pPr>
            <w:r>
              <w:rPr>
                <w:sz w:val="18"/>
                <w:color w:val="212529"/>
              </w:rPr>
              <w:t>Longitud geodésica del origen (esquina sup-izq)</w:t>
            </w:r>
          </w:p>
        </w:tc>
        <w:tc>
          <w:tcPr>
            <w:tcW w:w="2400" w:type="dxa"/>
            <w:tcMar>
              <w:top w:w="80" w:type="dxa"/>
              <w:bottom w:w="80" w:type="dxa"/>
              <w:left w:w="120" w:type="dxa"/>
              <w:right w:w="120" w:type="dxa"/>
            </w:tcMar>
          </w:tcPr>
          <w:p>
            <w:pPr>
              <w:jc w:val="left"/>
              <w:spacing w:after="0" w:line="210" w:lineRule="auto"/>
            </w:pPr>
            <w:r>
              <w:rPr>
                <w:sz w:val="18"/>
                <w:color w:val="212529"/>
              </w:rPr>
              <w:t>c ∈ [-180°, +180°]</w:t>
            </w:r>
          </w:p>
        </w:tc>
        <w:tc>
          <w:tcPr>
            <w:tcW w:w="2460" w:type="dxa"/>
            <w:tcMar>
              <w:top w:w="80" w:type="dxa"/>
              <w:bottom w:w="80" w:type="dxa"/>
              <w:left w:w="120" w:type="dxa"/>
              <w:right w:w="120" w:type="dxa"/>
            </w:tcMar>
          </w:tcPr>
          <w:p>
            <w:pPr>
              <w:jc w:val="left"/>
              <w:spacing w:after="0" w:line="210" w:lineRule="auto"/>
            </w:pPr>
            <w:r>
              <w:rPr>
                <w:sz w:val="18"/>
                <w:color w:val="212529"/>
              </w:rPr>
              <w:t>c' = c + Δλ (Traslación X)</w:t>
            </w:r>
          </w:p>
        </w:tc>
      </w:tr>
      <w:tr>
        <w:tc>
          <w:tcPr>
            <w:tcW w:w="1400" w:type="dxa"/>
            <w:shd w:val="clear" w:color="auto" w:fill="F8F9FA"/>
            <w:tcMar>
              <w:top w:w="80" w:type="dxa"/>
              <w:bottom w:w="80" w:type="dxa"/>
              <w:left w:w="120" w:type="dxa"/>
              <w:right w:w="120" w:type="dxa"/>
            </w:tcMar>
          </w:tcPr>
          <w:p>
            <w:pPr>
              <w:jc w:val="center"/>
              <w:spacing w:after="0" w:line="210" w:lineRule="auto"/>
            </w:pPr>
            <w:r>
              <w:rPr>
                <w:sz w:val="18"/>
                <w:color w:val="212529"/>
              </w:rPr>
              <w:t>d</w:t>
            </w:r>
          </w:p>
        </w:tc>
        <w:tc>
          <w:tcPr>
            <w:tcW w:w="3100" w:type="dxa"/>
            <w:shd w:val="clear" w:color="auto" w:fill="F8F9FA"/>
            <w:tcMar>
              <w:top w:w="80" w:type="dxa"/>
              <w:bottom w:w="80" w:type="dxa"/>
              <w:left w:w="120" w:type="dxa"/>
              <w:right w:w="120" w:type="dxa"/>
            </w:tcMar>
          </w:tcPr>
          <w:p>
            <w:pPr>
              <w:jc w:val="left"/>
              <w:spacing w:after="0" w:line="210" w:lineRule="auto"/>
            </w:pPr>
            <w:r>
              <w:rPr>
                <w:sz w:val="18"/>
                <w:color w:val="212529"/>
              </w:rPr>
              <w:t>Término de rotación / cizallamiento en Y</w:t>
            </w:r>
          </w:p>
        </w:tc>
        <w:tc>
          <w:tcPr>
            <w:tcW w:w="2400" w:type="dxa"/>
            <w:shd w:val="clear" w:color="auto" w:fill="F8F9FA"/>
            <w:tcMar>
              <w:top w:w="80" w:type="dxa"/>
              <w:bottom w:w="80" w:type="dxa"/>
              <w:left w:w="120" w:type="dxa"/>
              <w:right w:w="120" w:type="dxa"/>
            </w:tcMar>
          </w:tcPr>
          <w:p>
            <w:pPr>
              <w:jc w:val="left"/>
              <w:spacing w:after="0" w:line="210" w:lineRule="auto"/>
            </w:pPr>
            <w:r>
              <w:rPr>
                <w:sz w:val="18"/>
                <w:color w:val="212529"/>
              </w:rPr>
              <w:t>d = 0.0</w:t>
            </w:r>
          </w:p>
        </w:tc>
        <w:tc>
          <w:tcPr>
            <w:tcW w:w="2460" w:type="dxa"/>
            <w:shd w:val="clear" w:color="auto" w:fill="F8F9FA"/>
            <w:tcMar>
              <w:top w:w="80" w:type="dxa"/>
              <w:bottom w:w="80" w:type="dxa"/>
              <w:left w:w="120" w:type="dxa"/>
              <w:right w:w="120" w:type="dxa"/>
            </w:tcMar>
          </w:tcPr>
          <w:p>
            <w:pPr>
              <w:jc w:val="left"/>
              <w:spacing w:after="0" w:line="210" w:lineRule="auto"/>
            </w:pPr>
            <w:r>
              <w:rPr>
                <w:sz w:val="18"/>
                <w:color w:val="212529"/>
              </w:rPr>
              <w:t>Invariante (Sin cizallamiento)</w:t>
            </w:r>
          </w:p>
        </w:tc>
      </w:tr>
      <w:tr>
        <w:tc>
          <w:tcPr>
            <w:tcW w:w="1400" w:type="dxa"/>
            <w:tcMar>
              <w:top w:w="80" w:type="dxa"/>
              <w:bottom w:w="80" w:type="dxa"/>
              <w:left w:w="120" w:type="dxa"/>
              <w:right w:w="120" w:type="dxa"/>
            </w:tcMar>
          </w:tcPr>
          <w:p>
            <w:pPr>
              <w:jc w:val="center"/>
              <w:spacing w:after="0" w:line="210" w:lineRule="auto"/>
            </w:pPr>
            <w:r>
              <w:rPr>
                <w:sz w:val="18"/>
                <w:color w:val="212529"/>
              </w:rPr>
              <w:t>e</w:t>
            </w:r>
          </w:p>
        </w:tc>
        <w:tc>
          <w:tcPr>
            <w:tcW w:w="3100" w:type="dxa"/>
            <w:tcMar>
              <w:top w:w="80" w:type="dxa"/>
              <w:bottom w:w="80" w:type="dxa"/>
              <w:left w:w="120" w:type="dxa"/>
              <w:right w:w="120" w:type="dxa"/>
            </w:tcMar>
          </w:tcPr>
          <w:p>
            <w:pPr>
              <w:jc w:val="left"/>
              <w:spacing w:after="0" w:line="210" w:lineRule="auto"/>
            </w:pPr>
            <w:r>
              <w:rPr>
                <w:sz w:val="18"/>
                <w:color w:val="212529"/>
              </w:rPr>
              <w:t>Resolución latitudinal (grados/píxel)</w:t>
            </w:r>
          </w:p>
        </w:tc>
        <w:tc>
          <w:tcPr>
            <w:tcW w:w="2400" w:type="dxa"/>
            <w:tcMar>
              <w:top w:w="80" w:type="dxa"/>
              <w:bottom w:w="80" w:type="dxa"/>
              <w:left w:w="120" w:type="dxa"/>
              <w:right w:w="120" w:type="dxa"/>
            </w:tcMar>
          </w:tcPr>
          <w:p>
            <w:pPr>
              <w:jc w:val="left"/>
              <w:spacing w:after="0" w:line="210" w:lineRule="auto"/>
            </w:pPr>
            <w:r>
              <w:rPr>
                <w:sz w:val="18"/>
                <w:color w:val="212529"/>
              </w:rPr>
              <w:t>e &lt; 0 (≈ -0.0075°)</w:t>
            </w:r>
          </w:p>
        </w:tc>
        <w:tc>
          <w:tcPr>
            <w:tcW w:w="2460" w:type="dxa"/>
            <w:tcMar>
              <w:top w:w="80" w:type="dxa"/>
              <w:bottom w:w="80" w:type="dxa"/>
              <w:left w:w="120" w:type="dxa"/>
              <w:right w:w="120" w:type="dxa"/>
            </w:tcMar>
          </w:tcPr>
          <w:p>
            <w:pPr>
              <w:jc w:val="left"/>
              <w:spacing w:after="0" w:line="210" w:lineRule="auto"/>
            </w:pPr>
            <w:r>
              <w:rPr>
                <w:sz w:val="18"/>
                <w:color w:val="212529"/>
              </w:rPr>
              <w:t>Invariante (Escala Y fija)</w:t>
            </w:r>
          </w:p>
        </w:tc>
      </w:tr>
      <w:tr>
        <w:tc>
          <w:tcPr>
            <w:tcW w:w="1400" w:type="dxa"/>
            <w:shd w:val="clear" w:color="auto" w:fill="F8F9FA"/>
            <w:tcMar>
              <w:top w:w="80" w:type="dxa"/>
              <w:bottom w:w="80" w:type="dxa"/>
              <w:left w:w="120" w:type="dxa"/>
              <w:right w:w="120" w:type="dxa"/>
            </w:tcMar>
          </w:tcPr>
          <w:p>
            <w:pPr>
              <w:jc w:val="center"/>
              <w:spacing w:after="0" w:line="210" w:lineRule="auto"/>
            </w:pPr>
            <w:r>
              <w:rPr>
                <w:sz w:val="18"/>
                <w:color w:val="212529"/>
              </w:rPr>
              <w:t>f</w:t>
            </w:r>
          </w:p>
        </w:tc>
        <w:tc>
          <w:tcPr>
            <w:tcW w:w="3100" w:type="dxa"/>
            <w:shd w:val="clear" w:color="auto" w:fill="F8F9FA"/>
            <w:tcMar>
              <w:top w:w="80" w:type="dxa"/>
              <w:bottom w:w="80" w:type="dxa"/>
              <w:left w:w="120" w:type="dxa"/>
              <w:right w:w="120" w:type="dxa"/>
            </w:tcMar>
          </w:tcPr>
          <w:p>
            <w:pPr>
              <w:jc w:val="left"/>
              <w:spacing w:after="0" w:line="210" w:lineRule="auto"/>
            </w:pPr>
            <w:r>
              <w:rPr>
                <w:sz w:val="18"/>
                <w:color w:val="212529"/>
              </w:rPr>
              <w:t>Latitud geodésica del origen (esquina sup-izq)</w:t>
            </w:r>
          </w:p>
        </w:tc>
        <w:tc>
          <w:tcPr>
            <w:tcW w:w="2400" w:type="dxa"/>
            <w:shd w:val="clear" w:color="auto" w:fill="F8F9FA"/>
            <w:tcMar>
              <w:top w:w="80" w:type="dxa"/>
              <w:bottom w:w="80" w:type="dxa"/>
              <w:left w:w="120" w:type="dxa"/>
              <w:right w:w="120" w:type="dxa"/>
            </w:tcMar>
          </w:tcPr>
          <w:p>
            <w:pPr>
              <w:jc w:val="left"/>
              <w:spacing w:after="0" w:line="210" w:lineRule="auto"/>
            </w:pPr>
            <w:r>
              <w:rPr>
                <w:sz w:val="18"/>
                <w:color w:val="212529"/>
              </w:rPr>
              <w:t>f ∈ [-90°, +90°]</w:t>
            </w:r>
          </w:p>
        </w:tc>
        <w:tc>
          <w:tcPr>
            <w:tcW w:w="2460" w:type="dxa"/>
            <w:shd w:val="clear" w:color="auto" w:fill="F8F9FA"/>
            <w:tcMar>
              <w:top w:w="80" w:type="dxa"/>
              <w:bottom w:w="80" w:type="dxa"/>
              <w:left w:w="120" w:type="dxa"/>
              <w:right w:w="120" w:type="dxa"/>
            </w:tcMar>
          </w:tcPr>
          <w:p>
            <w:pPr>
              <w:jc w:val="left"/>
              <w:spacing w:after="0" w:line="210" w:lineRule="auto"/>
            </w:pPr>
            <w:r>
              <w:rPr>
                <w:sz w:val="18"/>
                <w:color w:val="212529"/>
              </w:rPr>
              <w:t>f' = f + Δφ (Traslación Y)</w:t>
            </w:r>
          </w:p>
        </w:tc>
      </w:tr>
    </w:tbl>
    <w:p>
      <w:pPr>
        <w:spacing w:after="160"/>
      </w:pPr>
    </w:p>
    <w:p>
      <w:pPr>
        <w:pStyle w:val="Heading1"/>
        <w:spacing w:after="140" w:line="260" w:lineRule="auto"/>
      </w:pPr>
      <w:r>
        <w:t xml:space="preserve">3. Análisis de Incertidumbre y Desalineación Residual</w:t>
      </w:r>
    </w:p>
    <w:p>
      <w:pPr>
        <w:spacing w:after="140" w:line="260" w:lineRule="auto"/>
      </w:pPr>
      <w:r>
        <w:t xml:space="preserve">Aunque el modelo traslacional de la Ecuación (7) corrige desviaciones macroscópicas gruesas, en inspecciones visuales superpuestas con capas vectoriales finas en QGIS pueden persistir pequeños desajustes. El origen físico y matemático de estas discrepancias comprende:</w:t>
      </w:r>
    </w:p>
    <w:p>
      <w:pPr>
        <w:ind w:left="440" w:hanging="220"/>
        <w:spacing w:after="80" w:line="240" w:lineRule="auto"/>
        <w:jc w:val="both"/>
      </w:pPr>
      <w:r>
        <w:rPr>
          <w:rFonts w:ascii="Symbol" w:hAnsi="Symbol"/>
          <w:sz w:val="18"/>
        </w:rPr>
        <w:t>·</w:t>
      </w:r>
      <w:r>
        <w:tab/>
      </w:r>
      <w:r>
        <w:rPr>
          <w:b/>
        </w:rPr>
        <w:t xml:space="preserve">1. Cuantización Espacial: </w:t>
      </w:r>
      <w:r>
        <w:t xml:space="preserve">Cuantización Discreta de Píxeles (Resolución Espacial Entera): El operador clásico matchTemplate está discretizado en la grilla entera Z^2. Para un radio radar de 240 a 480 km representado en imágenes de ~800x800 píxeles, la resolución de celda es de aproximadamente 600 m a 1.1 km por píxel. Por ende, una incertidumbre de solo ±1 píxel en el pico correlacional induce una desviación espacial de hasta 1000 metros en terreno.</w:t>
      </w:r>
    </w:p>
    <w:p>
      <w:pPr>
        <w:ind w:left="440" w:hanging="220"/>
        <w:spacing w:after="80" w:line="240" w:lineRule="auto"/>
        <w:jc w:val="both"/>
      </w:pPr>
      <w:r>
        <w:rPr>
          <w:rFonts w:ascii="Symbol" w:hAnsi="Symbol"/>
          <w:sz w:val="18"/>
        </w:rPr>
        <w:t>·</w:t>
      </w:r>
      <w:r>
        <w:tab/>
      </w:r>
      <w:r>
        <w:rPr>
          <w:b/>
        </w:rPr>
        <w:t xml:space="preserve">2. Grados de Libertad: </w:t>
      </w:r>
      <w:r>
        <w:t xml:space="preserve">Restricción a 2 Grados de Libertad (Traslación Pura): El modelo asume invariancia rígida de escala (a, e) y ausencia total de rotación (b=0, d=0). Si el rasterizador del radar introduce mínimas fluctuaciones de escala geométrica o ligeras derivas angulares, la traslación pura (Tx, Ty) no puede corregir el error diferencial en los extremos de la escena.</w:t>
      </w:r>
    </w:p>
    <w:p>
      <w:pPr>
        <w:ind w:left="440" w:hanging="220"/>
        <w:spacing w:after="80" w:line="240" w:lineRule="auto"/>
        <w:jc w:val="both"/>
      </w:pPr>
      <w:r>
        <w:rPr>
          <w:rFonts w:ascii="Symbol" w:hAnsi="Symbol"/>
          <w:sz w:val="18"/>
        </w:rPr>
        <w:t>·</w:t>
      </w:r>
      <w:r>
        <w:tab/>
      </w:r>
      <w:r>
        <w:rPr>
          <w:b/>
        </w:rPr>
        <w:t xml:space="preserve">3. Anclaje Único: </w:t>
      </w:r>
      <w:r>
        <w:t xml:space="preserve">Anclaje Monopuntual (Single Ground Control Point): Al basarse en un único eco fijo principal, todo el raster se pivota sobre un único punto de control. Cualquier distorsión morfológica local en dicho eco se transfiere linealmente como error de fase a toda la cobertura radar.</w:t>
      </w:r>
    </w:p>
    <w:p>
      <w:pPr>
        <w:ind w:left="440" w:hanging="220"/>
        <w:spacing w:after="80" w:line="240" w:lineRule="auto"/>
        <w:jc w:val="both"/>
      </w:pPr>
      <w:r>
        <w:rPr>
          <w:rFonts w:ascii="Symbol" w:hAnsi="Symbol"/>
          <w:sz w:val="18"/>
        </w:rPr>
        <w:t>·</w:t>
      </w:r>
      <w:r>
        <w:tab/>
      </w:r>
      <w:r>
        <w:rPr>
          <w:b/>
        </w:rPr>
        <w:t xml:space="preserve">4. Interferencia Hidrometeorológica: </w:t>
      </w:r>
      <w:r>
        <w:t xml:space="preserve">Contaminación por Precipitaciones Convectivas (Clutter Ocluido): Durante episodios de tormenta severa, celdas de lluvia con alta reflectividad (&gt;40 dBZ) solapan o rodean el eco fijo. Esto dilata la máscara observada M_img, alterando el baricentro efectivo y sesgando la posición del pico.</w:t>
      </w:r>
    </w:p>
    <w:p>
      <w:pPr>
        <w:ind w:left="440" w:hanging="220"/>
        <w:spacing w:after="80" w:line="240" w:lineRule="auto"/>
        <w:jc w:val="both"/>
      </w:pPr>
      <w:r>
        <w:rPr>
          <w:rFonts w:ascii="Symbol" w:hAnsi="Symbol"/>
          <w:sz w:val="18"/>
        </w:rPr>
        <w:t>·</w:t>
      </w:r>
      <w:r>
        <w:tab/>
      </w:r>
      <w:r>
        <w:rPr>
          <w:b/>
        </w:rPr>
        <w:t xml:space="preserve">5. Generalización Vectorial: </w:t>
      </w:r>
      <w:r>
        <w:t xml:space="preserve">Discrepancia Cartográfica de Origen: Los trazos de límites departamentales embebidos en el GIF original fueron renderizados con propósitos puramente ilustrativos a baja densidad poligonal, mientras que las capas vectoriales en SIG poseen exactitud geodésica submétrica.</w:t>
      </w:r>
    </w:p>
    <w:p>
      <w:pPr>
        <w:pStyle w:val="Heading1"/>
        <w:spacing w:after="140" w:line="260" w:lineRule="auto"/>
      </w:pPr>
      <w:r>
        <w:t xml:space="preserve">4. Propuestas Metodológicas para Alta Precisión</w:t>
      </w:r>
    </w:p>
    <w:p>
      <w:pPr>
        <w:pStyle w:val="Heading2"/>
        <w:spacing w:after="140" w:line="260" w:lineRule="auto"/>
      </w:pPr>
      <w:r>
        <w:t xml:space="preserve">4.1 Refinamiento Subpíxel Mediante Interpolación Parabólica Cuadrática 2D</w:t>
      </w:r>
    </w:p>
    <w:p>
      <w:pPr>
        <w:spacing w:after="140" w:line="260" w:lineRule="auto"/>
      </w:pPr>
      <w:r>
        <w:t xml:space="preserve">Para superar el límite de cuantización discreta sin aumentar la resolución del raster, se formula un estimador parabólico continuo sobre el vecindario de 3x3 celdas alrededor del pico discreto (r*, c*):</w:t>
      </w:r>
    </w:p>
    <w:p>
      <w:pPr>
        <w:jc w:val="center"/>
        <w:spacing w:before="120" w:after="120"/>
        <w:tabs>
          <w:tab w:val="right" w:pos="9360"/>
        </w:tabs>
      </w:pPr>
      <m:oMathPara>
        <m:oMath>
          <m:r>
            <m:rPr>
              <m:i/>
            </m:rPr>
            <m:t>δc = </m:t>
          </m:r>
          <m:f>
            <m:fPr/>
            <m:num>
              <m:r>
                <m:rPr>
                  <m:i/>
                </m:rPr>
                <m:t>R(r*, c* - 1) - R(r*, c* + 1)</m:t>
              </m:r>
            </m:num>
            <m:den>
              <m:r>
                <m:rPr>
                  <m:i/>
                </m:rPr>
                <m:t>2 · </m:t>
              </m:r>
              <m:d>
                <m:dPr>
                  <m:begChr m:val="["/>
                  <m:endChr m:val="]"/>
                </m:dPr>
                <m:e>
                  <m:r>
                    <m:rPr>
                      <m:i/>
                    </m:rPr>
                    <m:t>R(r*, c* - 1) - 2·R(r*, c*) + R(r*, c* + 1)</m:t>
                  </m:r>
                </m:e>
              </m:d>
            </m:den>
          </m:f>
          <m:r>
            <m:rPr>
              <m:i/>
            </m:rPr>
            <m:t>,   </m:t>
          </m:r>
          <m:r>
            <m:rPr>
              <m:i/>
            </m:rPr>
            <m:t>δr = </m:t>
          </m:r>
          <m:f>
            <m:fPr/>
            <m:num>
              <m:r>
                <m:rPr>
                  <m:i/>
                </m:rPr>
                <m:t>R(r* - 1, c*) - R(r* + 1, c*)</m:t>
              </m:r>
            </m:num>
            <m:den>
              <m:r>
                <m:rPr>
                  <m:i/>
                </m:rPr>
                <m:t>2 · </m:t>
              </m:r>
              <m:d>
                <m:dPr>
                  <m:begChr m:val="["/>
                  <m:endChr m:val="]"/>
                </m:dPr>
                <m:e>
                  <m:r>
                    <m:rPr>
                      <m:i/>
                    </m:rPr>
                    <m:t>R(r* - 1, c*) - 2·R(r*, c*) + R(r* + 1, c*)</m:t>
                  </m:r>
                </m:e>
              </m:d>
            </m:den>
          </m:f>
        </m:oMath>
      </m:oMathPara>
      <w:r>
        <w:rPr>
          <w:rFonts w:ascii="Cambria" w:hAnsi="Cambria"/>
          <w:sz w:val="20"/>
        </w:rPr>
        <w:tab/>
        <w:t>(8)</w:t>
      </w:r>
    </w:p>
    <w:p>
      <w:pPr>
        <w:jc w:val="center"/>
        <w:spacing w:before="120" w:after="120"/>
        <w:tabs>
          <w:tab w:val="right" w:pos="9360"/>
        </w:tabs>
      </w:pPr>
      <m:oMathPara>
        <m:oMath>
          <m:sSub>
            <m:sSubPr/>
            <m:e>
              <m:r>
                <m:rPr>
                  <m:i/>
                </m:rPr>
                <m:t>c</m:t>
              </m:r>
            </m:e>
            <m:sub>
              <m:r>
                <m:rPr/>
                <m:t>sub</m:t>
              </m:r>
            </m:sub>
          </m:sSub>
          <m:r>
            <m:rPr>
              <m:i/>
            </m:rPr>
            <m:t> = </m:t>
          </m:r>
          <m:sSup>
            <m:sSupPr/>
            <m:e>
              <m:r>
                <m:rPr>
                  <m:i/>
                </m:rPr>
                <m:t>c</m:t>
              </m:r>
            </m:e>
            <m:sup>
              <m:r>
                <m:rPr/>
                <m:t>*</m:t>
              </m:r>
            </m:sup>
          </m:sSup>
          <m:r>
            <m:rPr>
              <m:i/>
            </m:rPr>
            <m:t> + δc,   </m:t>
          </m:r>
          <m:sSub>
            <m:sSubPr/>
            <m:e>
              <m:r>
                <m:rPr>
                  <m:i/>
                </m:rPr>
                <m:t>r</m:t>
              </m:r>
            </m:e>
            <m:sub>
              <m:r>
                <m:rPr/>
                <m:t>sub</m:t>
              </m:r>
            </m:sub>
          </m:sSub>
          <m:r>
            <m:rPr>
              <m:i/>
            </m:rPr>
            <m:t> = </m:t>
          </m:r>
          <m:sSup>
            <m:sSupPr/>
            <m:e>
              <m:r>
                <m:rPr>
                  <m:i/>
                </m:rPr>
                <m:t>r</m:t>
              </m:r>
            </m:e>
            <m:sup>
              <m:r>
                <m:rPr/>
                <m:t>*</m:t>
              </m:r>
            </m:sup>
          </m:sSup>
          <m:r>
            <m:rPr>
              <m:i/>
            </m:rPr>
            <m:t> + δr</m:t>
          </m:r>
        </m:oMath>
      </m:oMathPara>
      <w:r>
        <w:rPr>
          <w:rFonts w:ascii="Cambria" w:hAnsi="Cambria"/>
          <w:sz w:val="20"/>
        </w:rPr>
        <w:tab/>
        <w:t>(9)</w:t>
      </w:r>
    </w:p>
    <w:p>
      <w:pPr>
        <w:pStyle w:val="PaperCallout"/>
        <w:spacing w:after="140" w:line="260" w:lineRule="auto"/>
      </w:pPr>
      <w:r>
        <w:t xml:space="preserve">Esta formulación permite alcanzar precisiones de hasta ±0.1 píxeles, reduciendo el error de georreferenciación de ~800 m a menos de 80 m en terreno.</w:t>
      </w:r>
    </w:p>
    <w:p>
      <w:pPr>
        <w:pStyle w:val="Heading2"/>
        <w:spacing w:after="140" w:line="260" w:lineRule="auto"/>
      </w:pPr>
      <w:r>
        <w:t xml:space="preserve">4.2 Estimación Afín Multieco con 6 Grados de Libertad (Mínimos Cuadrados)</w:t>
      </w:r>
    </w:p>
    <w:p>
      <w:pPr>
        <w:spacing w:after="140" w:line="260" w:lineRule="auto"/>
      </w:pPr>
      <w:r>
        <w:t xml:space="preserve">Identificando N &gt;= 3 puntos de control fijos (GCPs) orográficos distribuidos en la escena, los 6 parámetros afines óptimos se resuelven minimizando el error cuadrático medio:</w:t>
      </w:r>
    </w:p>
    <w:p>
      <w:pPr>
        <w:jc w:val="center"/>
        <w:spacing w:before="120" w:after="120"/>
        <w:tabs>
          <w:tab w:val="right" w:pos="9360"/>
        </w:tabs>
      </w:pPr>
      <m:oMathPara>
        <m:oMath>
          <m:r>
            <m:rPr>
              <m:i/>
            </m:rPr>
            <m:t>min</m:t>
          </m:r>
          <m:sSub>
            <m:sSubPr/>
            <m:e>
              <m:r>
                <m:rPr>
                  <m:i/>
                </m:rPr>
                <m:t/>
              </m:r>
            </m:e>
            <m:sub>
              <m:r>
                <m:rPr/>
                <m:t>T</m:t>
              </m:r>
            </m:sub>
          </m:sSub>
          <m:r>
            <m:rPr>
              <m:i/>
            </m:rPr>
            <m:t> ∑</m:t>
          </m:r>
          <m:sSup>
            <m:sSupPr/>
            <m:e>
              <m:d>
                <m:dPr>
                  <m:begChr m:val="["/>
                  <m:endChr m:val="]"/>
                </m:dPr>
                <m:e>
                  <m:sSub>
                    <m:sSubPr/>
                    <m:e>
                      <m:r>
                        <m:rPr>
                          <m:i/>
                        </m:rPr>
                        <m:t>X</m:t>
                      </m:r>
                    </m:e>
                    <m:sub>
                      <m:r>
                        <m:rPr/>
                        <m:t>geo, i</m:t>
                      </m:r>
                    </m:sub>
                  </m:sSub>
                  <m:r>
                    <m:rPr>
                      <m:i/>
                    </m:rPr>
                    <m:t> - T · </m:t>
                  </m:r>
                  <m:d>
                    <m:dPr>
                      <m:begChr m:val="["/>
                      <m:endChr m:val="]"/>
                    </m:dPr>
                    <m:e>
                      <m:m>
                        <m:mPr>
                          <m:baseJc m:val="center"/>
                        </m:mPr>
                        <m:mr>
                          <m:e>
                            <m:sSub>
                              <m:sSubPr/>
                              <m:e>
                                <m:r>
                                  <m:rPr>
                                    <m:i/>
                                  </m:rPr>
                                  <m:t>u</m:t>
                                </m:r>
                              </m:e>
                              <m:sub>
                                <m:r>
                                  <m:rPr/>
                                  <m:t>i</m:t>
                                </m:r>
                              </m:sub>
                            </m:sSub>
                          </m:e>
                        </m:mr>
                        <m:mr>
                          <m:e>
                            <m:sSub>
                              <m:sSubPr/>
                              <m:e>
                                <m:r>
                                  <m:rPr>
                                    <m:i/>
                                  </m:rPr>
                                  <m:t>v</m:t>
                                </m:r>
                              </m:e>
                              <m:sub>
                                <m:r>
                                  <m:rPr/>
                                  <m:t>i</m:t>
                                </m:r>
                              </m:sub>
                            </m:sSub>
                          </m:e>
                        </m:mr>
                        <m:mr>
                          <m:e>
                            <m:r>
                              <m:rPr>
                                <m:i/>
                              </m:rPr>
                              <m:t>1</m:t>
                            </m:r>
                          </m:e>
                        </m:mr>
                      </m:m>
                    </m:e>
                  </m:d>
                </m:e>
              </m:d>
            </m:e>
            <m:sup>
              <m:r>
                <m:rPr/>
                <m:t>2</m:t>
              </m:r>
            </m:sup>
          </m:sSup>
        </m:oMath>
      </m:oMathPara>
      <w:r>
        <w:rPr>
          <w:rFonts w:ascii="Cambria" w:hAnsi="Cambria"/>
          <w:sz w:val="20"/>
        </w:rPr>
        <w:tab/>
        <w:t>(10)</w:t>
      </w:r>
    </w:p>
    <w:p>
      <w:pPr>
        <w:spacing w:after="140" w:line="260" w:lineRule="auto"/>
      </w:pPr>
      <w:r>
        <w:t xml:space="preserve">Lo que permite resolver analíticamente mediante la pseudoinversa de Moore-Penrose:</w:t>
      </w:r>
    </w:p>
    <w:p>
      <w:pPr>
        <w:jc w:val="center"/>
        <w:spacing w:before="120" w:after="120"/>
        <w:tabs>
          <w:tab w:val="right" w:pos="9360"/>
        </w:tabs>
      </w:pPr>
      <m:oMathPara>
        <m:oMath>
          <m:r>
            <m:rPr>
              <m:i/>
            </m:rPr>
            <m:t>β̂ = </m:t>
          </m:r>
          <m:d>
            <m:dPr>
              <m:begChr m:val="("/>
              <m:endChr m:val=")"/>
            </m:dPr>
            <m:e>
              <m:sSup>
                <m:sSupPr/>
                <m:e>
                  <m:r>
                    <m:rPr>
                      <m:i/>
                    </m:rPr>
                    <m:t>A</m:t>
                  </m:r>
                </m:e>
                <m:sup>
                  <m:r>
                    <m:rPr/>
                    <m:t>T</m:t>
                  </m:r>
                </m:sup>
              </m:sSup>
              <m:r>
                <m:rPr>
                  <m:i/>
                </m:rPr>
                <m:t>A</m:t>
              </m:r>
            </m:e>
          </m:d>
          <m:sSup>
            <m:sSupPr/>
            <m:e>
              <m:r>
                <m:rPr>
                  <m:i/>
                </m:rPr>
                <m:t/>
              </m:r>
            </m:e>
            <m:sup>
              <m:r>
                <m:rPr/>
                <m:t>-1</m:t>
              </m:r>
            </m:sup>
          </m:sSup>
          <m:sSup>
            <m:sSupPr/>
            <m:e>
              <m:r>
                <m:rPr>
                  <m:i/>
                </m:rPr>
                <m:t>A</m:t>
              </m:r>
            </m:e>
            <m:sup>
              <m:r>
                <m:rPr/>
                <m:t>T</m:t>
              </m:r>
            </m:sup>
          </m:sSup>
          <m:r>
            <m:rPr>
              <m:i/>
            </m:rPr>
            <m:t>Y</m:t>
          </m:r>
        </m:oMath>
      </m:oMathPara>
      <w:r>
        <w:rPr>
          <w:rFonts w:ascii="Cambria" w:hAnsi="Cambria"/>
          <w:sz w:val="20"/>
        </w:rPr>
        <w:tab/>
        <w:t>(11)</w:t>
      </w:r>
    </w:p>
    <w:p>
      <w:pPr>
        <w:pStyle w:val="Heading1"/>
        <w:spacing w:after="140" w:line="260" w:lineRule="auto"/>
      </w:pPr>
      <w:r>
        <w:t xml:space="preserve">5. Conclusiones y Recomendaciones</w:t>
      </w:r>
    </w:p>
    <w:p>
      <w:pPr>
        <w:spacing w:after="140" w:line="260" w:lineRule="auto"/>
      </w:pPr>
      <w:r>
        <w:t xml:space="preserve">El análisis formal confirma que la arquitectura actual de geolocalizar.py es conceptual y analíticamente consistente. La corrección mediante traslación de la matriz afín provee una base robusta para la generación de productos raster GeoTIFF.</w:t>
      </w:r>
    </w:p>
    <w:p>
      <w:pPr>
        <w:spacing w:after="140" w:line="260" w:lineRule="auto"/>
      </w:pPr>
      <w:r>
        <w:t xml:space="preserve">Se recomienda adoptar la interpolación subpíxel cuadrática (Ecs. 8-9) como actualización prioritaria en el código, dado que no introduce costo computacional significativo en tiempo de ejecución y mejora en un orden de magnitud la precisión de alineación espacial observada en QGIS.</w:t>
      </w:r>
    </w:p>
    <w:p>
      <w:pPr>
        <w:pStyle w:val="Heading1"/>
        <w:spacing w:after="140" w:line="260" w:lineRule="auto"/>
      </w:pPr>
      <w:r>
        <w:t xml:space="preserve">Referencias</w:t>
      </w:r>
    </w:p>
    <w:p>
      <w:pPr>
        <w:ind w:left="440" w:hanging="220"/>
        <w:spacing w:after="80" w:line="240" w:lineRule="auto"/>
        <w:jc w:val="both"/>
      </w:pPr>
      <w:r>
        <w:rPr>
          <w:rFonts w:ascii="Symbol" w:hAnsi="Symbol"/>
          <w:sz w:val="18"/>
        </w:rPr>
        <w:t>·</w:t>
      </w:r>
      <w:r>
        <w:tab/>
      </w:r>
      <w:r>
        <w:rPr>
          <w:b/>
        </w:rPr>
        <w:t xml:space="preserve">[1] </w:t>
      </w:r>
      <w:r>
        <w:t xml:space="preserve">Doviak, R. J., &amp; Zrnic, D. S. (2014). Doppler Radar and Weather Observations. Academic Press.</w:t>
      </w:r>
    </w:p>
    <w:p>
      <w:pPr>
        <w:ind w:left="440" w:hanging="220"/>
        <w:spacing w:after="80" w:line="240" w:lineRule="auto"/>
        <w:jc w:val="both"/>
      </w:pPr>
      <w:r>
        <w:rPr>
          <w:rFonts w:ascii="Symbol" w:hAnsi="Symbol"/>
          <w:sz w:val="18"/>
        </w:rPr>
        <w:t>·</w:t>
      </w:r>
      <w:r>
        <w:tab/>
      </w:r>
      <w:r>
        <w:rPr>
          <w:b/>
        </w:rPr>
        <w:t xml:space="preserve">[2] </w:t>
      </w:r>
      <w:r>
        <w:t xml:space="preserve">Open Source Geospatial Foundation. (2023). GDAL/OGR Geospatial Data Abstraction software Library. GDAL documentation.</w:t>
      </w:r>
    </w:p>
    <w:p>
      <w:pPr>
        <w:ind w:left="440" w:hanging="220"/>
        <w:spacing w:after="80" w:line="240" w:lineRule="auto"/>
        <w:jc w:val="both"/>
      </w:pPr>
      <w:r>
        <w:rPr>
          <w:rFonts w:ascii="Symbol" w:hAnsi="Symbol"/>
          <w:sz w:val="18"/>
        </w:rPr>
        <w:t>·</w:t>
      </w:r>
      <w:r>
        <w:tab/>
      </w:r>
      <w:r>
        <w:rPr>
          <w:b/>
        </w:rPr>
        <w:t xml:space="preserve">[3] </w:t>
      </w:r>
      <w:r>
        <w:t xml:space="preserve">Lewis, J. P. (1995). Fast Normalized Cross-Correlation. Vision Interface, 120-123.</w:t>
      </w:r>
    </w:p>
    <w:p>
      <w:pPr>
        <w:ind w:left="440" w:hanging="220"/>
        <w:spacing w:after="80" w:line="240" w:lineRule="auto"/>
        <w:jc w:val="both"/>
      </w:pPr>
      <w:r>
        <w:rPr>
          <w:rFonts w:ascii="Symbol" w:hAnsi="Symbol"/>
          <w:sz w:val="18"/>
        </w:rPr>
        <w:t>·</w:t>
      </w:r>
      <w:r>
        <w:tab/>
      </w:r>
      <w:r>
        <w:rPr>
          <w:b/>
        </w:rPr>
        <w:t xml:space="preserve">[4] </w:t>
      </w:r>
      <w:r>
        <w:t xml:space="preserve">Gillies, S. et al. (2019). Rasterio: geospatial raster I/O for Python programmers.</w:t>
      </w:r>
    </w:p>
    <w:sectPr>
      <w:pgSz w:w="12240" w:h="15840"/>
      <!-- Letter size -->
      <w:pgMar w:top="1440" w:right="1440" w:bottom="1440" w:left="1440" w:header="720" w:footer="720" w:gutter="0"/>
    </w:sectPr>
  </w:body>
</w:document>
</file>

<file path=word/styles.xml><?xml version="1.0" encoding="utf-8"?>
<w:styles xmlns:w="http://schemas.openxmlformats.org/wordprocessingml/2006/main" xmlns:m="http://schemas.openxmlformats.org/officeDocument/2006/math">
  <w:docDefaults>
    <w:rPrDefault>
      <w:rPr>
        <w:rFonts w:ascii="Cambria" w:hAnsi="Cambria" w:cs="Cambria"/>
        <w:sz w:val="21"/>
        <!-- 10.5 pt typical of academic papers -->
        <w:color w:val="1A1A1A"/>
      </w:rPr>
    </w:rPrDefault>
    <w:pPrDefault>
      <w:pPr>
        <w:spacing w:line="260" w:lineRule="auto" w:after="140"/>
        <w:jc w:val="both"/>
      </w:pPr>
    </w:pPrDefault>
  </w:docDefaults>
  <!-- Paper Title -->
  <w:style w:type="paragraph" w:styleId="PaperTitle" w:customStyle="1">
    <w:name w:val="Paper Title"/>
    <w:pPr>
      <w:jc w:val="center"/>
      <w:spacing w:before="200" w:after="160"/>
    </w:pPr>
    <w:rPr>
      <w:rFonts w:ascii="Cambria" w:hAnsi="Cambria"/>
      <w:b/>
      <w:sz w:val="38"/>
      <!-- 19 pt -->
      <w:color w:val="0F294A"/>
    </w:rPr>
  </w:style>
  <!-- Authors -->
  <w:style w:type="paragraph" w:styleId="PaperAuthors" w:customStyle="1">
    <w:name w:val="Paper Authors"/>
    <w:pPr>
      <w:jc w:val="center"/>
      <w:spacing w:before="0" w:after="60"/>
    </w:pPr>
    <w:rPr>
      <w:sz w:val="22"/>
      <w:b/>
      <w:color w:val="2C3E50"/>
    </w:rPr>
  </w:style>
  <!-- Affiliation -->
  <w:style w:type="paragraph" w:styleId="PaperAffiliation" w:customStyle="1">
    <w:name w:val="Paper Affiliation"/>
    <w:pPr>
      <w:jc w:val="center"/>
      <w:spacing w:before="0" w:after="240"/>
    </w:pPr>
    <w:rPr>
      <w:sz w:val="18"/>
      <w:i/>
      <w:color w:val="566573"/>
    </w:rPr>
  </w:style>
  <!-- Abstract Heading -->
  <w:style w:type="paragraph" w:styleId="AbstractHead" w:customStyle="1">
    <w:name w:val="Abstract Head"/>
    <w:pPr>
      <w:jc w:val="center"/>
      <w:spacing w:before="160" w:after="60"/>
    </w:pPr>
    <w:rPr>
      <w:rFonts w:ascii="Cambria" w:hAnsi="Cambria"/>
      <w:b/>
      <w:sz w:val="20"/>
      <w:caps/>
      <w:color w:val="1B2631"/>
    </w:rPr>
  </w:style>
  <!-- Abstract Body -->
  <w:style w:type="paragraph" w:styleId="AbstractBody" w:customStyle="1">
    <w:name w:val="Abstract Body"/>
    <w:pPr>
      <w:ind w:left="480" w:right="480"/>
      <w:spacing w:line="240" w:lineRule="auto" w:after="160"/>
      <w:jc w:val="both"/>
    </w:pPr>
    <w:rPr>
      <w:rFonts w:ascii="Cambria" w:hAnsi="Cambria"/>
      <w:sz w:val="19"/>
      <w:color w:val="212F3D"/>
    </w:rPr>
  </w:style>
  <!-- Section Headings -->
  <w:style w:type="paragraph" w:styleId="Heading1">
    <w:name w:val="heading 1"/>
    <w:pPr>
      <w:spacing w:before="320" w:after="120"/>
      <w:jc w:val="left"/>
    </w:pPr>
    <w:rPr>
      <w:rFonts w:ascii="Cambria" w:hAnsi="Cambria"/>
      <w:b/>
      <w:sz w:val="26"/>
      <!-- 13 pt -->
      <w:color w:val="0F294A"/>
    </w:rPr>
  </w:style>
  <w:style w:type="paragraph" w:styleId="Heading2">
    <w:name w:val="heading 2"/>
    <w:pPr>
      <w:spacing w:before="220" w:after="80"/>
      <w:jc w:val="left"/>
    </w:pPr>
    <w:rPr>
      <w:rFonts w:ascii="Cambria" w:hAnsi="Cambria"/>
      <w:b/>
      <w:i/>
      <w:sz w:val="22"/>
      <!-- 11 pt -->
      <w:color w:val="1B4F72"/>
    </w:rPr>
  </w:style>
  <w:style w:type="paragraph" w:styleId="Heading3">
    <w:name w:val="heading 3"/>
    <w:pPr>
      <w:spacing w:before="160" w:after="60"/>
      <w:jc w:val="left"/>
    </w:pPr>
    <w:rPr>
      <w:rFonts w:ascii="Cambria" w:hAnsi="Cambria"/>
      <w:b/>
      <w:sz w:val="20"/>
      <w:color w:val="2874A6"/>
    </w:rPr>
  </w:style>
  <!-- Paper Block Quote / Note -->
  <w:style w:type="paragraph" w:styleId="PaperCallout" w:customStyle="1">
    <w:name w:val="Paper Callout"/>
    <w:pPr>
      <w:spacing w:before="100" w:after="100" w:line="240" w:lineRule="auto"/>
      <w:ind w:left="360" w:right="360"/>
      <w:shd w:val="clear" w:color="auto" w:fill="F4F6F7"/>
      <w:pBdr>
        <w:left w:val="single" w:sz="18" w:space="8" w:color="2E86C1"/>
      </w:pBdr>
    </w:pPr>
    <w:rPr>
      <w:sz w:val="19"/>
      <w:color w:val="1B2631"/>
    </w:rPr>
  </w:style>
  <!-- Code / Algorithm style -->
  <w:style w:type="paragraph" w:styleId="AlgoStyle" w:customStyle="1">
    <w:name w:val="AlgoStyle"/>
    <w:pPr>
      <w:spacing w:before="40" w:after="40" w:line="220" w:lineRule="auto"/>
      <w:ind w:left="400" w:right="400"/>
      <w:shd w:val="clear" w:color="auto" w:fill="F8F9F9"/>
      <w:pBdr>
        <w:left w:val="single" w:sz="12" w:space="6" w:color="BDC3C7"/>
      </w:pBdr>
    </w:pPr>
    <w:rPr>
      <w:rFonts w:ascii="Consolas" w:hAnsi="Consolas" w:cs="Consolas"/>
      <w:sz w:val="18"/>
      <w:color w:val="17202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