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Editors of Nature Methods,</w:t>
      </w:r>
    </w:p>
    <w:p/>
    <w:p>
      <w:r>
        <w:t>We submit for your consideration our manuscript entitled 'Rank-based pathway scoring methods can invert biological signal under gene competition: a benchmark of five methods across four tissues.'</w:t>
      </w:r>
    </w:p>
    <w:p>
      <w:r>
        <w:t>Pseudobulk pathway activity scoring is ubiquitous in single-cell transcriptomics, yet users choose among scoring methods without systematic guidance. Our study makes three contributions to the field:</w:t>
      </w:r>
    </w:p>
    <w:p>
      <w:r>
        <w:t>1. A novel mechanistic finding: We demonstrate that rank-based methods (AUCell, UCell) can systematically invert disease-vs-control direction when non-pathway genes are upregulated more strongly — an effect we term 'rank-window competition.' In controlled simulations, AUCell's Cohen's d flipped sign while magnitude-based methods maintained correct detection. In real chronic kidney disease data, this led AUCell and UCell to report ECM remodeling as unchanged/downregulated when three other methods correctly detected upregulation.</w:t>
      </w:r>
    </w:p>
    <w:p>
      <w:r>
        <w:t>2. Scale: Our benchmark encompasses 4.3 million cells from 682 donors across eight disease datasets (CKD, SLE, COVID-19 lung/blood, IPF, Alzheimer's, Parkinson's, DCM) from CellxGene Census, with rigorous data provenance and pinned census version for reproducibility.</w:t>
      </w:r>
    </w:p>
    <w:p>
      <w:r>
        <w:t>3. Public infrastructure: We provide a fully reproducible Snakemake pipeline, an interactive Streamlit advisor app (https://pathwaybench-xrdxczzdpeahvcinxwbrcq.streamlit.app), and all data on Zenodo, enabling researchers to apply our findings to their own datasets.</w:t>
      </w:r>
    </w:p>
    <w:p>
      <w:r>
        <w:t>We believe this work is well suited for Nature Methods as an Analysis article because it identifies a previously unreported failure mode of widely used tools, provides actionable guidance for the community, and sets a new standard for pathway scoring benchmarks in the single-cell era.</w:t>
      </w:r>
    </w:p>
    <w:p>
      <w:r>
        <w:t>All authors have approved the manuscript. No conflicts of interest exist.</w:t>
      </w:r>
    </w:p>
    <w:p/>
    <w:p>
      <w:r>
        <w:t>Sincerely,</w:t>
      </w:r>
    </w:p>
    <w:p>
      <w:r>
        <w:t>Fadhl M. Alakwaa, Ph.D.</w:t>
      </w:r>
    </w:p>
    <w:p>
      <w:r>
        <w:t>Division of Nephrology, Department of Internal Medicine</w:t>
        <w:br/>
        <w:t>University of Michigan, Ann Arbor, MI 48109</w:t>
        <w:br/>
        <w:t>alakwaaf@umich.edu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