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قتل الشاهد</w:t>
      </w:r>
    </w:p>
    <w:p>
      <w:pPr>
        <w:spacing w:after="240"/>
        <w:jc w:val="center"/>
      </w:pPr>
      <w:r>
        <w:rPr>
          <w:i/>
          <w:iCs/>
          <w:color w:val="C9A84C"/>
          <w:sz w:val="36"/>
          <w:szCs w:val="36"/>
        </w:rPr>
        <w:t xml:space="preserve">Killing the Witness</w:t>
      </w:r>
    </w:p>
    <w:p>
      <w:pPr>
        <w:bidi/>
        <w:spacing w:after="800"/>
        <w:jc w:val="center"/>
      </w:pPr>
      <w:r>
        <w:rPr>
          <w:color w:val="666666"/>
          <w:sz w:val="26"/>
          <w:szCs w:val="26"/>
          <w:rtl/>
        </w:rPr>
        <w:t xml:space="preserve">الصحفيون وعمال الإغاثة ومنظمات المجتمع المدني الذين قُتلوا في غزة</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إسماعيل الغول وعصام عبدالله وكل صحفي بقي ليشهد فدفع حياته ثمناً للحقيقة — أسماؤكم باقية.</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الفصل الأول: الشاهد الأخير — من يوثّق الحرب؟</w:t>
      </w:r>
    </w:p>
    <w:p>
      <w:pPr>
        <w:bidi/>
        <w:spacing w:after="160"/>
        <w:jc w:val="start"/>
      </w:pPr>
      <w:r>
        <w:rPr>
          <w:sz w:val="24"/>
          <w:szCs w:val="24"/>
          <w:rtl/>
        </w:rPr>
        <w:t xml:space="preserve">&gt; ﴿وَلَا تَحْسَبَنَّ اللَّهَ غَافِلًا عَمَّا يَعْمَلُ الظَّالِمُونَ إِنَّمَا يُؤَخِّرُهُمْ لِيَوْمٍ تَشْخَصُ فِيهِ الْأَبْصَارُ﴾ — إبراهيم: ٤٢</w:t>
      </w:r>
    </w:p>
    <w:p>
      <w:pPr>
        <w:bidi/>
        <w:spacing w:after="160"/>
        <w:jc w:val="start"/>
      </w:pPr>
      <w:r>
        <w:rPr>
          <w:sz w:val="24"/>
          <w:szCs w:val="24"/>
          <w:rtl/>
        </w:rPr>
        <w:t xml:space="preserve">## الصحفي بوصفه شاهداً قانونياً</w:t>
      </w:r>
    </w:p>
    <w:p>
      <w:pPr>
        <w:bidi/>
        <w:spacing w:after="160"/>
        <w:jc w:val="start"/>
      </w:pPr>
      <w:r>
        <w:rPr>
          <w:sz w:val="24"/>
          <w:szCs w:val="24"/>
          <w:rtl/>
        </w:rPr>
        <w:t xml:space="preserve">في القانون الإنساني الدولي، الصحفي ليس طرفاً في النزاع. هو مدنيّ يحمل كاميرا أو دفتر ملاحظات أو هاتفاً، ويتحرّك في ميدان لا يحقّ لأي طرف أن يستهدفه فيه. هذا الموقع القانوني ليس امتيازاً منحته الدول للصحافة من باب الكرم؛ بل هو ضرورة جوهرية في نظام الحماية الدولي ذاته. فالقانون الذي يحظر استهداف المدنيين يحتاج إلى من يوثّق أيّ خرق له، وإلا تحوّلت قواعد لاهاي وجنيف إلى حبر على ورق.</w:t>
      </w:r>
    </w:p>
    <w:p>
      <w:pPr>
        <w:bidi/>
        <w:spacing w:after="160"/>
        <w:jc w:val="start"/>
      </w:pPr>
      <w:r>
        <w:rPr>
          <w:sz w:val="24"/>
          <w:szCs w:val="24"/>
          <w:rtl/>
        </w:rPr>
        <w:t xml:space="preserve">نصّت المادة ٧٩ من البروتوكول الإضافي الأول لاتفاقيات جنيف لعام ١٩٧٧ على أن الصحفيين الذين يقومون بمهامّ مهنية خطرة في مناطق النزاع المسلّح يُعتبرون مدنيين بالمعنى المقصود في الفقرة الأولى من المادة ٥٠ (اللجنة الدولية للصليب الأحمر، تعليق ١٩٨٧). ومعنى ذلك أن الحماية القانونية للصحفي مساوية تماماً لحماية أي مدنيّ آخر، وأن أي استهداف متعمّد له يُشكّل جريمة حرب بحسب نظام روما الأساسي للمحكمة الجنائية الدولية لعام ١٩٩٨ (المادة ٨/٢/ب/١).</w:t>
      </w:r>
    </w:p>
    <w:p>
      <w:pPr>
        <w:bidi/>
        <w:spacing w:after="160"/>
        <w:jc w:val="start"/>
      </w:pPr>
      <w:r>
        <w:rPr>
          <w:sz w:val="24"/>
          <w:szCs w:val="24"/>
          <w:rtl/>
        </w:rPr>
        <w:t xml:space="preserve">لكن الحقيقة العملية أعمق من النص. الصحفيّ في منطقة الحرب ليس مجرد مدنيّ يصادف أنه يعمل في الصحافة؛ بل هو الشاهد الذي يربط ما يحدث في الميدان بضمير العالم. حين يُقتل، تُقتل معه إمكانية أن يعرف العالم ما حدث. وهذا الإدراك هو ما جعل المنظمات الدولية، منذ تسعينيات القرن الماضي، تتعامل مع قتل الصحفيين بوصفه مؤشراً مركّباً: مؤشراً على انتهاك للقانون، ومؤشراً على نية الإفلات من المساءلة في الوقت ذاته.</w:t>
      </w:r>
    </w:p>
    <w:p>
      <w:pPr>
        <w:bidi/>
        <w:spacing w:after="160"/>
        <w:jc w:val="start"/>
      </w:pPr>
      <w:r>
        <w:rPr>
          <w:sz w:val="24"/>
          <w:szCs w:val="24"/>
          <w:rtl/>
        </w:rPr>
        <w:t xml:space="preserve">## ما هي «صحافة الشهادة»؟</w:t>
      </w:r>
    </w:p>
    <w:p>
      <w:pPr>
        <w:bidi/>
        <w:spacing w:after="160"/>
        <w:jc w:val="start"/>
      </w:pPr>
      <w:r>
        <w:rPr>
          <w:sz w:val="24"/>
          <w:szCs w:val="24"/>
          <w:rtl/>
        </w:rPr>
        <w:t xml:space="preserve">في أدبيات لجنة حماية الصحفيين (CPJ) ومنظمة مراسلون بلا حدود (RSF)، يتكرّر تعبير "Witness Journalism" أو «صحافة الشهادة». ليس مصطلحاً عاطفياً؛ بل توصيفاً مهنياً لنمط محدد من الصحافة: أن يبقى الصحفي في الميدان حين يغادر الجميع، أن يوثّق حين يُمنع التوثيق، أن يصوّر الجثة والمستشفى والمدرسة المنهارة حتى لو كان يدفع ثمن ذلك حياته. هؤلاء الصحفيون لا يُغطّون «خبر اليوم»، بل يكتبون مسوّدة التاريخ.</w:t>
      </w:r>
    </w:p>
    <w:p>
      <w:pPr>
        <w:bidi/>
        <w:spacing w:after="160"/>
        <w:jc w:val="start"/>
      </w:pPr>
      <w:r>
        <w:rPr>
          <w:sz w:val="24"/>
          <w:szCs w:val="24"/>
          <w:rtl/>
        </w:rPr>
        <w:t xml:space="preserve">في غزة، ومنذ السابع من أكتوبر ٢٠٢٣، تحوّلت «صحافة الشهادة» من مصطلح أكاديمي إلى وصف يومي لما يقوم به مئات الصحفيين الفلسطينيين. لم يعد ثمّة مراسل أجنبي يدخل بحرّية إلى القطاع — كما سنُفصّل في الفصل الثامن — وأصبح الصحفيون الفلسطينيون هم العين الوحيدة للعالم على ما يجري داخل أكثر من ثلاث مئة وستين كيلومتراً مربّعاً يحاصرها قصف يومي ونزوح متكرّر.</w:t>
      </w:r>
    </w:p>
    <w:p>
      <w:pPr>
        <w:bidi/>
        <w:spacing w:after="160"/>
        <w:jc w:val="start"/>
      </w:pPr>
      <w:r>
        <w:rPr>
          <w:sz w:val="24"/>
          <w:szCs w:val="24"/>
          <w:rtl/>
        </w:rPr>
        <w:t xml:space="preserve">## قبل السابع من أكتوبر: غزة كأخطر بقعة للصحافة في المنطقة</w:t>
      </w:r>
    </w:p>
    <w:p>
      <w:pPr>
        <w:bidi/>
        <w:spacing w:after="160"/>
        <w:jc w:val="start"/>
      </w:pPr>
      <w:r>
        <w:rPr>
          <w:sz w:val="24"/>
          <w:szCs w:val="24"/>
          <w:rtl/>
        </w:rPr>
        <w:t xml:space="preserve">من المهم تأسيس صورة دقيقة للوضع السابق على الحرب الراهنة، حتى لا يبدو ما حدث منذ أكتوبر ٢٠٢٣ وكأنه استثناء طارئ في مكان آمن. وثّقت لجنة حماية الصحفيين (CPJ) منذ عام ١٩٩٢ مقتل عشرات الصحفيين في الأراضي الفلسطينية، معظمهم في غزة. وسجّلت المنظمة قبل عام ٢٠٢٣ ثلاثة أنماط متكرّرة: قصف مباني تضم مكاتب وكالات إعلامية كبرى (كبرج الجلاء عام ٢٠٢١ الذي ضمّ مكاتب وكالة أسوشيتد برس وقناة الجزيرة)، وإصابة صحفيين يحملون شارات «PRESS» بشكل واضح، وحملات قانونية ضد الصحفيين الفلسطينيين تتضمّن الاعتقال الإداري والمنع من السفر (CPJ, تقرير "Deadly Pattern"، ٢٠٢٣).</w:t>
      </w:r>
    </w:p>
    <w:p>
      <w:pPr>
        <w:bidi/>
        <w:spacing w:after="160"/>
        <w:jc w:val="start"/>
      </w:pPr>
      <w:r>
        <w:rPr>
          <w:sz w:val="24"/>
          <w:szCs w:val="24"/>
          <w:rtl/>
        </w:rPr>
        <w:t xml:space="preserve">الجسم الإعلامي في غزة قبل أكتوبر ٢٠٢٣ كان مكوناً من ثلاث طبقات: صحفيون محليون فلسطينيون يعملون لصالح وكالات أنباء فلسطينية وقنوات تلفزيونية محلية؛ صحفيون فلسطينيون يعملون مراسلين أو منتجين أو مصوّرين لصالح وسائل إعلام دولية كرويترز ووكالة فرانس برس والوكالة الفرنسية للصحافة وقناة الجزيرة وبي بي سي وسي إن إن؛ ثم طبقة رقيقة من المراسلين الأجانب الذين كانوا يدخلون بصعوبة عبر معبر إيريز بتنسيق مع المنسّق الإسرائيلي لشؤون المناطق (COGAT). الفئتان الأوليان هما اللتان تحمّلتا العبء كاملاً منذ السابع من أكتوبر، حين أُغلق معبر إيريز ولم يُفتح للصحافة الأجنبية المستقلة.</w:t>
      </w:r>
    </w:p>
    <w:p>
      <w:pPr>
        <w:bidi/>
        <w:spacing w:after="160"/>
        <w:jc w:val="start"/>
      </w:pPr>
      <w:r>
        <w:rPr>
          <w:sz w:val="24"/>
          <w:szCs w:val="24"/>
          <w:rtl/>
        </w:rPr>
        <w:t xml:space="preserve">## المظلّة القانونية: ماذا تحمي اتفاقيات جنيف؟</w:t>
      </w:r>
    </w:p>
    <w:p>
      <w:pPr>
        <w:bidi/>
        <w:spacing w:after="160"/>
        <w:jc w:val="start"/>
      </w:pPr>
      <w:r>
        <w:rPr>
          <w:sz w:val="24"/>
          <w:szCs w:val="24"/>
          <w:rtl/>
        </w:rPr>
        <w:t xml:space="preserve">البروتوكول الإضافي الأول لاتفاقيات جنيف، الذي صادقت عليه أكثر من مئة وسبعين دولة، يحتوي على جملة من الأحكام التي تشكّل معاً مظلّة الحماية القانونية للصحفي:</w:t>
      </w:r>
    </w:p>
    <w:p>
      <w:pPr>
        <w:bidi/>
        <w:spacing w:after="160"/>
        <w:jc w:val="start"/>
      </w:pPr>
      <w:r>
        <w:rPr>
          <w:sz w:val="24"/>
          <w:szCs w:val="24"/>
          <w:rtl/>
        </w:rPr>
        <w:t xml:space="preserve">أولاً، مبدأ التمييز (المادة ٤٨): على الأطراف المتحاربة التمييز في كل وقت بين السكان المدنيين والمقاتلين، وبين الأهداف المدنية والأهداف العسكرية، وألا توجّه عملياتها إلا ضد الأهداف العسكرية.</w:t>
      </w:r>
    </w:p>
    <w:p>
      <w:pPr>
        <w:bidi/>
        <w:spacing w:after="160"/>
        <w:jc w:val="start"/>
      </w:pPr>
      <w:r>
        <w:rPr>
          <w:sz w:val="24"/>
          <w:szCs w:val="24"/>
          <w:rtl/>
        </w:rPr>
        <w:t xml:space="preserve">ثانياً، مبدأ التناسب (المادة ٥١/٥/ب): يُحظر الهجوم الذي يُتوقّع أن يُسبّب خسائر في أرواح المدنيين تُفرط في تجاوزها ما يُنتظر أن يُسفر عنه ذلك الهجوم من ميزة عسكرية ملموسة ومباشرة.</w:t>
      </w:r>
    </w:p>
    <w:p>
      <w:pPr>
        <w:bidi/>
        <w:spacing w:after="160"/>
        <w:jc w:val="start"/>
      </w:pPr>
      <w:r>
        <w:rPr>
          <w:sz w:val="24"/>
          <w:szCs w:val="24"/>
          <w:rtl/>
        </w:rPr>
        <w:t xml:space="preserve">ثالثاً، مبدأ الاحتياطات (المادة ٥٧): على الأطراف اتخاذ كل الاحتياطات المستطاعة لتجنّب الإصابات المدنية، بما في ذلك التحقّق من طبيعة الهدف، واختيار وسائل الهجوم وأساليبه التي تُقلّل الإصابات المدنية، وتعليق الهجوم أو إلغاؤه إذا تبيّن أن الهدف مدني.</w:t>
      </w:r>
    </w:p>
    <w:p>
      <w:pPr>
        <w:bidi/>
        <w:spacing w:after="160"/>
        <w:jc w:val="start"/>
      </w:pPr>
      <w:r>
        <w:rPr>
          <w:sz w:val="24"/>
          <w:szCs w:val="24"/>
          <w:rtl/>
        </w:rPr>
        <w:t xml:space="preserve">رابعاً، الحماية الخاصة للصحفيين (المادة ٧٩): الصحفيون مدنيون، وأي حماية إضافية تُقرّر لهم لا تُلغي حمايتهم الأصلية بوصفهم مدنيين.</w:t>
      </w:r>
    </w:p>
    <w:p>
      <w:pPr>
        <w:bidi/>
        <w:spacing w:after="160"/>
        <w:jc w:val="start"/>
      </w:pPr>
      <w:r>
        <w:rPr>
          <w:sz w:val="24"/>
          <w:szCs w:val="24"/>
          <w:rtl/>
        </w:rPr>
        <w:t xml:space="preserve">خامساً، حماية المنشآت المدنية (المادة ٥٢): المنشآت المدنية لا يجوز أن تكون موضوع هجوم، ومنها مكاتب وسائل الإعلام ومنازل الصحفيين.</w:t>
      </w:r>
    </w:p>
    <w:p>
      <w:pPr>
        <w:bidi/>
        <w:spacing w:after="160"/>
        <w:jc w:val="start"/>
      </w:pPr>
      <w:r>
        <w:rPr>
          <w:sz w:val="24"/>
          <w:szCs w:val="24"/>
          <w:rtl/>
        </w:rPr>
        <w:t xml:space="preserve">اجتماع هذه الأحكام يعني أن قتل صحفيّ مدنيّ في منطقة نزاع، إذا كان متعمّداً أو ناتجاً عن تقصير فاحش في تطبيق مبدأ الاحتياطات، يُشكّل جريمة حرب موجبة للملاحقة الجنائية الفردية. هذا الإطار هو ما تستند إليه التحقيقات اللاحقة لمحكمة العدل الدولية والمدعي العام للمحكمة الجنائية الدولية، كما سنرى في الفصلين السادس والعاشر.</w:t>
      </w:r>
    </w:p>
    <w:p>
      <w:pPr>
        <w:bidi/>
        <w:spacing w:after="160"/>
        <w:jc w:val="start"/>
      </w:pPr>
      <w:r>
        <w:rPr>
          <w:sz w:val="24"/>
          <w:szCs w:val="24"/>
          <w:rtl/>
        </w:rPr>
        <w:t xml:space="preserve">## الصحفي بوصفه «هدفاً وقائياً»</w:t>
      </w:r>
    </w:p>
    <w:p>
      <w:pPr>
        <w:bidi/>
        <w:spacing w:after="160"/>
        <w:jc w:val="start"/>
      </w:pPr>
      <w:r>
        <w:rPr>
          <w:sz w:val="24"/>
          <w:szCs w:val="24"/>
          <w:rtl/>
        </w:rPr>
        <w:t xml:space="preserve">ثمّة منطق ضمنيّ في كل نزاع مسلّح يخصّ الصحافة: الطرف الذي يخسر في معركة الصورة يميل إلى محاولة إخراج الصورة من المعادلة. هذا المنطق ليس جديداً ولا مقتصراً على نزاع بعينه. وثّقت منظمة "Article 19" في تقريرها لعام ٢٠٢٢ أن سبعاً وثمانين دولة في العقد الأخير شنّت حملات منهجية لتقييد التوثيق المستقل في مناطق النزاعات أو التظاهرات. لكن «التقييد» شيء، و«الاستهداف الميداني المباشر» شيء آخر. وما يجعل الحالة في غزة فريدة، كما سنرى في الفصل الثاني عبر الأرقام وفي الفصل التاسع عبر المقارنة التاريخية، هو أن نمط الاستهداف فيها لا يقتصر على المنع، بل يتعدّاه إلى ما تصفه منظمات الرقابة بأنه «استهداف منهجي» يطال الصحفي وذويه ومكتبه.</w:t>
      </w:r>
    </w:p>
    <w:p>
      <w:pPr>
        <w:bidi/>
        <w:spacing w:after="160"/>
        <w:jc w:val="start"/>
      </w:pPr>
      <w:r>
        <w:rPr>
          <w:sz w:val="24"/>
          <w:szCs w:val="24"/>
          <w:rtl/>
        </w:rPr>
        <w:t xml:space="preserve">## غياب الشاهد يعني غياب القانون</w:t>
      </w:r>
    </w:p>
    <w:p>
      <w:pPr>
        <w:bidi/>
        <w:spacing w:after="160"/>
        <w:jc w:val="start"/>
      </w:pPr>
      <w:r>
        <w:rPr>
          <w:sz w:val="24"/>
          <w:szCs w:val="24"/>
          <w:rtl/>
        </w:rPr>
        <w:t xml:space="preserve">حين يُقتل مئات الصحفيين في نزاع واحد، فإن المسألة لا تُختزل في عدد الضحايا — على فداحته — بل تتمدّد إلى ما هو أبعد: تتقلّص قدرة المنظومة القانونية الدولية على وصف الواقع ابتداءً، وعلى محاسبة المتسبّبين انتهاءً. غياب الشاهد ليس فقدان معلومة؛ هو فقدان شرط من شروط القانون نفسه. القاضي يحتاج إلى إفادة، والمحكمة تحتاج إلى أدلّة، والرأي العام يحتاج إلى صورة. حين تُقتل الكاميرات، يتحوّل الميدان إلى منطقة معتمة، ويصبح الجاني هو الراوي الوحيد لما حدث.</w:t>
      </w:r>
    </w:p>
    <w:p>
      <w:pPr>
        <w:bidi/>
        <w:spacing w:after="160"/>
        <w:jc w:val="start"/>
      </w:pPr>
      <w:r>
        <w:rPr>
          <w:sz w:val="24"/>
          <w:szCs w:val="24"/>
          <w:rtl/>
        </w:rPr>
        <w:t xml:space="preserve">هذا الكتاب يحاول أن يقاوم تلك العتمة عبر التوثيق. لا يدّعي أنه «الحقيقة الكاملة»؛ فمعظم التحقيقات الميدانية لا تزال جارية، ومعظم الأرقام التي سنوردها في الفصول التالية قابلة للتحديث صعوداً مع كل أسبوع جديد. لكنه يُسجّل ما تمّ توثيقه حتى الآن من قِبَل أكثر المنظمات حذراً ومهنية في هذا المجال: لجنة حماية الصحفيين، ومنظمة مراسلون بلا حدود، ومكتب الأمم المتحدة لتنسيق الشؤون الإنسانية، وهيومن رايتس ووتش، ومنظمة العفو الدولية. وحين يُقدّم هذا الكتاب رقماً، فإنه يُسمّي مصدره. وحين يكون الرقم متنازَعاً عليه، يقول ذلك صراحة.</w:t>
      </w:r>
    </w:p>
    <w:p>
      <w:pPr>
        <w:bidi/>
        <w:spacing w:after="160"/>
        <w:jc w:val="start"/>
      </w:pPr>
      <w:r>
        <w:rPr>
          <w:sz w:val="24"/>
          <w:szCs w:val="24"/>
          <w:rtl/>
        </w:rPr>
        <w:t xml:space="preserve">## بنية هذا الكتاب</w:t>
      </w:r>
    </w:p>
    <w:p>
      <w:pPr>
        <w:bidi/>
        <w:spacing w:after="160"/>
        <w:jc w:val="start"/>
      </w:pPr>
      <w:r>
        <w:rPr>
          <w:sz w:val="24"/>
          <w:szCs w:val="24"/>
          <w:rtl/>
        </w:rPr>
        <w:t xml:space="preserve">سيتدرّج البحث من الإطار العام إلى التفصيل، ثم يعود إلى الإطار العام مرة أخرى. الفصل الثاني سيقدّم الأرقام كما وثّقتها كل منظمة من المنظمات الكبرى، مع المقارنات التاريخية. الفصل الثالث سيستعرض أسماء بعينها، لأن الأسماء — كما يقول السطر الافتتاحي للنشيد القومي البولندي — «هي ما يبقى». الفصل الرابع يتناول العاملين في الإغاثة، الذين يندرجون قانونياً تحت مظلّة حماية مماثلة. الفصل الخامس يتوسّع إلى المجتمع المدني الأشمل: المحامين والأطباء والأكاديميين. الفصل السادس يدخل في المسألة الأصعب: متى يكون الفعل «متعمّداً» بالمعنى القانوني؟ الفصل السابع يستعرض ما توصّلت إليه التحقيقات المستقلة المنشورة حتى الآن. الفصل الثامن يدرس ظاهرة منع الوصول الإعلامي. الفصل التاسع يضع غزة في سياقها التاريخي المقارن. الفصل العاشر يفحص الاستجابة الدولية القانونية والسياسية. الفصل الحادي عشر يختم بتأمّل في الذاكرة والمسؤولية.</w:t>
      </w:r>
    </w:p>
    <w:p>
      <w:pPr>
        <w:bidi/>
        <w:spacing w:after="160"/>
        <w:jc w:val="start"/>
      </w:pPr>
      <w:r>
        <w:rPr>
          <w:sz w:val="24"/>
          <w:szCs w:val="24"/>
          <w:rtl/>
        </w:rPr>
        <w:t xml:space="preserve">أمّا منهجنا في كل فصل فهو واحد: لا ندّعي علماً ليس لنا به علم، ولا نُسكت ما تكفّلت أرقام المنظمات الدولية بإثباته. نبدأ من حيث انتهى التوثيق المتاح، ونرسم خريطة الفجوات لمن يأتي بعدنا ليُكمل ما لم نستطع إكماله. والله من وراء القصد.</w:t>
      </w:r>
    </w:p>
    <w:p>
      <w:r>
        <w:br w:type="page"/>
      </w:r>
    </w:p>
    <w:p>
      <w:pPr>
        <w:bidi/>
        <w:spacing w:after="360" w:before="600"/>
        <w:jc w:val="center"/>
      </w:pPr>
      <w:r>
        <w:rPr>
          <w:b/>
          <w:bCs/>
          <w:color w:val="1B3A5C"/>
          <w:sz w:val="36"/>
          <w:szCs w:val="36"/>
          <w:rtl/>
        </w:rPr>
        <w:t xml:space="preserve">الفصل الثاني: الأرقام — الإحصاءات الموثّقة</w:t>
      </w:r>
    </w:p>
    <w:p>
      <w:pPr>
        <w:bidi/>
        <w:spacing w:after="160"/>
        <w:jc w:val="start"/>
      </w:pPr>
      <w:r>
        <w:rPr>
          <w:sz w:val="24"/>
          <w:szCs w:val="24"/>
          <w:rtl/>
        </w:rPr>
        <w:t xml:space="preserve">&gt; ﴿وَمَن يَقْتُلْ مُؤْمِنًا مُّتَعَمِّدًا فَجَزَاؤُهُ جَهَنَّمُ خَالِدًا فِيهَا وَغَضِبَ اللَّهُ عَلَيْهِ وَلَعَنَهُ وَأَعَدَّ لَهُ عَذَابًا عَظِيمًا﴾ — النساء: ٩٣</w:t>
      </w:r>
    </w:p>
    <w:p>
      <w:pPr>
        <w:bidi/>
        <w:spacing w:after="160"/>
        <w:jc w:val="start"/>
      </w:pPr>
      <w:r>
        <w:rPr>
          <w:sz w:val="24"/>
          <w:szCs w:val="24"/>
          <w:rtl/>
        </w:rPr>
        <w:t xml:space="preserve">## الرقم الذي لم يُسبق</w:t>
      </w:r>
    </w:p>
    <w:p>
      <w:pPr>
        <w:bidi/>
        <w:spacing w:after="160"/>
        <w:jc w:val="start"/>
      </w:pPr>
      <w:r>
        <w:rPr>
          <w:sz w:val="24"/>
          <w:szCs w:val="24"/>
          <w:rtl/>
        </w:rPr>
        <w:t xml:space="preserve">في إحصاءات لجنة حماية الصحفيين (CPJ) المنشورة في تقاريرها الدورية حتى منتصف عام ٢٠٢٥، تجاوز عدد الصحفيين والعاملين في المجال الإعلامي الذين قُتلوا في غزة منذ السابع من أكتوبر ٢٠٢٣ ما يقارب مئة وسبعة وثلاثين صحفياً (CPJ, "Journalist Casualties in the Israel-Gaza War", آخر تحديث ٢٠٢٥). تتضمّن هذه الإحصائية ما يفي بمعايير CPJ الصارمة في توثيق وفاة الصحفي، والتي سنتناولها لاحقاً في هذا الفصل. وقد أعلنت المنظمة، التي تُسجّل وفيات الصحفيين منذ عام ١٩٩٢، أن هذا النزاع هو الأكثر دموية للصحفيين في تاريخها الموثّق كاملاً.</w:t>
      </w:r>
    </w:p>
    <w:p>
      <w:pPr>
        <w:bidi/>
        <w:spacing w:after="160"/>
        <w:jc w:val="start"/>
      </w:pPr>
      <w:r>
        <w:rPr>
          <w:sz w:val="24"/>
          <w:szCs w:val="24"/>
          <w:rtl/>
        </w:rPr>
        <w:t xml:space="preserve">أمّا منظمة مراسلون بلا حدود (RSF) التي تعتمد منهجية مختلفة قليلاً وتُدرج بعض الحالات التي لا تُدرجها CPJ، فقد سجّلت رقماً يتجاوز مئة وخمسين حالة وفاة في صفوف الصحفيين خلال الفترة ذاتها (RSF, تقرير "Round-up 2024"). الفارق بين الرقمين لا يعكس خلافاً جوهرياً، بل يعكس اختلافاً في التعريف: من يُعدّ «صحفياً» محترفاً؟ ومن يُعدّ «عاملاً في المجال الإعلامي» (Media worker) بمعناه الأشمل الذي يضمّ المصوّرين والفنّيين وسائقي السيارات الإعلامية؟</w:t>
      </w:r>
    </w:p>
    <w:p>
      <w:pPr>
        <w:bidi/>
        <w:spacing w:after="160"/>
        <w:jc w:val="start"/>
      </w:pPr>
      <w:r>
        <w:rPr>
          <w:sz w:val="24"/>
          <w:szCs w:val="24"/>
          <w:rtl/>
        </w:rPr>
        <w:t xml:space="preserve">## ما الذي يجعل رقماً «موثّقاً»؟</w:t>
      </w:r>
    </w:p>
    <w:p>
      <w:pPr>
        <w:bidi/>
        <w:spacing w:after="160"/>
        <w:jc w:val="start"/>
      </w:pPr>
      <w:r>
        <w:rPr>
          <w:sz w:val="24"/>
          <w:szCs w:val="24"/>
          <w:rtl/>
        </w:rPr>
        <w:t xml:space="preserve">لفهم وزن الأرقام التي نتعامل معها في هذا الكتاب، لا بدّ من فهم منهجية التوثيق التي تتّبعها CPJ. فهذه المنظمة لا تُضيف أي اسم إلى قائمتها بمجرّد ورود تقرير وفاة. الإجراء الموثّق علناً على موقعها الإلكتروني يقتضي ما يلي:</w:t>
      </w:r>
    </w:p>
    <w:p>
      <w:pPr>
        <w:bidi/>
        <w:spacing w:after="160"/>
        <w:jc w:val="start"/>
      </w:pPr>
      <w:r>
        <w:rPr>
          <w:sz w:val="24"/>
          <w:szCs w:val="24"/>
          <w:rtl/>
        </w:rPr>
        <w:t xml:space="preserve">أولاً، التحقّق من هوية الضحية بوصفه صحفياً. يشمل ذلك مراسلين، ومحرّرين، ومصوّرين، ومنتجين، ومذيعين، ومدوّنين بالفيديو، ومخرجين وثائقيين. ولا تشمل القائمة العاملين في الجوانب الإدارية البحتة في المؤسسة الإعلامية.</w:t>
      </w:r>
    </w:p>
    <w:p>
      <w:pPr>
        <w:bidi/>
        <w:spacing w:after="160"/>
        <w:jc w:val="start"/>
      </w:pPr>
      <w:r>
        <w:rPr>
          <w:sz w:val="24"/>
          <w:szCs w:val="24"/>
          <w:rtl/>
        </w:rPr>
        <w:t xml:space="preserve">ثانياً، التحقّق من الصلة المباشرة بين الوفاة والعمل الصحفي. تُصنّف CPJ الوفاة على أنها «ناتجة عن العمل الصحفي» إذا قُتل الصحفي ضمن واحد من الأنماط الآتية: استهداف مباشر بسبب عمله، نار متبادَلة في تغطية أحداث، مهمّة خطرة (تغطية احتجاج أو قصف أو غارة).</w:t>
      </w:r>
    </w:p>
    <w:p>
      <w:pPr>
        <w:bidi/>
        <w:spacing w:after="160"/>
        <w:jc w:val="start"/>
      </w:pPr>
      <w:r>
        <w:rPr>
          <w:sz w:val="24"/>
          <w:szCs w:val="24"/>
          <w:rtl/>
        </w:rPr>
        <w:t xml:space="preserve">ثالثاً، توافر مصدرَين مستقلَّين على الأقل لكل حالة: مصدر مهني (مؤسسة إعلامية أو نقابة صحفيين)، ومصدر ميداني (شاهد أو تقرير منظمة محلية).</w:t>
      </w:r>
    </w:p>
    <w:p>
      <w:pPr>
        <w:bidi/>
        <w:spacing w:after="160"/>
        <w:jc w:val="start"/>
      </w:pPr>
      <w:r>
        <w:rPr>
          <w:sz w:val="24"/>
          <w:szCs w:val="24"/>
          <w:rtl/>
        </w:rPr>
        <w:t xml:space="preserve">رابعاً، تصنيف منفصل للحالات التي تكون فيها الصلة بين الوفاة والعمل الصحفي «غير مؤكّدة» (Unconfirmed)، وتُدرج هذه في قسم خاص حتى تكتمل الأدلّة.</w:t>
      </w:r>
    </w:p>
    <w:p>
      <w:pPr>
        <w:bidi/>
        <w:spacing w:after="160"/>
        <w:jc w:val="start"/>
      </w:pPr>
      <w:r>
        <w:rPr>
          <w:sz w:val="24"/>
          <w:szCs w:val="24"/>
          <w:rtl/>
        </w:rPr>
        <w:t xml:space="preserve">هذا الإجراء يعني أن رقم CPJ هو في الغالب رقم «أدنى» (Lower bound) لا «أعلى». الأرقام المتداولة من نقابة الصحفيين الفلسطينيين، التي لا تعمل بالشروط الإجرائية ذاتها، تتجاوز مئتين وعشرين صحفياً (نقابة الصحفيين الفلسطينيين، بياناتها الرسمية ٢٠٢٥). الفارق هنا جوهري للقارئ المهتم بالدقة: الرقم المنخفض الموثّق دولياً (١٣٧+) أكثر مهنية في التوثيق، لكن الرقم الفلسطيني الأعلى قد يكون أقرب إلى الواقع الميداني الفعلي ريثما تكتمل التحقيقات.</w:t>
      </w:r>
    </w:p>
    <w:p>
      <w:pPr>
        <w:bidi/>
        <w:spacing w:after="160"/>
        <w:jc w:val="start"/>
      </w:pPr>
      <w:r>
        <w:rPr>
          <w:sz w:val="24"/>
          <w:szCs w:val="24"/>
          <w:rtl/>
        </w:rPr>
        <w:t xml:space="preserve">## أرقام المقارنة التاريخية</w:t>
      </w:r>
    </w:p>
    <w:p>
      <w:pPr>
        <w:bidi/>
        <w:spacing w:after="160"/>
        <w:jc w:val="start"/>
      </w:pPr>
      <w:r>
        <w:rPr>
          <w:sz w:val="24"/>
          <w:szCs w:val="24"/>
          <w:rtl/>
        </w:rPr>
        <w:t xml:space="preserve">ليس ثمّة طريقة لفهم استثنائية الوضع في غزة من دون وضعه على سُلّم تاريخيّ. لجنة حماية الصحفيين تحتفظ بأرشيف منذ عام ١٩٩٢. والأرقام التي تُتيحها على موقعها هي:</w:t>
      </w:r>
    </w:p>
    <w:p>
      <w:pPr>
        <w:bidi/>
        <w:spacing w:after="160"/>
        <w:jc w:val="start"/>
      </w:pPr>
      <w:r>
        <w:rPr>
          <w:sz w:val="24"/>
          <w:szCs w:val="24"/>
          <w:rtl/>
        </w:rPr>
        <w:t xml:space="preserve">- حرب فيتنام (الفترة الموثّقة جزئياً، إذ بدأت قبل تأسيس CPJ): يُقدّر عدد الصحفيين الذين قُتلوا بحدود ستة وستين صحفياً على مدى أكثر من عقدَين من النزاع (مصادر ثانوية، منها متحف Newseum سابقاً). - حرب العراق (٢٠٠٣–٢٠١١، مع امتدادات): قتلت CPJ على أرضها مئتين وثلاثين صحفياً ضمن فترة الذروة، وهو ما كان يُعدّ حتى عام ٢٠٢٣ أعلى حصيلة في نزاع منفرد (CPJ, تقارير سنوية ٢٠٠٣–٢٠١١). - النزاع السوري (٢٠١١–٢٠٢٤): مئة وخمسة وخمسون صحفياً قتلوا على مدى أكثر من عقد ونصف (CPJ, "Syria Journalist Casualties"). - النزاع المكسيكي ضد المخدرات (٢٠٠٦–مستمر): يُعدّ من أخطر السياقات للصحافة، بوفيات تتراوح بين خمسة وعشرة صحفيين سنوياً.</w:t>
      </w:r>
    </w:p>
    <w:p>
      <w:pPr>
        <w:bidi/>
        <w:spacing w:after="160"/>
        <w:jc w:val="start"/>
      </w:pPr>
      <w:r>
        <w:rPr>
          <w:sz w:val="24"/>
          <w:szCs w:val="24"/>
          <w:rtl/>
        </w:rPr>
        <w:t xml:space="preserve">ضع غزة (مئة وسبعة وثلاثون صحفياً في ثمانية عشر إلى عشرين شهراً) أمام هذه الأرقام، تجد المعدّل الشهري في غزة يفوق أيّ نزاع سابق سجّلته CPJ. حرب العراق، التي كانت المعيار التاريخي للخطورة، فقدت في ذروتها نحو صحفي كل شهر. غزة فقدت في المتوسط بين سبعة وعشرة صحفيين شهرياً. هذا الفارق ليس فارقاً كميّاً في النسبة فحسب؛ إنه فارق في الطبيعة الإحصائية للظاهرة ذاتها.</w:t>
      </w:r>
    </w:p>
    <w:p>
      <w:pPr>
        <w:bidi/>
        <w:spacing w:after="160"/>
        <w:jc w:val="start"/>
      </w:pPr>
      <w:r>
        <w:rPr>
          <w:sz w:val="24"/>
          <w:szCs w:val="24"/>
          <w:rtl/>
        </w:rPr>
        <w:t xml:space="preserve">## العاملون في الإغاثة: حصيلة الأمم المتحدة</w:t>
      </w:r>
    </w:p>
    <w:p>
      <w:pPr>
        <w:bidi/>
        <w:spacing w:after="160"/>
        <w:jc w:val="start"/>
      </w:pPr>
      <w:r>
        <w:rPr>
          <w:sz w:val="24"/>
          <w:szCs w:val="24"/>
          <w:rtl/>
        </w:rPr>
        <w:t xml:space="preserve">ينتقل التوثيق هنا إلى مظلّة قانونية مختلفة قليلاً، لكن تخدم الكتاب من زاوية أنّ المدنيين العاملين في الميدان الإنساني هم أيضاً تحت حماية القانون الإنساني الدولي. أرقام مكتب الأمم المتحدة لتنسيق الشؤون الإنسانية (UN OCHA) ووكالة الأونروا (UNRWA) متاحة بانتظام:</w:t>
      </w:r>
    </w:p>
    <w:p>
      <w:pPr>
        <w:bidi/>
        <w:spacing w:after="160"/>
        <w:jc w:val="start"/>
      </w:pPr>
      <w:r>
        <w:rPr>
          <w:sz w:val="24"/>
          <w:szCs w:val="24"/>
          <w:rtl/>
        </w:rPr>
        <w:t xml:space="preserve">- وفيات الموظّفين في الأمم المتحدة (الأونروا أساساً): تجاوزت مئتي وستين موظفاً منذ السابع من أكتوبر ٢٠٢٣، وقد وصف الأمين العام للأمم المتحدة أنطونيو غوتيريش هذا الرقم بأنه «أعلى عدد قتلى من العاملين في الأمم المتحدة في تاريخ المنظمة على الإطلاق» (UN Press, تصريح فبراير ٢٠٢٤). - مجموع وفيات العاملين في المجال الإنساني (UN OCHA): تجاوز ثلاث مئة عامل إنساني، تشمل العاملين في وكالات الأمم المتحدة وفي منظمات دولية مثل أطباء بلا حدود، والصليب الأحمر، ومركز الإغاثة العالمي للمطبخ (WCK) (OCHA, "Aid Worker Fatalities"). - عدد الحوادث التي تستهدف المرافق الإنسانية الموثّقة من قِبَل OCHA: تجاوز ٤٠٠ حادثة قصف أو إطلاق نار طال مدارس ومستشفيات ومرافق توزيع تابعة لوكالات الإغاثة (OCHA, "Humanitarian Access Reports", ٢٠٢٤).</w:t>
      </w:r>
    </w:p>
    <w:p>
      <w:pPr>
        <w:bidi/>
        <w:spacing w:after="160"/>
        <w:jc w:val="start"/>
      </w:pPr>
      <w:r>
        <w:rPr>
          <w:sz w:val="24"/>
          <w:szCs w:val="24"/>
          <w:rtl/>
        </w:rPr>
        <w:t xml:space="preserve">ضمن هذه الأرقام، حالة منفردة ستُخصّص لها فصل لاحق: الضربة على قافلة منظمة المطبخ المركزي العالمي (WCK) في الأول من أبريل ٢٠٢٤، التي قُتل فيها سبعة عاملين إنسانيين بالرغم من تنسيق مسبق وعلني مع جيش الاحتلال الإسرائيلي. أهمية هذه الحادثة الإحصائية ليست في عدد الضحايا، بل في وضوح المعطيات: المسار كان مُعتمداً، والمركبات كانت موسومة بشعارات WCK واضحة، والتنسيق كان موثّقاً عبر الرسائل النصية. حين يُقتل عاملون في الإغاثة في هذه الظروف، تكون الإحصائية وثيقة قانونية بحدّ ذاتها.</w:t>
      </w:r>
    </w:p>
    <w:p>
      <w:pPr>
        <w:bidi/>
        <w:spacing w:after="160"/>
        <w:jc w:val="start"/>
      </w:pPr>
      <w:r>
        <w:rPr>
          <w:sz w:val="24"/>
          <w:szCs w:val="24"/>
          <w:rtl/>
        </w:rPr>
        <w:t xml:space="preserve">## معايير CPJ في تصنيف «الاستهداف»</w:t>
      </w:r>
    </w:p>
    <w:p>
      <w:pPr>
        <w:bidi/>
        <w:spacing w:after="160"/>
        <w:jc w:val="start"/>
      </w:pPr>
      <w:r>
        <w:rPr>
          <w:sz w:val="24"/>
          <w:szCs w:val="24"/>
          <w:rtl/>
        </w:rPr>
        <w:t xml:space="preserve">من المهمّ التمييز بين ثلاث فئات تستخدمها CPJ في تقاريرها، لأن الخلط بينها يُفسد فهم الصورة:</w:t>
      </w:r>
    </w:p>
    <w:p>
      <w:pPr>
        <w:bidi/>
        <w:spacing w:after="160"/>
        <w:jc w:val="start"/>
      </w:pPr>
      <w:r>
        <w:rPr>
          <w:sz w:val="24"/>
          <w:szCs w:val="24"/>
          <w:rtl/>
        </w:rPr>
        <w:t xml:space="preserve">١. صحفي قُتل **ميدانياً** (Crossfire Killed): قُتل أثناء تغطية أحداث في منطقة عمليات نشطة دون أدلّة على استهداف مباشر له بصفته صحفياً.</w:t>
      </w:r>
    </w:p>
    <w:p>
      <w:pPr>
        <w:bidi/>
        <w:spacing w:after="160"/>
        <w:jc w:val="start"/>
      </w:pPr>
      <w:r>
        <w:rPr>
          <w:sz w:val="24"/>
          <w:szCs w:val="24"/>
          <w:rtl/>
        </w:rPr>
        <w:t xml:space="preserve">٢. صحفي قُتل في **مهمّة خطرة** (Dangerous Assignment): قُتل في تغطية احتجاج، أو في غارة جوية على مبنى يضمّ مكتباً إعلامياً، حيث الصلة بالعمل الصحفي قائمة لكن الاستهداف المباشر لم يُثبت.</w:t>
      </w:r>
    </w:p>
    <w:p>
      <w:pPr>
        <w:bidi/>
        <w:spacing w:after="160"/>
        <w:jc w:val="start"/>
      </w:pPr>
      <w:r>
        <w:rPr>
          <w:sz w:val="24"/>
          <w:szCs w:val="24"/>
          <w:rtl/>
        </w:rPr>
        <w:t xml:space="preserve">٣. صحفي قُتل بـ **استهداف مباشر** (Targeted Murder): توافرت أدلّة على أنه قُصد بالاستهداف بسبب عمله الصحفي. هذه الفئة هي الأخطر قانونياً لأنها ترتقي تلقائياً إلى مستوى جريمة الحرب وفق نظام روما.</w:t>
      </w:r>
    </w:p>
    <w:p>
      <w:pPr>
        <w:bidi/>
        <w:spacing w:after="160"/>
        <w:jc w:val="start"/>
      </w:pPr>
      <w:r>
        <w:rPr>
          <w:sz w:val="24"/>
          <w:szCs w:val="24"/>
          <w:rtl/>
        </w:rPr>
        <w:t xml:space="preserve">في غزة، صنّفت CPJ عدداً من الحالات (تُحصى بالعشرات) تحت الفئة الثانية، وعدداً أصغر (لكنه متزايد مع كل تحقيق جديد) تحت الفئة الثالثة. ضمن الفئة الثالثة، تبرز حالة المراسل الصحفي عصام عبد الله من رويترز، الذي قُتل في جنوب لبنان في ١٣ أكتوبر ٢٠٢٣ في حادثة استهداف موثّقة ميدانياً عبر تحقيقات مشتركة لرويترز ومنظمة هيومن رايتس ووتش ومنظمة العفو الدولية (Reuters Investigation, ٢٠٢٣؛ HRW, ٢٠٢٣؛ Amnesty International, ٢٠٢٣). وسنفصّل هذه الحالة في الفصل السادس بوصفها نموذجاً قانونياً صلباً.</w:t>
      </w:r>
    </w:p>
    <w:p>
      <w:pPr>
        <w:bidi/>
        <w:spacing w:after="160"/>
        <w:jc w:val="start"/>
      </w:pPr>
      <w:r>
        <w:rPr>
          <w:sz w:val="24"/>
          <w:szCs w:val="24"/>
          <w:rtl/>
        </w:rPr>
        <w:t xml:space="preserve">## استهداف عائلات الصحفيين: نمط إحصائي مستقلّ</w:t>
      </w:r>
    </w:p>
    <w:p>
      <w:pPr>
        <w:bidi/>
        <w:spacing w:after="160"/>
        <w:jc w:val="start"/>
      </w:pPr>
      <w:r>
        <w:rPr>
          <w:sz w:val="24"/>
          <w:szCs w:val="24"/>
          <w:rtl/>
        </w:rPr>
        <w:t xml:space="preserve">ثمّة فئة لا تظهر مباشرة في عدّاد CPJ لكنها وثّقت في تقارير منفصلة لكلّ من نقابة الصحفيين الفلسطينيين ولجنة حماية الصحفيين: فقدان عائلات الصحفيين. أبرز الحالات الموثّقة هي مقتل أبناء وزوجات صحفيين معروفين عاملين لصالح وسائل إعلام كبرى، وفي بعض الحالات وُجّهت الضربات إلى منازل العائلات بعد أن كان الصحفي قد ظهر علنياً في تغطية مادة محرجة للسلطة العسكرية الإسرائيلية. هذا النمط — إذا صحّ — ينقل الحالة من «استهداف الفرد» إلى نمط «العقوبة الجماعية» المحظورة بموجب المادة ٣٣ من اتفاقية جنيف الرابعة.</w:t>
      </w:r>
    </w:p>
    <w:p>
      <w:pPr>
        <w:bidi/>
        <w:spacing w:after="160"/>
        <w:jc w:val="start"/>
      </w:pPr>
      <w:r>
        <w:rPr>
          <w:sz w:val="24"/>
          <w:szCs w:val="24"/>
          <w:rtl/>
        </w:rPr>
        <w:t xml:space="preserve">## ماذا تعني هذه الأرقام إحصائياً؟</w:t>
      </w:r>
    </w:p>
    <w:p>
      <w:pPr>
        <w:bidi/>
        <w:spacing w:after="160"/>
        <w:jc w:val="start"/>
      </w:pPr>
      <w:r>
        <w:rPr>
          <w:sz w:val="24"/>
          <w:szCs w:val="24"/>
          <w:rtl/>
        </w:rPr>
        <w:t xml:space="preserve">من المهم إغلاق هذا الفصل بملاحظة منهجية: الأرقام تتغيّر باستمرار. أيّ رقم يُذكر في هذا الكتاب هو رقم اعتُمد في وقت كتابته، ومن المتوقّع تماماً أن يكون قد ارتفع حين تقرأ هذه السطور. إذا أردت تحديثاً لحظياً، فالموقع الرسمي للجنة حماية الصحفيين (cpj.org) يحتفظ بصفحة دائمة التحديث للنزاع، وكذلك تقارير OCHA الأسبوعية على الموقع الإلكتروني (ochaopt.org).</w:t>
      </w:r>
    </w:p>
    <w:p>
      <w:pPr>
        <w:bidi/>
        <w:spacing w:after="160"/>
        <w:jc w:val="start"/>
      </w:pPr>
      <w:r>
        <w:rPr>
          <w:sz w:val="24"/>
          <w:szCs w:val="24"/>
          <w:rtl/>
        </w:rPr>
        <w:t xml:space="preserve">ومع ذلك، فإن استقرار الاتجاه أهمّ من الرقم اللحظيّ. حين تكون كل وكالة دولية، بمنهجية مختلفة، تصل إلى الخلاصة ذاتها — أن غزة هي البقعة الأكثر دموية للصحفيين والعاملين الإنسانيين في تاريخ التوثيق المعاصر — فإن النقاش يخرج من خانة «الجدل العددي» ويدخل في خانة «الاستثنائية المُثبَتة». وهذا ما يستدعي التوسّع في الفصل التالي إلى الأسماء والوجوه التي تختفي خلف الإحصائية.</w:t>
      </w:r>
    </w:p>
    <w:p>
      <w:r>
        <w:br w:type="page"/>
      </w:r>
    </w:p>
    <w:p>
      <w:pPr>
        <w:bidi/>
        <w:spacing w:after="360" w:before="600"/>
        <w:jc w:val="center"/>
      </w:pPr>
      <w:r>
        <w:rPr>
          <w:b/>
          <w:bCs/>
          <w:color w:val="1B3A5C"/>
          <w:sz w:val="36"/>
          <w:szCs w:val="36"/>
          <w:rtl/>
        </w:rPr>
        <w:t xml:space="preserve">الفصل الثالث: الأسماء — من هم الذين قُتلوا؟</w:t>
      </w:r>
    </w:p>
    <w:p>
      <w:pPr>
        <w:bidi/>
        <w:spacing w:after="160"/>
        <w:jc w:val="start"/>
      </w:pPr>
      <w:r>
        <w:rPr>
          <w:sz w:val="24"/>
          <w:szCs w:val="24"/>
          <w:rtl/>
        </w:rPr>
        <w:t xml:space="preserve">&gt; ﴿وَلَا تَقُولُوا لِمَن يُقْتَلُ فِي سَبِيلِ اللَّهِ أَمْوَاتٌ بَلْ أَحْيَاءٌ وَلَٰكِن لَّا تَشْعُرُونَ﴾ — البقرة: ١٥٤</w:t>
      </w:r>
    </w:p>
    <w:p>
      <w:pPr>
        <w:bidi/>
        <w:spacing w:after="160"/>
        <w:jc w:val="start"/>
      </w:pPr>
      <w:r>
        <w:rPr>
          <w:sz w:val="24"/>
          <w:szCs w:val="24"/>
          <w:rtl/>
        </w:rPr>
        <w:t xml:space="preserve">## لماذا الأسماء؟</w:t>
      </w:r>
    </w:p>
    <w:p>
      <w:pPr>
        <w:bidi/>
        <w:spacing w:after="160"/>
        <w:jc w:val="start"/>
      </w:pPr>
      <w:r>
        <w:rPr>
          <w:sz w:val="24"/>
          <w:szCs w:val="24"/>
          <w:rtl/>
        </w:rPr>
        <w:t xml:space="preserve">في كل صفحة من صفحات هذا الفصل ستجد إصراراً على استدعاء الأسماء. ليس هذا تكراراً، بل هو منهج. الإحصاء يطمس، والأسماء تُعيد الإنسان إلى الإنسان. حين تُختزل الحياة في رقم ضمن سلسلة طويلة، تُسرَق منها الفردانية. وحين يُذكر الاسم، والعائلة، وقصّة العمل، والظرف الذي لقي فيه الصحفيّ حتفه — تُستردّ الكرامة التي يحاول الاستهداف نزعها قبل القتل وبعده.</w:t>
      </w:r>
    </w:p>
    <w:p>
      <w:pPr>
        <w:bidi/>
        <w:spacing w:after="160"/>
        <w:jc w:val="start"/>
      </w:pPr>
      <w:r>
        <w:rPr>
          <w:sz w:val="24"/>
          <w:szCs w:val="24"/>
          <w:rtl/>
        </w:rPr>
        <w:t xml:space="preserve">هذا الفصل لا يدّعي الإحاطة. يستحيل في كتاب بحجم محدود تقديم سيرة كاملة لمئة وسبعة وثلاثين صحفياً. ما نقدّمه هنا هو ملفّات نموذجية، اختيرت لأنها أُشبعت توثيقاً من قِبَل منظمات دولية مستقلة (CPJ, RSF, HRW, Amnesty)، ولأنها تُمثّل أنماطاً متمايزة في الاستهداف. الأسماء التي لم نذكرها ليست أقلّ أهمية؛ بل هي تنتظر باحثاً آخر يُكمل ما لم نكمله.</w:t>
      </w:r>
    </w:p>
    <w:p>
      <w:pPr>
        <w:bidi/>
        <w:spacing w:after="160"/>
        <w:jc w:val="start"/>
      </w:pPr>
      <w:r>
        <w:rPr>
          <w:sz w:val="24"/>
          <w:szCs w:val="24"/>
          <w:rtl/>
        </w:rPr>
        <w:t xml:space="preserve">## عصام عبد الله — رويترز (لبنان، ١٣ أكتوبر ٢٠٢٣)</w:t>
      </w:r>
    </w:p>
    <w:p>
      <w:pPr>
        <w:bidi/>
        <w:spacing w:after="160"/>
        <w:jc w:val="start"/>
      </w:pPr>
      <w:r>
        <w:rPr>
          <w:sz w:val="24"/>
          <w:szCs w:val="24"/>
          <w:rtl/>
        </w:rPr>
        <w:t xml:space="preserve">وإن كان عصام عبد الله قد قُتل في جنوب لبنان لا في غزة، فإن قضيّته شكّلت السابقة القانونية الأكثر أهمية في الأشهر الأولى من النزاع. كان مصوّراً لوكالة رويترز، يقف ضمن مجموعة من سبعة صحفيين معروفين دولياً، يرتدون جميعاً صدريات «PRESS» والخوذ المعدنية، عند موقع علني على تلّة قرب بلدة علما الشعب. كانت عربات الصحافة موسومة بشكل واضح بشعار «TV» الكبير على الأسطح، وبأشكال يمكن تمييزها بصرياً من ارتفاعات عالية بحسب التحقيق الذي نشرته رويترز لاحقاً (Reuters Investigation, ديسمبر ٢٠٢٣).</w:t>
      </w:r>
    </w:p>
    <w:p>
      <w:pPr>
        <w:bidi/>
        <w:spacing w:after="160"/>
        <w:jc w:val="start"/>
      </w:pPr>
      <w:r>
        <w:rPr>
          <w:sz w:val="24"/>
          <w:szCs w:val="24"/>
          <w:rtl/>
        </w:rPr>
        <w:t xml:space="preserve">في الساعة ٦:٠٢ مساءً تقريباً، أصابت قذيفة دبابة المجموعة، فاستُشهد عصام في الحال، وأُصيبت زميلته الصحفية كريستينا عاصي (وكالة فرانس برس) بجروح بالغة أدّت إلى بتر ساقها. التحقيقات اللاحقة المشتركة لرويترز وهيومن رايتس ووتش ومنظمة العفو الدولية، باستخدام تحليل الذخيرة وفحص الفيديو والمقارنة مع صور الأقمار الصناعية، وصلت إلى خلاصات متطابقة: القذيفة أُطلقت من جهة الحدود الإسرائيلية، من نوع ١٢٠ ملم تستخدمه المركبات المدرّعة الإسرائيلية، والوحدة المُطلقة كانت في موقع يسمح برؤية مباشرة للمجموعة الصحفية. خَلصت كل من HRW وAmnesty إلى أن «الأدلّة تشير إلى استهداف متعمّد» (HRW, "Lebanon: Israeli Strike Killing Reuters Journalist Apparent War Crime", ديسمبر ٢٠٢٣).</w:t>
      </w:r>
    </w:p>
    <w:p>
      <w:pPr>
        <w:bidi/>
        <w:spacing w:after="160"/>
        <w:jc w:val="start"/>
      </w:pPr>
      <w:r>
        <w:rPr>
          <w:sz w:val="24"/>
          <w:szCs w:val="24"/>
          <w:rtl/>
        </w:rPr>
        <w:t xml:space="preserve">أهمية حالة عصام لا تقتصر على وضوحها الميداني، بل في كونها وثيقة محورية في تأسيس إطار قانوني لكلّ ما تلاها. فقد طالبت رويترز رسمياً بفتح تحقيق دولي مستقلّ، وقدّمت منظمة "Reporters Without Borders" شكوى إلى المدعي العام للمحكمة الجنائية الدولية في ديسمبر ٢٠٢٣ تعتبر مقتل عصام جريمة حرب (RSF Press Release, ٢٠٢٣).</w:t>
      </w:r>
    </w:p>
    <w:p>
      <w:pPr>
        <w:bidi/>
        <w:spacing w:after="160"/>
        <w:jc w:val="start"/>
      </w:pPr>
      <w:r>
        <w:rPr>
          <w:sz w:val="24"/>
          <w:szCs w:val="24"/>
          <w:rtl/>
        </w:rPr>
        <w:t xml:space="preserve">## وائل الدحدوح وعائلته — قناة الجزيرة (غزة)</w:t>
      </w:r>
    </w:p>
    <w:p>
      <w:pPr>
        <w:bidi/>
        <w:spacing w:after="160"/>
        <w:jc w:val="start"/>
      </w:pPr>
      <w:r>
        <w:rPr>
          <w:sz w:val="24"/>
          <w:szCs w:val="24"/>
          <w:rtl/>
        </w:rPr>
        <w:t xml:space="preserve">إنّ أحداً يكتب عن غزة لا يستطيع تجاوز اسم وائل الدحدوح، رئيس مكتب قناة الجزيرة في غزة. الدحدوح ليس ضحيّة بالمعنى التقليدي للكلمة — فهو لا يزال يبثّ — لكنه ضحية مركّبة: استُهدفت أسرته. في الخامس والعشرين من أكتوبر ٢٠٢٣، قُصف منزل عائلته في مخيم النصيرات وسط القطاع، فاستُشهدت زوجته أمنة، وابنه محمود، وابنته شام، وحفيده الرضيع آدم. ثم في السابع من يناير ٢٠٢٤، استُشهد ابنه الصحفي حمزة الدحدوح، الذي كان يعمل أيضاً مع الجزيرة، إثر استهداف سيارته في رفح بصاروخ من طائرة مسيّرة بحسب تقارير القناة (Al Jazeera, تقارير ٢٠٢٤؛ CPJ توثيق مقتل حمزة الدحدوح). كان حمزة في الخامسة والعشرين من عمره.</w:t>
      </w:r>
    </w:p>
    <w:p>
      <w:pPr>
        <w:bidi/>
        <w:spacing w:after="160"/>
        <w:jc w:val="start"/>
      </w:pPr>
      <w:r>
        <w:rPr>
          <w:sz w:val="24"/>
          <w:szCs w:val="24"/>
          <w:rtl/>
        </w:rPr>
        <w:t xml:space="preserve">تتشابك في حالة عائلة الدحدوح طبقات قانونية حسّاسة. وائل الدحدوح كان قبل القصف الذي طال عائلته من أبرز الأصوات الإعلامية التي وثّقت الانتهاكات. وحدوث الضربة على منزل عائلته في حين كان يُغطّي الحدث على الهواء مباشرة أنتج لحظة بصرية اخترقت إعلام العالم: الصحفي يُخبر العالم بمقتل عائلته أثناء بثه. منظمة CPJ ووسائل إعلام دولية متعدّدة طالبت بفتح تحقيق مستقل في ما إذا كان استهداف منازل ذوي الصحفيين البارزين يُشكّل نمطاً متعمّداً. وقد تكرّر هذا النمط مع صحفيين آخرين، كما سنفصّل لاحقاً.</w:t>
      </w:r>
    </w:p>
    <w:p>
      <w:pPr>
        <w:bidi/>
        <w:spacing w:after="160"/>
        <w:jc w:val="start"/>
      </w:pPr>
      <w:r>
        <w:rPr>
          <w:sz w:val="24"/>
          <w:szCs w:val="24"/>
          <w:rtl/>
        </w:rPr>
        <w:t xml:space="preserve">## إسماعيل الغول وزميله رامي الريفي — قناة الجزيرة (٣١ يوليو ٢٠٢٤)</w:t>
      </w:r>
    </w:p>
    <w:p>
      <w:pPr>
        <w:bidi/>
        <w:spacing w:after="160"/>
        <w:jc w:val="start"/>
      </w:pPr>
      <w:r>
        <w:rPr>
          <w:sz w:val="24"/>
          <w:szCs w:val="24"/>
          <w:rtl/>
        </w:rPr>
        <w:t xml:space="preserve">إسماعيل الغول كان مراسلاً لقناة الجزيرة، يعمل في شمال غزة في ظروف بالغة الصعوبة. في الحادي والثلاثين من يوليو ٢٠٢٤، استُهدفت سيارته في حي الشاطئ بمدينة غزة، حيث كان يُغطّي بصحبة المصوّر رامي الريفي الأحداث المحيطة بمنزل قائد حماس السياسي السابق إسماعيل هنيّة. استُشهد كلاهما في الضربة. صدرت من قناة الجزيرة بيانات رسمية، وأصدرت لجنة حماية الصحفيين بياناً تطالب فيه بتحقيق مستقل (CPJ Statement, أغسطس ٢٠٢٤).</w:t>
      </w:r>
    </w:p>
    <w:p>
      <w:pPr>
        <w:bidi/>
        <w:spacing w:after="160"/>
        <w:jc w:val="start"/>
      </w:pPr>
      <w:r>
        <w:rPr>
          <w:sz w:val="24"/>
          <w:szCs w:val="24"/>
          <w:rtl/>
        </w:rPr>
        <w:t xml:space="preserve">السياق هنا حسّاس قانونياً. السيارة كانت مدنية، وموسومة بعلامات «PRESS». الاستهداف وقع بعد ساعات من ظهور الغول على الهواء. ادّعاء جيش الاحتلال الإسرائيلي بأن الغول كان «عضواً سابقاً في جناح القسّام» — وهو ادّعاء ينفيه ذووه وزملاؤه ومؤسسته — يخضع لاختبار قانوني بالغ الدقّة: حتى لو افترضنا جدلاً صحّة الادّعاء، فإن استهداف صحفيّ في وقت مزاولته العمل الصحفي يخضع لمبدأ التناسب، ولمبدأ أن «الانتماء السابق» لا يُسقط الحماية المدنية حسب تعليق اللجنة الدولية للصليب الأحمر على المادة ٥١ من البروتوكول الإضافي الأول. وقد أصدرت كل من CPJ وRSF بيانات تطالب الجيش الإسرائيلي بنشر الأدلّة كاملة (RSF, أغسطس ٢٠٢٤).</w:t>
      </w:r>
    </w:p>
    <w:p>
      <w:pPr>
        <w:bidi/>
        <w:spacing w:after="160"/>
        <w:jc w:val="start"/>
      </w:pPr>
      <w:r>
        <w:rPr>
          <w:sz w:val="24"/>
          <w:szCs w:val="24"/>
          <w:rtl/>
        </w:rPr>
        <w:t xml:space="preserve">## بلال جدالله — وكالة فلسطين اليوم (١٩ نوفمبر ٢٠٢٣)</w:t>
      </w:r>
    </w:p>
    <w:p>
      <w:pPr>
        <w:bidi/>
        <w:spacing w:after="160"/>
        <w:jc w:val="start"/>
      </w:pPr>
      <w:r>
        <w:rPr>
          <w:sz w:val="24"/>
          <w:szCs w:val="24"/>
          <w:rtl/>
        </w:rPr>
        <w:t xml:space="preserve">بلال جدالله كان رئيس مجلس إدارة بيت الصحافة في فلسطين، وأحد أبرز المؤسسين للبنية الإعلامية الفلسطينية المستقلة. لم يكن صحفياً «ميدانياً» بقدر ما كان صحفياً مؤسّساتياً يعمل على تطوير قدرات الصحفيين الشباب. استُشهد في غارة على سيارته في غزة في التاسع عشر من نوفمبر ٢٠٢٣ (CPJ توثيق ٢٠٢٣). أثار مقتله موجة بيانات تضامن من نقابات صحفية في أكثر من عشرين دولة.</w:t>
      </w:r>
    </w:p>
    <w:p>
      <w:pPr>
        <w:bidi/>
        <w:spacing w:after="160"/>
        <w:jc w:val="start"/>
      </w:pPr>
      <w:r>
        <w:rPr>
          <w:sz w:val="24"/>
          <w:szCs w:val="24"/>
          <w:rtl/>
        </w:rPr>
        <w:t xml:space="preserve">## شيرين أبو عاقلة — السابقة القانونية الأقدم (مايو ٢٠٢٢)</w:t>
      </w:r>
    </w:p>
    <w:p>
      <w:pPr>
        <w:bidi/>
        <w:spacing w:after="160"/>
        <w:jc w:val="start"/>
      </w:pPr>
      <w:r>
        <w:rPr>
          <w:sz w:val="24"/>
          <w:szCs w:val="24"/>
          <w:rtl/>
        </w:rPr>
        <w:t xml:space="preserve">وإن كانت شيرين أبو عاقلة قُتلت قبل أحداث السابع من أكتوبر بأكثر من عام، فإن استذكار قضيّتها هنا ضروري لأنها أنشأت سابقة قانونية ومنهجية ما زلنا نستخدمها. كانت مراسلة قناة الجزيرة الأشهر، أمريكية الجنسية، فلسطينية الأصل، تُغطّي اقتحاماً عسكرياً لمخيم جنين في الحادي عشر من مايو ٢٠٢٢. أُصيبت برصاصة في الرأس وهي ترتدي صدرية «PRESS» الزرقاء. التحقيقات المستقلة التي قامت بها كل من الأمم المتحدة (مكتب المفوّض السامي لحقوق الإنسان، ٢٠٢٢)، وسي إن إن (CNN Investigation, مايو ٢٠٢٢)، وأسوشيتد برس، وبيلينغكات (Bellingcat)، توصّلت جميعاً إلى خلاصة موحّدة: الرصاصة أُطلقت من جهة قوات الاحتلال الإسرائيلي. وحتى التحقيق الأمريكي الذي أجرته وزارة الخارجية، رغم تحفّظاته، أقرّ بأن «من المرجّح» أن الرصاصة أُطلقت من إسرائيلي (US State Department Statement, يوليو ٢٠٢٢).</w:t>
      </w:r>
    </w:p>
    <w:p>
      <w:pPr>
        <w:bidi/>
        <w:spacing w:after="160"/>
        <w:jc w:val="start"/>
      </w:pPr>
      <w:r>
        <w:rPr>
          <w:sz w:val="24"/>
          <w:szCs w:val="24"/>
          <w:rtl/>
        </w:rPr>
        <w:t xml:space="preserve">أهمية شيرين هنا منهجية: قضيّتها أرست أساليب التحقيق متعدّدة المصادر التي طُبّقت لاحقاً على عصام عبد الله وغيره. كما أرست منهجية «التوثيق المضادّ» الذي تُطوّره منظمات متخصّصة في تحليل الأدلّة الرقمية المفتوحة المصدر (OSINT).</w:t>
      </w:r>
    </w:p>
    <w:p>
      <w:pPr>
        <w:bidi/>
        <w:spacing w:after="160"/>
        <w:jc w:val="start"/>
      </w:pPr>
      <w:r>
        <w:rPr>
          <w:sz w:val="24"/>
          <w:szCs w:val="24"/>
          <w:rtl/>
        </w:rPr>
        <w:t xml:space="preserve">## محمد أبو حطب — تلفزيون فلسطين (٢ نوفمبر ٢٠٢٣)</w:t>
      </w:r>
    </w:p>
    <w:p>
      <w:pPr>
        <w:bidi/>
        <w:spacing w:after="160"/>
        <w:jc w:val="start"/>
      </w:pPr>
      <w:r>
        <w:rPr>
          <w:sz w:val="24"/>
          <w:szCs w:val="24"/>
          <w:rtl/>
        </w:rPr>
        <w:t xml:space="preserve">محمد أبو حطب كان مراسل تلفزيون فلسطين الرسمي، عُرف بتغطياته اليومية من جنوب القطاع. استُشهد هو وعشرة من أفراد عائلته في غارة على منزله في خان يونس بعد ساعات من إنهائه آخر تقرير على الهواء (Palestine TV؛ CPJ, ٢٠٢٣). تكرار نمط استهداف المنازل بعد ساعات من البث — كما في حالتي الدحدوح وأبو حطب — هو ما دفع منظمات الرقابة إلى تصنيف هذا كنمط (Pattern) لا كحوادث منفردة.</w:t>
      </w:r>
    </w:p>
    <w:p>
      <w:pPr>
        <w:bidi/>
        <w:spacing w:after="160"/>
        <w:jc w:val="start"/>
      </w:pPr>
      <w:r>
        <w:rPr>
          <w:sz w:val="24"/>
          <w:szCs w:val="24"/>
          <w:rtl/>
        </w:rPr>
        <w:t xml:space="preserve">## عبد الله العقاد، روشدي السرّاج، سعيد الطويل، وآخرون</w:t>
      </w:r>
    </w:p>
    <w:p>
      <w:pPr>
        <w:bidi/>
        <w:spacing w:after="160"/>
        <w:jc w:val="start"/>
      </w:pPr>
      <w:r>
        <w:rPr>
          <w:sz w:val="24"/>
          <w:szCs w:val="24"/>
          <w:rtl/>
        </w:rPr>
        <w:t xml:space="preserve">في الأيام الأولى من النزاع، استُشهد عدد من المصوّرين الميدانيين الفلسطينيين، منهم: المصوّر الشاب روشدي السرّاج، أحد مؤسّسي وكالة عين ميديا، والذي قُتل في غارة في الثاني والعشرين من أكتوبر ٢٠٢٣. وكذلك مصوّر «معاً» سعيد الطويل، الذي قُتل في وقت مبكّر من الحرب (CPJ, ٢٠٢٣). كل اسم من هذه الأسماء، حين يُفتح ملفّه الفردي على موقع CPJ، تجد ظروف الموت موثّقة بمصادر متعدّدة، وإفادات شهود.</w:t>
      </w:r>
    </w:p>
    <w:p>
      <w:pPr>
        <w:bidi/>
        <w:spacing w:after="160"/>
        <w:jc w:val="start"/>
      </w:pPr>
      <w:r>
        <w:rPr>
          <w:sz w:val="24"/>
          <w:szCs w:val="24"/>
          <w:rtl/>
        </w:rPr>
        <w:t xml:space="preserve">## الصحفيون الأطباء والمصوّرون الطبيّون</w:t>
      </w:r>
    </w:p>
    <w:p>
      <w:pPr>
        <w:bidi/>
        <w:spacing w:after="160"/>
        <w:jc w:val="start"/>
      </w:pPr>
      <w:r>
        <w:rPr>
          <w:sz w:val="24"/>
          <w:szCs w:val="24"/>
          <w:rtl/>
        </w:rPr>
        <w:t xml:space="preserve">ثمّة فئة فرعية لا تحظى بالضوء الكافي: الصحفيون الذين يعملون داخل المستشفيات، يوثّقون الجرحى والشهداء بكاميراتهم الطبيّة. هؤلاء يقعون في تقاطع مظلّتين قانونيتين: حماية الصحافة، وحماية المنشآت الطبية. استُهدفت مستشفيات الشفاء، والمعمداني، وكمال عدوان، والعودة، وأبو يوسف النجار في فترات مختلفة من النزاع، وقُتل ضمن من قُتل عدد من هؤلاء المصوّرين الطبيّين الذين كانوا يُسجّلون آخر دقائق المرضى والأطفال الخدّج (Médecins Sans Frontières, تقارير ٢٠٢٤؛ MAP UK, ٢٠٢٤).</w:t>
      </w:r>
    </w:p>
    <w:p>
      <w:pPr>
        <w:bidi/>
        <w:spacing w:after="160"/>
        <w:jc w:val="start"/>
      </w:pPr>
      <w:r>
        <w:rPr>
          <w:sz w:val="24"/>
          <w:szCs w:val="24"/>
          <w:rtl/>
        </w:rPr>
        <w:t xml:space="preserve">## نمط مشترك: الموسوم بـ«PRESS»</w:t>
      </w:r>
    </w:p>
    <w:p>
      <w:pPr>
        <w:bidi/>
        <w:spacing w:after="160"/>
        <w:jc w:val="start"/>
      </w:pPr>
      <w:r>
        <w:rPr>
          <w:sz w:val="24"/>
          <w:szCs w:val="24"/>
          <w:rtl/>
        </w:rPr>
        <w:t xml:space="preserve">الخيط الذي يربط معظم الحالات الموثّقة أعلاه هو: ارتداء الصحفي صدرية «PRESS» الواضحة، وحمله الكاميرا، وأحياناً البثّ المباشر لحظة الاستهداف. هذه السمات هي في الأصل عناصر حماية وُضعت لتُسهّل على الأطراف المتحاربة تمييز الصحفيين كي تتجنّب استهدافهم. حين تتكرّر إصاباتهم رغم وجود هذه العلامات الواضحة، يطرح ذلك سؤالاً يتجاوز التحقيق الفردي ليصل إلى تقييم نمطيّ — وهو ما تتولّاه منظمات كهيومن رايتس ووتش في تقاريرها التحليلية.</w:t>
      </w:r>
    </w:p>
    <w:p>
      <w:pPr>
        <w:bidi/>
        <w:spacing w:after="160"/>
        <w:jc w:val="start"/>
      </w:pPr>
      <w:r>
        <w:rPr>
          <w:sz w:val="24"/>
          <w:szCs w:val="24"/>
          <w:rtl/>
        </w:rPr>
        <w:t xml:space="preserve">## ما لم نكتبه في هذا الفصل</w:t>
      </w:r>
    </w:p>
    <w:p>
      <w:pPr>
        <w:bidi/>
        <w:spacing w:after="160"/>
        <w:jc w:val="start"/>
      </w:pPr>
      <w:r>
        <w:rPr>
          <w:sz w:val="24"/>
          <w:szCs w:val="24"/>
          <w:rtl/>
        </w:rPr>
        <w:t xml:space="preserve">أكتب هذا الفصل وأنا أعلم أنني تركت خارجه أسماء أكثر مما ضمّنت. كل اسم له قصّة، وكل قصّة لها عائلة، وكل عائلة لها كرسي خالٍ على المائدة. حين تُذكر فلسطين بعد عقود، فإن من سيكتب تاريخها سيُلاحظ ما لاحظه مؤرّخو الحربين العالميتين قبله: أن سرد الأسماء الفردية هو ما يُنقذ الذاكرة من السقوط في تجريد الأرقام. وعلى من يُنشئ موسوعة شاملة لاحقاً أن يبدأ من حيث وقفنا، لا من حيث ابتدأنا. والله أعلم.</w:t>
      </w:r>
    </w:p>
    <w:p>
      <w:r>
        <w:br w:type="page"/>
      </w:r>
    </w:p>
    <w:p>
      <w:pPr>
        <w:bidi/>
        <w:spacing w:after="360" w:before="600"/>
        <w:jc w:val="center"/>
      </w:pPr>
      <w:r>
        <w:rPr>
          <w:b/>
          <w:bCs/>
          <w:color w:val="1B3A5C"/>
          <w:sz w:val="36"/>
          <w:szCs w:val="36"/>
          <w:rtl/>
        </w:rPr>
        <w:t xml:space="preserve">الفصل الرابع: منظمات الإغاثة — الضحايا من العاملين الإنسانيين</w:t>
      </w:r>
    </w:p>
    <w:p>
      <w:pPr>
        <w:bidi/>
        <w:spacing w:after="160"/>
        <w:jc w:val="start"/>
      </w:pPr>
      <w:r>
        <w:rPr>
          <w:sz w:val="24"/>
          <w:szCs w:val="24"/>
          <w:rtl/>
        </w:rPr>
        <w:t xml:space="preserve">&gt; ﴿وَمَنْ أَحْيَاهَا فَكَأَنَّمَا أَحْيَا النَّاسَ جَمِيعًا﴾ — المائدة: ٣٢</w:t>
      </w:r>
    </w:p>
    <w:p>
      <w:pPr>
        <w:bidi/>
        <w:spacing w:after="160"/>
        <w:jc w:val="start"/>
      </w:pPr>
      <w:r>
        <w:rPr>
          <w:sz w:val="24"/>
          <w:szCs w:val="24"/>
          <w:rtl/>
        </w:rPr>
        <w:t xml:space="preserve">## الإطار القانوني للحماية الإنسانية</w:t>
      </w:r>
    </w:p>
    <w:p>
      <w:pPr>
        <w:bidi/>
        <w:spacing w:after="160"/>
        <w:jc w:val="start"/>
      </w:pPr>
      <w:r>
        <w:rPr>
          <w:sz w:val="24"/>
          <w:szCs w:val="24"/>
          <w:rtl/>
        </w:rPr>
        <w:t xml:space="preserve">العامل في المجال الإنساني، شأنه شأن الصحفي، مدنيّ تحت مظلّة الحماية الكاملة للقانون الإنساني الدولي. تُضاف إلى مظلّة المدنيين العامة أحكام خاصة تحمي مَن يُؤدّون مهام إنسانية: المادة ٧١ من البروتوكول الإضافي الأول لاتفاقيات جنيف تنصّ على وجوب احترام موظّفي الإغاثة وحمايتهم. الموظّف الذي يحمل علامة الأمم المتحدة، أو شارة منظمة الصليب الأحمر، أو شعار منظمة دولية مسجّلة لدى مكتب الأمم المتحدة لتنسيق الشؤون الإنسانية (OCHA)، يُعدّ جهة محميّة بمضاعفة قانونية: مرة بصفته مدنياً، ومرّة بصفته يضطلع بمهمة إنسانية.</w:t>
      </w:r>
    </w:p>
    <w:p>
      <w:pPr>
        <w:bidi/>
        <w:spacing w:after="160"/>
        <w:jc w:val="start"/>
      </w:pPr>
      <w:r>
        <w:rPr>
          <w:sz w:val="24"/>
          <w:szCs w:val="24"/>
          <w:rtl/>
        </w:rPr>
        <w:t xml:space="preserve">في غزة، وعلى مدى أقلّ من عامين، ارتفع عدد العاملين الإنسانيين الذين قُتلوا إلى ما يتجاوز ثلاث مئة عامل، وفق توثيق OCHA ووحدة بيانات أمنية للعاملين في المساعدة الإنسانية «Aid Worker Security Database» (AWSD, إحصاءات ٢٠٢٥). هذا الرقم يجعل النزاع الراهن الأكثر دموية للعاملين الإنسانيين في تاريخ المنظومة الأممية — تجاوزاً لمحطّات استثنائية كنزاع جنوب السودان (حصيلة تراكمية على عقد كامل بلغت ١٢٥ قتيلاً) وأفغانستان (حصيلة على عشرين عاماً تجاوزت ٤٠٠ قتيل) (AWSD, تحليل تاريخي ٢٠٢٢).</w:t>
      </w:r>
    </w:p>
    <w:p>
      <w:pPr>
        <w:bidi/>
        <w:spacing w:after="160"/>
        <w:jc w:val="start"/>
      </w:pPr>
      <w:r>
        <w:rPr>
          <w:sz w:val="24"/>
          <w:szCs w:val="24"/>
          <w:rtl/>
        </w:rPr>
        <w:t xml:space="preserve">## الأونروا: «الأكثر دموية في تاريخ الأمم المتحدة»</w:t>
      </w:r>
    </w:p>
    <w:p>
      <w:pPr>
        <w:bidi/>
        <w:spacing w:after="160"/>
        <w:jc w:val="start"/>
      </w:pPr>
      <w:r>
        <w:rPr>
          <w:sz w:val="24"/>
          <w:szCs w:val="24"/>
          <w:rtl/>
        </w:rPr>
        <w:t xml:space="preserve">ضمن الرقم الإجمالي، تتحمّل وكالة الأمم المتحدة لإغاثة وتشغيل اللاجئين الفلسطينيين (الأونروا/UNRWA) العبء الأكبر. منذ السابع من أكتوبر ٢٠٢٣، وحتى منتصف ٢٠٢٥، تجاوز عدد موظّفي الأونروا الذين قُتلوا في غزة مئتين وستين موظفاً (UNRWA, تحديث الموقع الرسمي ٢٠٢٥). الأمين العام للأمم المتحدة أنطونيو غوتيريش وصف هذا الرقم في خطاب أمام مجلس الأمن في فبراير ٢٠٢٤ بأنه «أعلى عدد قتلى من العاملين في الأمم المتحدة في نزاع واحد منذ تأسيس المنظمة» (UN Security Council, محضر جلسة فبراير ٢٠٢٤).</w:t>
      </w:r>
    </w:p>
    <w:p>
      <w:pPr>
        <w:bidi/>
        <w:spacing w:after="160"/>
        <w:jc w:val="start"/>
      </w:pPr>
      <w:r>
        <w:rPr>
          <w:sz w:val="24"/>
          <w:szCs w:val="24"/>
          <w:rtl/>
        </w:rPr>
        <w:t xml:space="preserve">طبيعة هؤلاء الموظّفين متنوعة: معلّمون في مدارس الأونروا التي تستضيف أيضاً نازحين، وأطبّاء وممرّضون في عياداتها، وموظّفو خدمات اجتماعية، وفنّيون في توزيع المياه والطعام، وحرّاس في المرافق. كثير منهم قُتلوا داخل مرافق الأونروا ذاتها، التي قُصفت أو تعرّضت لإطلاق نار رغم أن إحداثياتها مُسجّلة لدى الجيش الإسرائيلي عبر آليّة تنسيق رسمية تستخدمها الأمم المتحدة منذ عقود. أصدرت الأونروا بيانات متكرّرة تُسجّل القصف الذي طال مدارسها ومخازنها، ووثّقت مكتب الأمم المتحدة لحقوق الإنسان (OHCHR) عدداً من هذه الحوادث في تقاريره الميدانية (OHCHR, "Conduct of Hostilities" Reports ٢٠٢٤).</w:t>
      </w:r>
    </w:p>
    <w:p>
      <w:pPr>
        <w:bidi/>
        <w:spacing w:after="160"/>
        <w:jc w:val="start"/>
      </w:pPr>
      <w:r>
        <w:rPr>
          <w:sz w:val="24"/>
          <w:szCs w:val="24"/>
          <w:rtl/>
        </w:rPr>
        <w:t xml:space="preserve">## المطبخ المركزي العالمي (WCK): دراسة حالة فردية</w:t>
      </w:r>
    </w:p>
    <w:p>
      <w:pPr>
        <w:bidi/>
        <w:spacing w:after="160"/>
        <w:jc w:val="start"/>
      </w:pPr>
      <w:r>
        <w:rPr>
          <w:sz w:val="24"/>
          <w:szCs w:val="24"/>
          <w:rtl/>
        </w:rPr>
        <w:t xml:space="preserve">في الأول من أبريل ٢٠٢٤، نُفّذت ضربة إسرائيلية بطائرات مسيّرة على قافلة لمنظمة المطبخ المركزي العالمي (World Central Kitchen) في منطقة دير البلح بوسط القطاع. القافلة كانت مكوّنة من ثلاث مركبات موسومة بشعار WCK الكبير على الأسطح، تتحرّك على مسار جرى تنسيقه مسبقاً مع الجيش الإسرائيلي عبر منظومة Deconfliction، أي آلية الإبلاغ المسبق التي تُحدّد مسارات الحركة الإنسانية كي يتجنّبها الجيش.</w:t>
      </w:r>
    </w:p>
    <w:p>
      <w:pPr>
        <w:bidi/>
        <w:spacing w:after="160"/>
        <w:jc w:val="start"/>
      </w:pPr>
      <w:r>
        <w:rPr>
          <w:sz w:val="24"/>
          <w:szCs w:val="24"/>
          <w:rtl/>
        </w:rPr>
        <w:t xml:space="preserve">نتيجة الضربة: مقتل سبعة عاملين إنسانيين، أربعة منهم كانوا أجانب يحملون جنسيات الولايات المتحدة وأستراليا والمملكة المتحدة وبولندا، وثلاثة من العاملين الفلسطينيين المحلّيين (WCK Statement, أبريل ٢٠٢٤؛ AP, تقرير ٢٠٢٤). الأسماء — كما أعلنتها المنظمة — هي: داميان سوبول، وجاكوب فلكنر (Jacob Flickinger)، وزومي فرانكوم (Zomi Frankcom)، وجيمس هندرسون، وجون شيبتشاندلر (John Chapman)، وسيف العبد الله، ومحمد أبو طاحة.</w:t>
      </w:r>
    </w:p>
    <w:p>
      <w:pPr>
        <w:bidi/>
        <w:spacing w:after="160"/>
        <w:jc w:val="start"/>
      </w:pPr>
      <w:r>
        <w:rPr>
          <w:sz w:val="24"/>
          <w:szCs w:val="24"/>
          <w:rtl/>
        </w:rPr>
        <w:t xml:space="preserve">ما يجعل هذه الحالة استثنائية إحصائياً وقانونياً ليس عدد الضحايا، بل وضوح المعطيات الموثّقة:</w:t>
      </w:r>
    </w:p>
    <w:p>
      <w:pPr>
        <w:bidi/>
        <w:spacing w:after="160"/>
        <w:jc w:val="start"/>
      </w:pPr>
      <w:r>
        <w:rPr>
          <w:sz w:val="24"/>
          <w:szCs w:val="24"/>
          <w:rtl/>
        </w:rPr>
        <w:t xml:space="preserve">- المركبات كانت مُعرّفة بشعار كبير على الأسطح يمكن رؤيته من ارتفاعات الطائرات المسيّرة والحربية، وقد نشرت WCK صور المركبات قبل وبعد الضربة. - المسار جرى تنسيقه عبر آلية Deconfliction قبل ساعات من الضربة، والمراسلات موجودة موثّقة (WCK, تقرير الحادثة). - الضربة لم تكن واحدة، بل تلتها ضربات إضافية أصابت المركبتين الثانية والثالثة بعد مغادرة الأشخاص للمركبة الأولى المُصابة، وهو ما يستبعد فرضية «الخطأ في الإصابة الواحدة» وفق تحليل Forensic Architecture الميداني (Forensic Architecture, تقرير ٢٠٢٤).</w:t>
      </w:r>
    </w:p>
    <w:p>
      <w:pPr>
        <w:bidi/>
        <w:spacing w:after="160"/>
        <w:jc w:val="start"/>
      </w:pPr>
      <w:r>
        <w:rPr>
          <w:sz w:val="24"/>
          <w:szCs w:val="24"/>
          <w:rtl/>
        </w:rPr>
        <w:t xml:space="preserve">أصدر الجيش الإسرائيلي تحقيقاً داخلياً بعد أسبوعين، أقرّ فيه بأن «خطأً في تحديد الهوية» وقع، وأنّ «انتهاكات لإجراءات التشغيل» قد حدثت، وأعلن إقالة ضابطَين وتوبيخ ثلاثة آخرين (IDF Statement, أبريل ٢٠٢٤). لكن عدّة منظمات قانونية، منها Just Security والمستشار الدولي لمنظمة Save the Children، أشارت إلى أن العقوبات الإدارية الداخلية لا تُلغي وجوب فتح تحقيق جنائي مستقل وفق المادة ٨ من نظام روما، خصوصاً مع وجود نمط ضرب متعدّد لا واحد (Just Security Analysis, ٢٠٢٤).</w:t>
      </w:r>
    </w:p>
    <w:p>
      <w:pPr>
        <w:bidi/>
        <w:spacing w:after="160"/>
        <w:jc w:val="start"/>
      </w:pPr>
      <w:r>
        <w:rPr>
          <w:sz w:val="24"/>
          <w:szCs w:val="24"/>
          <w:rtl/>
        </w:rPr>
        <w:t xml:space="preserve">تأثير حادثة WCK تجاوز الحادثة ذاتها: أوقفت WCK عملياتها مؤقتاً، وانضمّت إليها عدّة منظمات إنسانية أعلنت تعليق عملها بسبب «المخاطر المتعمّدة» (CARE International Statement, ٢٠٢٤؛ Oxfam Statement, ٢٠٢٤). كذلك تكثّف الضغط الدبلوماسي على الإدارة الأمريكية، حيث وجّهت مذكّرة من ٤٠ عضواً في الكونغرس الأمريكي إلى وزير الخارجية تطالب بمراجعة الالتزام بقانون ليهي (Leahy Law) الذي يحظر تقديم المساعدة العسكرية لوحدات تورّطت في انتهاكات حقوق الإنسان (US Congress Letter, أبريل ٢٠٢٤).</w:t>
      </w:r>
    </w:p>
    <w:p>
      <w:pPr>
        <w:bidi/>
        <w:spacing w:after="160"/>
        <w:jc w:val="start"/>
      </w:pPr>
      <w:r>
        <w:rPr>
          <w:sz w:val="24"/>
          <w:szCs w:val="24"/>
          <w:rtl/>
        </w:rPr>
        <w:t xml:space="preserve">## أطباء بلا حدود (MSF): التراجع المؤلم</w:t>
      </w:r>
    </w:p>
    <w:p>
      <w:pPr>
        <w:bidi/>
        <w:spacing w:after="160"/>
        <w:jc w:val="start"/>
      </w:pPr>
      <w:r>
        <w:rPr>
          <w:sz w:val="24"/>
          <w:szCs w:val="24"/>
          <w:rtl/>
        </w:rPr>
        <w:t xml:space="preserve">منظمة أطباء بلا حدود (Médecins Sans Frontières) من أعرق المنظمات الإنسانية الميدانية في العالم، وتمتلك بروتوكولات أمن مُحكمة من خبرة عقود في النزاعات. ومع ذلك، اضطرّت لتعليق عملها في غزة في مناسبات متعدّدة بسبب القصف. وثّقت المنظمة أربع ضربات إسرائيلية على مواقعها أو ضدّ موظّفيها وذويهم منذ بدء النزاع: قصف منزل مدير المنظمة الفلسطيني، وإصابة سيارة طبية كانت تُجلي مرضى من شمال القطاع، وقصف منشأة سكنية كان يُقيم فيها موظّفون أجانب ومحلّيون (MSF Statements, ٢٠٢٣–٢٠٢٤).</w:t>
      </w:r>
    </w:p>
    <w:p>
      <w:pPr>
        <w:bidi/>
        <w:spacing w:after="160"/>
        <w:jc w:val="start"/>
      </w:pPr>
      <w:r>
        <w:rPr>
          <w:sz w:val="24"/>
          <w:szCs w:val="24"/>
          <w:rtl/>
        </w:rPr>
        <w:t xml:space="preserve">كذلك سجّلت MSF مقتل عدد من موظّفيها وذويهم. أبرز التصريحات صدرت في يناير ٢٠٢٤، حين أعلنت المنظمة أنها فقدت أكثر من ٢٥ موظفاً مباشراً ومساعداً، إضافة إلى عدد كبير من ذوي موظّفيها. كذلك انتقدت MSF علناً ادّعاءات «الممرّ الآمن» التي يُطلقها الجيش الإسرائيلي، إذ شهدت المنظمة بنفسها قصفاً لمسارات إخلاء كانت قد جرى تنسيقها بشكل صريح (MSF Press Briefing, يناير ٢٠٢٤).</w:t>
      </w:r>
    </w:p>
    <w:p>
      <w:pPr>
        <w:bidi/>
        <w:spacing w:after="160"/>
        <w:jc w:val="start"/>
      </w:pPr>
      <w:r>
        <w:rPr>
          <w:sz w:val="24"/>
          <w:szCs w:val="24"/>
          <w:rtl/>
        </w:rPr>
        <w:t xml:space="preserve">## المساعدات الطبية للفلسطينيين (MAP) واللجنة الدولية للصليب الأحمر</w:t>
      </w:r>
    </w:p>
    <w:p>
      <w:pPr>
        <w:bidi/>
        <w:spacing w:after="160"/>
        <w:jc w:val="start"/>
      </w:pPr>
      <w:r>
        <w:rPr>
          <w:sz w:val="24"/>
          <w:szCs w:val="24"/>
          <w:rtl/>
        </w:rPr>
        <w:t xml:space="preserve">منظمة Medical Aid for Palestinians (MAP) البريطانية، وكذلك اللجنة الدولية للصليب الأحمر (ICRC)، أصدرتا بيانات متكرّرة بشأن استهداف موظّفيهما والمنشآت التي يعملون فيها. ICRC، التي تُعدّ الحارس الرسمي لاتفاقيات جنيف، اضطرّت في مناسبات عدّة إلى إصدار تصريحات «استثنائية» (وفق وصفها الذاتي) بسبب «حجم الانتهاكات الموثّقة» (ICRC Statements, ٢٠٢٤). قُصف مكتبها في رفح في مارس ٢٠٢٤، وأُصيبت سيارات إسعاف للهلال الأحمر الفلسطيني التي تعمل بالتنسيق المباشر مع ICRC في عدة مرّات.</w:t>
      </w:r>
    </w:p>
    <w:p>
      <w:pPr>
        <w:bidi/>
        <w:spacing w:after="160"/>
        <w:jc w:val="start"/>
      </w:pPr>
      <w:r>
        <w:rPr>
          <w:sz w:val="24"/>
          <w:szCs w:val="24"/>
          <w:rtl/>
        </w:rPr>
        <w:t xml:space="preserve">كذلك سجّل الهلال الأحمر الفلسطيني (PRCS) مقتل أكثر من ٣٠ من موظّفيه ومتطوّعيه، ومن أبرزهم الطفلة هند رجب وأسرتها التي قُتلت داخل سيارة كانت تتواصل مع PRCS طلباً للنجدة، إلى جانب طاقم الإسعاف الذي توجّه لإنقاذها وقُتل أيضاً في الموقع نفسه (PRCS Statements, فبراير ٢٠٢٤؛ Forensic Architecture, تحقيق هند رجب ٢٠٢٤).</w:t>
      </w:r>
    </w:p>
    <w:p>
      <w:pPr>
        <w:bidi/>
        <w:spacing w:after="160"/>
        <w:jc w:val="start"/>
      </w:pPr>
      <w:r>
        <w:rPr>
          <w:sz w:val="24"/>
          <w:szCs w:val="24"/>
          <w:rtl/>
        </w:rPr>
        <w:t xml:space="preserve">## الحصيلة الإجمالية: ما الذي تعنيه الأرقام؟</w:t>
      </w:r>
    </w:p>
    <w:p>
      <w:pPr>
        <w:bidi/>
        <w:spacing w:after="160"/>
        <w:jc w:val="start"/>
      </w:pPr>
      <w:r>
        <w:rPr>
          <w:sz w:val="24"/>
          <w:szCs w:val="24"/>
          <w:rtl/>
        </w:rPr>
        <w:t xml:space="preserve">تشير قاعدة بيانات أمن العاملين في المساعدات الإنسانية (AWSD) إلى أن إجمالي العاملين الإنسانيين الذين قُتلوا في النزاعات في كافّة أنحاء العالم خلال عام ٢٠٢٤ تجاوز ٣٧٠ عاملاً، وأن الفلسطينيين منهم يُشكّلون نحو ٧٠٪ من الإجمالي العالمي لذلك العام (AWSD Annual Report, ٢٠٢٥). هذه النسبة لا توجد لها سابقة في السجل الكامل لقاعدة البيانات منذ بدء توثيقها عام ١٩٩٧.</w:t>
      </w:r>
    </w:p>
    <w:p>
      <w:pPr>
        <w:bidi/>
        <w:spacing w:after="160"/>
        <w:jc w:val="start"/>
      </w:pPr>
      <w:r>
        <w:rPr>
          <w:sz w:val="24"/>
          <w:szCs w:val="24"/>
          <w:rtl/>
        </w:rPr>
        <w:t xml:space="preserve">## انعكاسات قانونية ومؤسّسية</w:t>
      </w:r>
    </w:p>
    <w:p>
      <w:pPr>
        <w:bidi/>
        <w:spacing w:after="160"/>
        <w:jc w:val="start"/>
      </w:pPr>
      <w:r>
        <w:rPr>
          <w:sz w:val="24"/>
          <w:szCs w:val="24"/>
          <w:rtl/>
        </w:rPr>
        <w:t xml:space="preserve">بعد الضربة على WCK، اتّخذت ست منظمات إنسانية كبرى خطوات قانونية متضامنة، منها تقديم تقارير رسمية إلى المدعي العام للمحكمة الجنائية الدولية، وإلى مجلس حقوق الإنسان التابع للأمم المتحدة. كما أصدرت أكثر من ٢٠٠ منظمة دولية بياناً مشتركاً في يونيو ٢٠٢٤ تطالب بـ«حماية فعلية» لا «حماية اسمية» للعاملين الإنسانيين في غزة (Joint NGO Statement, يونيو ٢٠٢٤).</w:t>
      </w:r>
    </w:p>
    <w:p>
      <w:pPr>
        <w:bidi/>
        <w:spacing w:after="160"/>
        <w:jc w:val="start"/>
      </w:pPr>
      <w:r>
        <w:rPr>
          <w:sz w:val="24"/>
          <w:szCs w:val="24"/>
          <w:rtl/>
        </w:rPr>
        <w:t xml:space="preserve">ضمن الإطار القانوني، تقدّمت ثلاث ولايات قضائية أوروبية (إسبانيا، أيرلندا، النرويج) بطلبات استفسار رسمية إلى السلطات الإسرائيلية بشأن مقتل مواطنيها العاملين في غزة. ولايات قضائية أخرى (المملكة المتحدة، أستراليا) أعلنت فتح تحقيقات داخلية في مقتل مواطنيها في حادثة WCK تحديداً.</w:t>
      </w:r>
    </w:p>
    <w:p>
      <w:pPr>
        <w:bidi/>
        <w:spacing w:after="160"/>
        <w:jc w:val="start"/>
      </w:pPr>
      <w:r>
        <w:rPr>
          <w:sz w:val="24"/>
          <w:szCs w:val="24"/>
          <w:rtl/>
        </w:rPr>
        <w:t xml:space="preserve">## الخلاصة: المظلّة المخروقة</w:t>
      </w:r>
    </w:p>
    <w:p>
      <w:pPr>
        <w:bidi/>
        <w:spacing w:after="160"/>
        <w:jc w:val="start"/>
      </w:pPr>
      <w:r>
        <w:rPr>
          <w:sz w:val="24"/>
          <w:szCs w:val="24"/>
          <w:rtl/>
        </w:rPr>
        <w:t xml:space="preserve">ما يُلاحظه قارئ هذه الأرقام — حتى الأكثر تحفّظاً في الأحكام — أن مظلّة الحماية الإنسانية الدولية، التي بُنيت على مدى سبعة عقود بعد الحرب العالمية الثانية، تمرّ بأخطر اختبار في تاريخها. ليست المسألة في عدد القتلى وحده، بل في انهيار آلية «التنسيق المسبق» ذاتها بوصفها ضمانة عملية. حين يُصبح التنسيق المسبق غير فعّال، يفقد القانون أداته الأكثر مرونة في حماية المدنيين والإنسانيين. وهذه واحدة من الإشكاليات الجوهرية التي ستضطرّ المنظومة الأممية إلى مراجعتها في السنوات القادمة، أيّاً كانت السياقات. والحقيقة لا تموت حين تُقتل الأرقام، بل حين يُسدل عليها ستار النسيان.</w:t>
      </w:r>
    </w:p>
    <w:p>
      <w:r>
        <w:br w:type="page"/>
      </w:r>
    </w:p>
    <w:p>
      <w:pPr>
        <w:bidi/>
        <w:spacing w:after="360" w:before="600"/>
        <w:jc w:val="center"/>
      </w:pPr>
      <w:r>
        <w:rPr>
          <w:b/>
          <w:bCs/>
          <w:color w:val="1B3A5C"/>
          <w:sz w:val="36"/>
          <w:szCs w:val="36"/>
          <w:rtl/>
        </w:rPr>
        <w:t xml:space="preserve">الفصل الخامس: المجتمع المدني — المحامون والأطباء والمعلمون</w:t>
      </w:r>
    </w:p>
    <w:p>
      <w:pPr>
        <w:bidi/>
        <w:spacing w:after="160"/>
        <w:jc w:val="start"/>
      </w:pPr>
      <w:r>
        <w:rPr>
          <w:sz w:val="24"/>
          <w:szCs w:val="24"/>
          <w:rtl/>
        </w:rPr>
        <w:t xml:space="preserve">&gt; ﴿إِنَّ اللَّهَ يَأْمُرُ بِالْعَدْلِ وَالْإِحْسَانِ وَإِيتَاءِ ذِي الْقُرْبَىٰ وَيَنْهَىٰ عَنِ الْفَحْشَاءِ وَالْمُنكَرِ وَالْبَغْيِ﴾ — النحل: ٩٠</w:t>
      </w:r>
    </w:p>
    <w:p>
      <w:pPr>
        <w:bidi/>
        <w:spacing w:after="160"/>
        <w:jc w:val="start"/>
      </w:pPr>
      <w:r>
        <w:rPr>
          <w:sz w:val="24"/>
          <w:szCs w:val="24"/>
          <w:rtl/>
        </w:rPr>
        <w:t xml:space="preserve">## ما المقصود بـ«المجتمع المدني»؟</w:t>
      </w:r>
    </w:p>
    <w:p>
      <w:pPr>
        <w:bidi/>
        <w:spacing w:after="160"/>
        <w:jc w:val="start"/>
      </w:pPr>
      <w:r>
        <w:rPr>
          <w:sz w:val="24"/>
          <w:szCs w:val="24"/>
          <w:rtl/>
        </w:rPr>
        <w:t xml:space="preserve">لو أنك أنشأت قائمة لكل ما يُعرّف مجتمعاً ما بأنه «مجتمع» لا مجرد سكان متجاورين، ستتقاطع قائمتك في معظم النقاط مع تعريف الأمم المتحدة الإجرائي للمجتمع المدني (UN Civil Society Definition). يضمّ هذا التعريف: نقابات المهن، والنوادي الحقوقية، والمنظمات الخيرية، والاتحادات الجامعية، والمراكز البحثية، ومجالس الأطباء والمحامين والمهندسين والمعلّمين، والمؤسسات الثقافية. هؤلاء هم «العصب الحامل» لأي مجتمع. حين يُقتل صحفيّ، تُفقد عين على الأحداث؛ وحين يُقتل عامل إغاثة، يُفقد جسر مساعدة؛ أمّا حين يُقتل المحامي والطبيب والأكاديمي والمعلّم، فإن المجتمع يفقد قدرته على إعادة إنتاج ذاته.</w:t>
      </w:r>
    </w:p>
    <w:p>
      <w:pPr>
        <w:bidi/>
        <w:spacing w:after="160"/>
        <w:jc w:val="start"/>
      </w:pPr>
      <w:r>
        <w:rPr>
          <w:sz w:val="24"/>
          <w:szCs w:val="24"/>
          <w:rtl/>
        </w:rPr>
        <w:t xml:space="preserve">الوثائق التي سنرجع إليها في هذا الفصل تُسجّل أن النزاع الراهن في غزة لم يطل المقاتلين والمنشآت العسكرية فقط، بل امتدّ إلى البنية المؤسسية للمجتمع المدني الفلسطيني، بنطاق وسرعة لم يسبق لهما مثيل في تاريخ القطاع.</w:t>
      </w:r>
    </w:p>
    <w:p>
      <w:pPr>
        <w:bidi/>
        <w:spacing w:after="160"/>
        <w:jc w:val="start"/>
      </w:pPr>
      <w:r>
        <w:rPr>
          <w:sz w:val="24"/>
          <w:szCs w:val="24"/>
          <w:rtl/>
        </w:rPr>
        <w:t xml:space="preserve">## الجامعات: انهيار البنية الأكاديمية</w:t>
      </w:r>
    </w:p>
    <w:p>
      <w:pPr>
        <w:bidi/>
        <w:spacing w:after="160"/>
        <w:jc w:val="start"/>
      </w:pPr>
      <w:r>
        <w:rPr>
          <w:sz w:val="24"/>
          <w:szCs w:val="24"/>
          <w:rtl/>
        </w:rPr>
        <w:t xml:space="preserve">في غزة قبل أكتوبر ٢٠٢٣، كانت تعمل اثنتا عشرة مؤسسة جامعية، أبرزها: الجامعة الإسلامية في غزة (تأسست ١٩٧٨)، وجامعة الأقصى، وجامعة الأزهر، وجامعة الإسراء، وكلية الإسراء الجامعية، وجامعة فلسطين، وعدد من المعاهد المتخصّصة. وفقاً لتقارير «المرصد الأكاديمي» التابع لمنظمة Scholars at Risk، ولتقرير صادر عن الأونروا في يناير ٢٠٢٤، فإن جميع هذه المؤسسات الأكاديمية تعرّضت لأضرار جسيمة، وعدد منها دُمّر بالكامل، خصوصاً الجامعة الإسلامية التي قُصفت مبانيها الرئيسية في أكتوبر ٢٠٢٣ (Scholars at Risk Report, ٢٠٢٤؛ UNRWA Education Report, ٢٠٢٤).</w:t>
      </w:r>
    </w:p>
    <w:p>
      <w:pPr>
        <w:bidi/>
        <w:spacing w:after="160"/>
        <w:jc w:val="start"/>
      </w:pPr>
      <w:r>
        <w:rPr>
          <w:sz w:val="24"/>
          <w:szCs w:val="24"/>
          <w:rtl/>
        </w:rPr>
        <w:t xml:space="preserve">استُحدث في الأدبيات القانونية الدولية مصطلح "Scholasticide" أو «إبادة الجامعات»، وهو مصطلح صاغته الباحثة الفلسطينية كرمى نابلسي في وقت سابق، استخدمه المقرّر الخاصّ للأمم المتحدة المعني بالحق في التعليم في تقرير لمجلس حقوق الإنسان عام ٢٠٢٤ في معرض وصف ما يحدث في غزة (UN Special Rapporteur Report, A/HRC/56/L.21, ٢٠٢٤).</w:t>
      </w:r>
    </w:p>
    <w:p>
      <w:pPr>
        <w:bidi/>
        <w:spacing w:after="160"/>
        <w:jc w:val="start"/>
      </w:pPr>
      <w:r>
        <w:rPr>
          <w:sz w:val="24"/>
          <w:szCs w:val="24"/>
          <w:rtl/>
        </w:rPr>
        <w:t xml:space="preserve">ضمن الأكاديميين الذين قُتلوا — وهي قائمة موثّقة جزئياً من قِبَل اتحاد الأساتذة الفلسطينيين، ومنظمة Scholars Against the War on Palestine — أكثر من ٩٥ أكاديمياً وأستاذاً جامعياً، بمن فيهم رؤساء أقسام علمية، وباحثون في الطب والهندسة والقانون والتاريخ. من أبرز الأسماء التي وثّقتها التقارير: الدكتور رفعت العرعير، الأستاذ في قسم الأدب الإنجليزي بالجامعة الإسلامية، الذي قُتل في غارة على شقّته في غزة في ديسمبر ٢٠٢٣. كان العرعير شاعراً ومترجماً، وأحد أبرز المعلّمين الفلسطينيين الذين قدّموا الأدب الفلسطيني للجمهور العالمي بالإنجليزية (PEN America Statement, ديسمبر ٢٠٢٣).</w:t>
      </w:r>
    </w:p>
    <w:p>
      <w:pPr>
        <w:bidi/>
        <w:spacing w:after="160"/>
        <w:jc w:val="start"/>
      </w:pPr>
      <w:r>
        <w:rPr>
          <w:sz w:val="24"/>
          <w:szCs w:val="24"/>
          <w:rtl/>
        </w:rPr>
        <w:t xml:space="preserve">كذلك قُتل الدكتور سُفيان تايه، رئيس الجامعة الإسلامية، وعالم الفيزياء الذي حصل على ميدالية «أبو القاسم الزهراوي» من اليونسكو، في غارة على منزله مع أفراد عائلته في ديسمبر ٢٠٢٣ (UNESCO Statement, ديسمبر ٢٠٢٣).</w:t>
      </w:r>
    </w:p>
    <w:p>
      <w:pPr>
        <w:bidi/>
        <w:spacing w:after="160"/>
        <w:jc w:val="start"/>
      </w:pPr>
      <w:r>
        <w:rPr>
          <w:sz w:val="24"/>
          <w:szCs w:val="24"/>
          <w:rtl/>
        </w:rPr>
        <w:t xml:space="preserve">## الأطباء: في المستشفيات التي يعالجون فيها</w:t>
      </w:r>
    </w:p>
    <w:p>
      <w:pPr>
        <w:bidi/>
        <w:spacing w:after="160"/>
        <w:jc w:val="start"/>
      </w:pPr>
      <w:r>
        <w:rPr>
          <w:sz w:val="24"/>
          <w:szCs w:val="24"/>
          <w:rtl/>
        </w:rPr>
        <w:t xml:space="preserve">قطاع الأطباء يُمثّل الفئة الأكثر توثيقاً ضمن ضحايا المجتمع المدني، لأن منظمات صحية دولية كأطباء بلا حدود (MSF) ومنظمة الصحة العالمية (WHO) تُسجّل بدقّة الوفيات في صفوف العاملين الصحّيين. وفقاً لتقارير WHO حتى ٢٠٢٥، تجاوز عدد العاملين الصحّيين الفلسطينيين الذين قُتلوا في غزة ١,٠٥٠ عاملاً، شاملاً الأطبّاء والممرّضين والمسعفين وعمّال الصيانة الطبية والأطبّاء الطلاب (WHO, "Health Worker Deaths Surveillance" ٢٠٢٥).</w:t>
      </w:r>
    </w:p>
    <w:p>
      <w:pPr>
        <w:bidi/>
        <w:spacing w:after="160"/>
        <w:jc w:val="start"/>
      </w:pPr>
      <w:r>
        <w:rPr>
          <w:sz w:val="24"/>
          <w:szCs w:val="24"/>
          <w:rtl/>
        </w:rPr>
        <w:t xml:space="preserve">من بين هؤلاء، عدد كبير من الأطباء الاستشاريين الذين يصعب تعويضهم في أي منظومة صحية. أبرز الحالات الموثّقة:</w:t>
      </w:r>
    </w:p>
    <w:p>
      <w:pPr>
        <w:bidi/>
        <w:spacing w:after="160"/>
        <w:jc w:val="start"/>
      </w:pPr>
      <w:r>
        <w:rPr>
          <w:sz w:val="24"/>
          <w:szCs w:val="24"/>
          <w:rtl/>
        </w:rPr>
        <w:t xml:space="preserve">- الدكتور حمّام علوش، استشاري طبّ القلب في مستشفى الشفاء، قُتل مع عائلته في غارة على منزله في نوفمبر ٢٠٢٣ (Palestine Ministry of Health, نشرة ٢٠٢٣). - الدكتور رفعت لبد، رئيس قسم الجراحة في مستشفى الشفاء، قُتل في يناير ٢٠٢٤ (MoH-Gaza, ٢٠٢٤). - الدكتور محمد دبور، أحد أبرز جرّاحي الأعصاب في القطاع، قُتل في فبراير ٢٠٢٤ (PMA Statement, ٢٠٢٤). - الدكتور عدنان البرش، رئيس قسم العظام في مستشفى الشفاء، توفّي في الاحتجاز الإسرائيلي في إبريل ٢٠٢٤ بعد اعتقاله من المستشفى، وفق تقرير منظمة العفو الدولية الذي طالب بفتح تحقيق مستقل (Amnesty International, مايو ٢٠٢٤).</w:t>
      </w:r>
    </w:p>
    <w:p>
      <w:pPr>
        <w:bidi/>
        <w:spacing w:after="160"/>
        <w:jc w:val="start"/>
      </w:pPr>
      <w:r>
        <w:rPr>
          <w:sz w:val="24"/>
          <w:szCs w:val="24"/>
          <w:rtl/>
        </w:rPr>
        <w:t xml:space="preserve">السطر الأخير يُسلّط الضوء على فئة فرعية مهمّة: الأطبّاء الذين قُتلوا أو ماتوا أثناء الاحتجاز. وفّر تقرير اللجنة الدولية للصليب الأحمر، إضافةً إلى تقرير المقرّر الخاصّ للأمم المتحدة المعني بالتعذيب (٢٠٢٤)، توثيقاً لحالات أطبّاء فلسطينيين اعتُقلوا من مستشفياتهم وماتوا في ظروف غامضة أثناء الاحتجاز، بما يدعو إلى تحقيق مستقلّ بحسب تعبير المقرّر الخاص (OHCHR Press Release, ٢٠٢٤).</w:t>
      </w:r>
    </w:p>
    <w:p>
      <w:pPr>
        <w:bidi/>
        <w:spacing w:after="160"/>
        <w:jc w:val="start"/>
      </w:pPr>
      <w:r>
        <w:rPr>
          <w:sz w:val="24"/>
          <w:szCs w:val="24"/>
          <w:rtl/>
        </w:rPr>
        <w:t xml:space="preserve">## المحامون والقانونيون</w:t>
      </w:r>
    </w:p>
    <w:p>
      <w:pPr>
        <w:bidi/>
        <w:spacing w:after="160"/>
        <w:jc w:val="start"/>
      </w:pPr>
      <w:r>
        <w:rPr>
          <w:sz w:val="24"/>
          <w:szCs w:val="24"/>
          <w:rtl/>
        </w:rPr>
        <w:t xml:space="preserve">النقابة الوطنية لمحاميي فلسطين أعلنت في تقرير صدر مطلع عام ٢٠٢٥ مقتل أكثر من ٤٠ محامياً، عدد منهم كانوا أعضاء في لجان توثيق حقوق الإنسان، ومنهم من كانوا في طور إعداد ملفّات لقضايا أمام محاكم دولية. الأهمية القانونية لاستهداف هذه الفئة بالذات تستدعي وقفة: المحامي الذي يعمل على توثيق انتهاكات لتقديمها لاحقاً إلى محكمة دولية ليس مجرد مهنيّ مدنيّ، بل هو أيضاً «مساعد للعدالة» بالمعنى الذي عرّفته اللجنة الدولية للصليب الأحمر في تعليقها على المادة ٧٥ من البروتوكول الإضافي الأول.</w:t>
      </w:r>
    </w:p>
    <w:p>
      <w:pPr>
        <w:bidi/>
        <w:spacing w:after="160"/>
        <w:jc w:val="start"/>
      </w:pPr>
      <w:r>
        <w:rPr>
          <w:sz w:val="24"/>
          <w:szCs w:val="24"/>
          <w:rtl/>
        </w:rPr>
        <w:t xml:space="preserve">من أبرز الحالات الموثّقة: المحامي محمد رمضان، الذي كان يعمل على توثيق ضحايا غارة جديدة في حي تل الهوا، قُتل مع أسرته في غارة على منزله بعد أسبوع من نشره تقريراً عبر منظمة الميزان لحقوق الإنسان (Al-Mezan Statement, ٢٠٢٤).</w:t>
      </w:r>
    </w:p>
    <w:p>
      <w:pPr>
        <w:bidi/>
        <w:spacing w:after="160"/>
        <w:jc w:val="start"/>
      </w:pPr>
      <w:r>
        <w:rPr>
          <w:sz w:val="24"/>
          <w:szCs w:val="24"/>
          <w:rtl/>
        </w:rPr>
        <w:t xml:space="preserve">كذلك سجّلت منظمة الحق (Al-Haq) الفلسطينية، وهي من أعرق منظمات حقوق الإنسان في الشرق الأوسط، استهدافاً لعدد من باحثيها وموظّفيها الميدانيين، إضافة إلى تعرّض مكاتبها في رام الله لمضايقات إدارية متكرّرة. ولاحقاً، صنّفت السلطات الإسرائيلية ست منظمات حقوق إنسان فلسطينية كـ«منظمات إرهابية» في عام ٢٠٢١، وهو تصنيف رفضته أوروبا والاتحاد الأوروبي وصدر بشأنه بيانٌ مشترك من تسع دول أوروبية في ٢٠٢٢ تطالب فيه بإلغاء التصنيف لانعدام الأدلّة (EU Statement, يوليو ٢٠٢٢).</w:t>
      </w:r>
    </w:p>
    <w:p>
      <w:pPr>
        <w:bidi/>
        <w:spacing w:after="160"/>
        <w:jc w:val="start"/>
      </w:pPr>
      <w:r>
        <w:rPr>
          <w:sz w:val="24"/>
          <w:szCs w:val="24"/>
          <w:rtl/>
        </w:rPr>
        <w:t xml:space="preserve">## المعلّمون والمدارس</w:t>
      </w:r>
    </w:p>
    <w:p>
      <w:pPr>
        <w:bidi/>
        <w:spacing w:after="160"/>
        <w:jc w:val="start"/>
      </w:pPr>
      <w:r>
        <w:rPr>
          <w:sz w:val="24"/>
          <w:szCs w:val="24"/>
          <w:rtl/>
        </w:rPr>
        <w:t xml:space="preserve">وفّرت الأونروا أرقاماً يومية شبه فورية حول استهداف مدارسها التي كانت تستضيف نازحين. حتى منتصف ٢٠٢٥، تجاوز عدد المعلّمين والعاملين في القطاع التعليمي الذين قُتلوا ٤٥٠ معلّماً (UNRWA Education Statistics, ٢٠٢٥). أمّا المدارس فقد دُمّر منها أو تضرّر بشكل كبير ٨٥٪ من البنية المدرسية في القطاع (UNRWA, ٢٠٢٥). تعطّل نظامي للتعليم لما يقارب ٦٢٥,٠٠٠ تلميذ وتلميذة فلسطينيين بحسب اليونيسف (UNICEF, "Education in Emergency" ٢٠٢٤).</w:t>
      </w:r>
    </w:p>
    <w:p>
      <w:pPr>
        <w:bidi/>
        <w:spacing w:after="160"/>
        <w:jc w:val="start"/>
      </w:pPr>
      <w:r>
        <w:rPr>
          <w:sz w:val="24"/>
          <w:szCs w:val="24"/>
          <w:rtl/>
        </w:rPr>
        <w:t xml:space="preserve">استذكار اسم واحد لا يكفي، لكن قصة الأستاذ نزار هلسة، مدير مدرسة في مخيم جباليا، الذي بقي في مدرسته يستضيف النازحين رغم القصف المتكرّر حتى استُشهد في ضربة على المدرسة في نوفمبر ٢٠٢٣، تختصر نمطاً متكرّراً من التضحية الفردية في المؤسسات التعليمية (UNRWA Field Update, ٢٠٢٣).</w:t>
      </w:r>
    </w:p>
    <w:p>
      <w:pPr>
        <w:bidi/>
        <w:spacing w:after="160"/>
        <w:jc w:val="start"/>
      </w:pPr>
      <w:r>
        <w:rPr>
          <w:sz w:val="24"/>
          <w:szCs w:val="24"/>
          <w:rtl/>
        </w:rPr>
        <w:t xml:space="preserve">## استهداف العائلات الموسّعة لشخصيات مدنية بارزة</w:t>
      </w:r>
    </w:p>
    <w:p>
      <w:pPr>
        <w:bidi/>
        <w:spacing w:after="160"/>
        <w:jc w:val="start"/>
      </w:pPr>
      <w:r>
        <w:rPr>
          <w:sz w:val="24"/>
          <w:szCs w:val="24"/>
          <w:rtl/>
        </w:rPr>
        <w:t xml:space="preserve">نمط مقلق وثّقته منظمة الميزان والحق وهيومن رايتس ووتش هو ارتفاع نسبة الضحايا في «العائلات الممتدّة» للشخصيات المدنية البارزة. حين يُقصف منزل، يُقتل غالباً ١٥–٤٠ شخصاً من العائلة الموسّعة (آباء، أمّهات، إخوة، أحفاد)، وكثيراً ما يكون الشخص «المستهدف» إعلامياً أو مهنياً واحداً في القائمة. التقرير الصادر عن HRW في ديسمبر ٢٠٢٣ بعنوان "I Can't Erase All the Blood from My Mind" وثّق ٢٠ حادثة من هذا النوع وخلَص إلى أن «استخدام أسلحة كبيرة في أحياء سكنية مكتظّة، بدون أدلّة على هدف عسكري متناسب، يُشكّل جرائم حرب محتملة» (HRW Report, ديسمبر ٢٠٢٣).</w:t>
      </w:r>
    </w:p>
    <w:p>
      <w:pPr>
        <w:bidi/>
        <w:spacing w:after="160"/>
        <w:jc w:val="start"/>
      </w:pPr>
      <w:r>
        <w:rPr>
          <w:sz w:val="24"/>
          <w:szCs w:val="24"/>
          <w:rtl/>
        </w:rPr>
        <w:t xml:space="preserve">## نقابات المهنيّين كذاكرة مؤسّسية</w:t>
      </w:r>
    </w:p>
    <w:p>
      <w:pPr>
        <w:bidi/>
        <w:spacing w:after="160"/>
        <w:jc w:val="start"/>
      </w:pPr>
      <w:r>
        <w:rPr>
          <w:sz w:val="24"/>
          <w:szCs w:val="24"/>
          <w:rtl/>
        </w:rPr>
        <w:t xml:space="preserve">نقابة الأطباء الفلسطينيين، ونقابة المحامين، ونقابة المهندسين، ونقابة الصحفيين الفلسطينيين، تحتفظ كلّها بسجلّات يومية للضحايا من أعضائها. ميزة هذه السجلّات أنها تستند إلى عضوية موثّقة سلفاً (السجل المهني)، ما يجعلها مرجعاً محايداً لتعداد الفقدان في كل قطاع. توافر هذه السجلّات سيُمثّل مصدراً أساسياً لأيّ لجنة تحقيق دولية مستقبلية، وستُؤسّس عليه قواعد بيانات لاحقة عن الفقد البشري المؤسّسي في القطاع.</w:t>
      </w:r>
    </w:p>
    <w:p>
      <w:pPr>
        <w:bidi/>
        <w:spacing w:after="160"/>
        <w:jc w:val="start"/>
      </w:pPr>
      <w:r>
        <w:rPr>
          <w:sz w:val="24"/>
          <w:szCs w:val="24"/>
          <w:rtl/>
        </w:rPr>
        <w:t xml:space="preserve">## المعنى الأشمل: حين يُستهدف «النخبة الحاملة»</w:t>
      </w:r>
    </w:p>
    <w:p>
      <w:pPr>
        <w:bidi/>
        <w:spacing w:after="160"/>
        <w:jc w:val="start"/>
      </w:pPr>
      <w:r>
        <w:rPr>
          <w:sz w:val="24"/>
          <w:szCs w:val="24"/>
          <w:rtl/>
        </w:rPr>
        <w:t xml:space="preserve">ما يدعو إلى التأمّل في هذا الفصل ليس فقط عدد الضحايا في كل فئة، بل ما يعنيه فقدها على المدى البعيد. كل مجتمع — مهما تعرّض من ضرر فيزيائي — يستطيع إعادة بناء جدرانه وطُرقاته. لكن إعادة بناء «النخبة الحاملة»: الأطباء الاستشاريين، والأكاديميين الكبار، والمحامين الحقوقيين، والمعلّمين الموسوعيين — يحتاج إلى عقود لا سنوات. حين تُقتل «النخبة الحاملة» في مجتمع ما، يُصاب المجتمع بضرر يتجاوز حدود الموت الفردي إلى ما يصفه علماء الاجتماع بـ«الذاكرة المهنية المُجهضة».</w:t>
      </w:r>
    </w:p>
    <w:p>
      <w:pPr>
        <w:bidi/>
        <w:spacing w:after="160"/>
        <w:jc w:val="start"/>
      </w:pPr>
      <w:r>
        <w:rPr>
          <w:sz w:val="24"/>
          <w:szCs w:val="24"/>
          <w:rtl/>
        </w:rPr>
        <w:t xml:space="preserve">ليس المقصود هنا توصيف يثير الشفقة، بل توصيف قانوني محدّد. الفقه القانوني الناشئ — في تقارير اللجنة الدولية للصليب الأحمر، وفي اجتهادات محكمة العدل الدولية حول النزاعات السابقة — يميّز بين «الإصابة العسكرية الجانبية» وبين «الإهلاك المنهجي للبنية المدنية الحاملة». الأخير له اسم قانوني محدّد في القانون الدولي: تفكيك الجماعة بوصفها جماعة، وهو من الأركان المادّية للجريمة المنصوص عليها في اتفاقية منع الإبادة الجماعية لعام ١٩٤٨ (المادة ٢/ب وج).</w:t>
      </w:r>
    </w:p>
    <w:p>
      <w:pPr>
        <w:bidi/>
        <w:spacing w:after="160"/>
        <w:jc w:val="start"/>
      </w:pPr>
      <w:r>
        <w:rPr>
          <w:sz w:val="24"/>
          <w:szCs w:val="24"/>
          <w:rtl/>
        </w:rPr>
        <w:t xml:space="preserve">نحن لا ندّعي في هذا الفصل أن النية الجنائية لتطبيق هذا الإطار قد ثبتت قضائياً؛ هذا متروك للمحاكم. لكنّنا نسجّل ما يطرحه قانونيون وأكاديميون من حول العالم بوصفه سؤالاً مشروعاً يستدعي التحقيق. والمسؤولية في الإجابة عن هذا السؤال ليست على عاتق هذا الكتاب، بل على عاتق المنظومة القضائية الدولية. ومهمّة هذا الكتاب أن يحفظ السؤال حيّاً.</w:t>
      </w:r>
    </w:p>
    <w:p>
      <w:r>
        <w:br w:type="page"/>
      </w:r>
    </w:p>
    <w:p>
      <w:pPr>
        <w:bidi/>
        <w:spacing w:after="360" w:before="600"/>
        <w:jc w:val="center"/>
      </w:pPr>
      <w:r>
        <w:rPr>
          <w:b/>
          <w:bCs/>
          <w:color w:val="1B3A5C"/>
          <w:sz w:val="36"/>
          <w:szCs w:val="36"/>
          <w:rtl/>
        </w:rPr>
        <w:t xml:space="preserve">الفصل السادس: هل كان ذلك عمداً؟ القانون الدولي والأدلّة</w:t>
      </w:r>
    </w:p>
    <w:p>
      <w:pPr>
        <w:bidi/>
        <w:spacing w:after="160"/>
        <w:jc w:val="start"/>
      </w:pPr>
      <w:r>
        <w:rPr>
          <w:sz w:val="24"/>
          <w:szCs w:val="24"/>
          <w:rtl/>
        </w:rPr>
        <w:t xml:space="preserve">&gt; ﴿يَا أَيُّهَا الَّذِينَ آمَنُوا كُونُوا قَوَّامِينَ بِالْقِسْطِ شُهَدَاءَ لِلَّهِ وَلَوْ عَلَىٰ أَنفُسِكُمْ﴾ — النساء: ١٣٥</w:t>
      </w:r>
    </w:p>
    <w:p>
      <w:pPr>
        <w:bidi/>
        <w:spacing w:after="160"/>
        <w:jc w:val="start"/>
      </w:pPr>
      <w:r>
        <w:rPr>
          <w:sz w:val="24"/>
          <w:szCs w:val="24"/>
          <w:rtl/>
        </w:rPr>
        <w:t xml:space="preserve">## السؤال الجوهري</w:t>
      </w:r>
    </w:p>
    <w:p>
      <w:pPr>
        <w:bidi/>
        <w:spacing w:after="160"/>
        <w:jc w:val="start"/>
      </w:pPr>
      <w:r>
        <w:rPr>
          <w:sz w:val="24"/>
          <w:szCs w:val="24"/>
          <w:rtl/>
        </w:rPr>
        <w:t xml:space="preserve">السؤال الذي يطرحه عنوان هذا الفصل ليس سؤالاً عاطفياً، بل سؤال قانوني صارم له معايير محدّدة. في القانون الدولي، الفرق بين «القتل» و«جريمة الحرب» يكمن في عناصر أربعة: السلوك، والعلم، والقصد، والظرف القانوني. لا يكفي أن يموت شخص في الحرب لتكون وفاته جريمة حرب؛ يجب أن تتوافر الأركان القانونية المحدّدة في نظام روما الأساسي للمحكمة الجنائية الدولية (المادة ٣٠ والمادة ٨/٢) وفي القانون العرفي الدولي.</w:t>
      </w:r>
    </w:p>
    <w:p>
      <w:pPr>
        <w:bidi/>
        <w:spacing w:after="160"/>
        <w:jc w:val="start"/>
      </w:pPr>
      <w:r>
        <w:rPr>
          <w:sz w:val="24"/>
          <w:szCs w:val="24"/>
          <w:rtl/>
        </w:rPr>
        <w:t xml:space="preserve">في هذا الفصل، سنتناول السؤال بمنهج هادئ ومتسلسل: ما هي مبادئ القانون الإنساني الدولي ذات الصلة؟ ما هو معيار «التعمّد» القانوني؟ ما الأدلّة المتاحة في الحالات الموثّقة؟ وما هي الإجراءات القانونية الدولية الجارية حالياً؟ سنترك للقارئ الحكم على ما إذا كانت الأدلّة المتاحة كافية أم لا، لكنّنا سنُسجّل حال هذه الأدلّة كما هي، ومصادرها كما هي، دون تفسير يتجاوز ما يقوله المحقّقون أنفسهم.</w:t>
      </w:r>
    </w:p>
    <w:p>
      <w:pPr>
        <w:bidi/>
        <w:spacing w:after="160"/>
        <w:jc w:val="start"/>
      </w:pPr>
      <w:r>
        <w:rPr>
          <w:sz w:val="24"/>
          <w:szCs w:val="24"/>
          <w:rtl/>
        </w:rPr>
        <w:t xml:space="preserve">## المبادئ الثلاثة: التمييز، التناسب، الاحتياط</w:t>
      </w:r>
    </w:p>
    <w:p>
      <w:pPr>
        <w:bidi/>
        <w:spacing w:after="160"/>
        <w:jc w:val="start"/>
      </w:pPr>
      <w:r>
        <w:rPr>
          <w:sz w:val="24"/>
          <w:szCs w:val="24"/>
          <w:rtl/>
        </w:rPr>
        <w:t xml:space="preserve">النواة الصلبة للقانون الإنساني الدولي تتمحور حول ثلاثة مبادئ رئيسية، وُضعت في البروتوكول الإضافي الأول لاتفاقيات جنيف لعام ١٩٧٧، وأُسّست عليها معظم اجتهادات محكمة العدل الدولية ومحاكم يوغوسلافيا ورواندا الجنائية.</w:t>
      </w:r>
    </w:p>
    <w:p>
      <w:pPr>
        <w:bidi/>
        <w:spacing w:after="160"/>
        <w:jc w:val="start"/>
      </w:pPr>
      <w:r>
        <w:rPr>
          <w:sz w:val="24"/>
          <w:szCs w:val="24"/>
          <w:rtl/>
        </w:rPr>
        <w:t xml:space="preserve">**أولاً، مبدأ التمييز** (المادة ٤٨ من البروتوكول الأول): على الأطراف المتحاربة أن تميّز في كل وقت بين السكان المدنيين والمقاتلين، وبين الأعيان المدنية والأهداف العسكرية، وألاّ توجّه عملياتها إلا ضدّ الأهداف العسكرية. هذا المبدأ مطلق وغير قابل للتجاوز حتى في حالات الضرورة العسكرية.</w:t>
      </w:r>
    </w:p>
    <w:p>
      <w:pPr>
        <w:bidi/>
        <w:spacing w:after="160"/>
        <w:jc w:val="start"/>
      </w:pPr>
      <w:r>
        <w:rPr>
          <w:sz w:val="24"/>
          <w:szCs w:val="24"/>
          <w:rtl/>
        </w:rPr>
        <w:t xml:space="preserve">**ثانياً، مبدأ التناسب** (المادة ٥١/٥/ب): يُحظر «شنّ أيّ هجوم يمكن أن يتوقّع منه أن يُحدِث إصابات بالأرواح بين المدنيين، أو إضراراً بالأعيان المدنية، أو كلاهما معاً، وتُفرط هذه في تجاوز ما يُنتظر أن يُسفر عنه ذلك الهجوم من ميزة عسكرية ملموسة ومباشرة». الاختبار هنا «الإفراط الواضح» في الإصابات المدنية مقابل الميزة العسكرية، وليس مجرد وقوع إصابات.</w:t>
      </w:r>
    </w:p>
    <w:p>
      <w:pPr>
        <w:bidi/>
        <w:spacing w:after="160"/>
        <w:jc w:val="start"/>
      </w:pPr>
      <w:r>
        <w:rPr>
          <w:sz w:val="24"/>
          <w:szCs w:val="24"/>
          <w:rtl/>
        </w:rPr>
        <w:t xml:space="preserve">**ثالثاً، مبدأ الاحتياطات** (المادة ٥٧): على الأطراف المتحاربة أن تتّخذ كل الاحتياطات المستطاعة في الهجوم لتجنّب وتقليل الإصابات في أرواح المدنيين والأضرار بالأعيان المدنية. هذا يشمل: التحقّق من طبيعة الهدف، اختيار أساليب الهجوم وأسلحته بما يقلّل الإصابات المدنية، تعليق أو إلغاء الهجوم إذا تبيّن أن الهدف غير عسكري أو أن الإصابات المدنية ستكون مفرطة، وتوجيه إنذار مسبق فعّال (Effective Advance Warning) متى كانت الظروف تسمح بذلك.</w:t>
      </w:r>
    </w:p>
    <w:p>
      <w:pPr>
        <w:bidi/>
        <w:spacing w:after="160"/>
        <w:jc w:val="start"/>
      </w:pPr>
      <w:r>
        <w:rPr>
          <w:sz w:val="24"/>
          <w:szCs w:val="24"/>
          <w:rtl/>
        </w:rPr>
        <w:t xml:space="preserve">## ما هو معيار «التعمّد» القانوني؟</w:t>
      </w:r>
    </w:p>
    <w:p>
      <w:pPr>
        <w:bidi/>
        <w:spacing w:after="160"/>
        <w:jc w:val="start"/>
      </w:pPr>
      <w:r>
        <w:rPr>
          <w:sz w:val="24"/>
          <w:szCs w:val="24"/>
          <w:rtl/>
        </w:rPr>
        <w:t xml:space="preserve">في الفقه الجنائي الدولي، «التعمّد» (Intent / Dolus) لا يعني فقط أن الفاعل أراد النتيجة بشكل مباشر. هناك ثلاثة مستويات مُعترف بها في نظام روما (المادة ٣٠) وفي اجتهادات محاكم يوغوسلافيا ورواندا:</w:t>
      </w:r>
    </w:p>
    <w:p>
      <w:pPr>
        <w:bidi/>
        <w:spacing w:after="160"/>
        <w:jc w:val="start"/>
      </w:pPr>
      <w:r>
        <w:rPr>
          <w:sz w:val="24"/>
          <w:szCs w:val="24"/>
          <w:rtl/>
        </w:rPr>
        <w:t xml:space="preserve">**القصد المباشر (Dolus Directus من الدرجة الأولى)**: الفاعل أراد بشكل مباشر تحقيق النتيجة المحظورة. مثال: إطلاق نار على شخص بنية قتله.</w:t>
      </w:r>
    </w:p>
    <w:p>
      <w:pPr>
        <w:bidi/>
        <w:spacing w:after="160"/>
        <w:jc w:val="start"/>
      </w:pPr>
      <w:r>
        <w:rPr>
          <w:sz w:val="24"/>
          <w:szCs w:val="24"/>
          <w:rtl/>
        </w:rPr>
        <w:t xml:space="preserve">**القصد المعرفيّ (Dolus Directus من الدرجة الثانية)**: الفاعل علم أن النتيجة المحظورة ستقع تقريباً بشكل حتميّ نتيجةً لسلوكه، حتى لو لم تكن النتيجة هي هدفه الأصلي. مثال: إلقاء قنبلة على مبنى يعلم أن فيه مدنيين بنية إصابة هدف عسكري.</w:t>
      </w:r>
    </w:p>
    <w:p>
      <w:pPr>
        <w:bidi/>
        <w:spacing w:after="160"/>
        <w:jc w:val="start"/>
      </w:pPr>
      <w:r>
        <w:rPr>
          <w:sz w:val="24"/>
          <w:szCs w:val="24"/>
          <w:rtl/>
        </w:rPr>
        <w:t xml:space="preserve">**القصد الاحتمالي (Dolus Eventualis)**: الفاعل توقّع أن النتيجة المحظورة قد تقع، وقَبِل بهذا الاحتمال، وواصل سلوكه. هذا المعيار محلّ خلاف فقهيّ بين المدرسة الأنغلو-سكسونية (التي تستخدم مفهوم Recklessness بدلاً منه) والمدرسة الأوروبية القارّية، لكن المحكمة الدولية الجنائية أقرّت بشكل من أشكاله في قضية «لوبانغا» (ICC, Lubanga Case ٢٠١٢).</w:t>
      </w:r>
    </w:p>
    <w:p>
      <w:pPr>
        <w:bidi/>
        <w:spacing w:after="160"/>
        <w:jc w:val="start"/>
      </w:pPr>
      <w:r>
        <w:rPr>
          <w:sz w:val="24"/>
          <w:szCs w:val="24"/>
          <w:rtl/>
        </w:rPr>
        <w:t xml:space="preserve">في حالة استهداف الصحفيين والعاملين الإنسانيين والمدنيين البارزين، فإن الاختبار الذي يطبّقه المحقّقون في معظم الحالات هو معيار **«علم أو ينبغي أن يعلم»** (Knew or Should Have Known). إن كانت الظروف الموضوعية (وضوح علامات «PRESS»، التنسيق المسبق، طبيعة المركبة الإنسانية) تجعل من غير الممكن لشخص يقوم بالاحتياطات اللازمة أن يخطئ في الهوية، فإن «الجهل المُدّعى» لا يُعفي من المسؤولية. هذا الاختبار طبّقته محكمة يوغوسلافيا الجنائية الدولية في عدد من قضاياها، ومنها قضية «Galić» المتعلقة بقصف سراييفو (ICTY, Galić Case ٢٠٠٣).</w:t>
      </w:r>
    </w:p>
    <w:p>
      <w:pPr>
        <w:bidi/>
        <w:spacing w:after="160"/>
        <w:jc w:val="start"/>
      </w:pPr>
      <w:r>
        <w:rPr>
          <w:sz w:val="24"/>
          <w:szCs w:val="24"/>
          <w:rtl/>
        </w:rPr>
        <w:t xml:space="preserve">## ما تقوله الأدلّة في حالة عصام عبد الله</w:t>
      </w:r>
    </w:p>
    <w:p>
      <w:pPr>
        <w:bidi/>
        <w:spacing w:after="160"/>
        <w:jc w:val="start"/>
      </w:pPr>
      <w:r>
        <w:rPr>
          <w:sz w:val="24"/>
          <w:szCs w:val="24"/>
          <w:rtl/>
        </w:rPr>
        <w:t xml:space="preserve">طُبّق هذا الاختبار بشكل صريح في قضية المراسل الصحفي عصام عبد الله. الأدلّة التي جمعها كل من رويترز، وهيومن رايتس ووتش، ومنظمة العفو الدولية تتقاطع في خلاصة موحّدة. نلخّصها هنا:</w:t>
      </w:r>
    </w:p>
    <w:p>
      <w:pPr>
        <w:bidi/>
        <w:spacing w:after="160"/>
        <w:jc w:val="start"/>
      </w:pPr>
      <w:r>
        <w:rPr>
          <w:sz w:val="24"/>
          <w:szCs w:val="24"/>
          <w:rtl/>
        </w:rPr>
        <w:t xml:space="preserve">١. كان الصحفيون السبعة في موقع علني على تلّة، يقفون منذ ساعة كاملة قبل الضربة، يحملون كاميرات على ركائز ثلاثية مرتفعة، يرتدون صدريات «PRESS» الزرقاء الواضحة، وعرباتهم موسومة بشعار «TV» الكبير على الأسطح (Reuters Investigation, ديسمبر ٢٠٢٣).</w:t>
      </w:r>
    </w:p>
    <w:p>
      <w:pPr>
        <w:bidi/>
        <w:spacing w:after="160"/>
        <w:jc w:val="start"/>
      </w:pPr>
      <w:r>
        <w:rPr>
          <w:sz w:val="24"/>
          <w:szCs w:val="24"/>
          <w:rtl/>
        </w:rPr>
        <w:t xml:space="preserve">٢. الموقع كان مرئياً بوضوح من الجانب الإسرائيلي للحدود بمسافة تقدّر بحوالي ١٫٥ كيلومتر، ضمن حقل رؤية يسمح بالتمييز البصري بمعدّات الرؤية الحرارية والمشاهد البصرية للدبابة (HRW Investigation, ٢٠٢٣).</w:t>
      </w:r>
    </w:p>
    <w:p>
      <w:pPr>
        <w:bidi/>
        <w:spacing w:after="160"/>
        <w:jc w:val="start"/>
      </w:pPr>
      <w:r>
        <w:rPr>
          <w:sz w:val="24"/>
          <w:szCs w:val="24"/>
          <w:rtl/>
        </w:rPr>
        <w:t xml:space="preserve">٣. قبل الضربة بساعة، كانت طائرة استطلاع إسرائيلية تحلّق فوق الموقع — وهو ما تأكّد من تسجيلات الكاميرات الميدانية ومن سجلّات الطائرات — مما يُشير إلى أن الموقع كان معروفاً للجانب الإسرائيلي (Amnesty Investigation, ٢٠٢٣).</w:t>
      </w:r>
    </w:p>
    <w:p>
      <w:pPr>
        <w:bidi/>
        <w:spacing w:after="160"/>
        <w:jc w:val="start"/>
      </w:pPr>
      <w:r>
        <w:rPr>
          <w:sz w:val="24"/>
          <w:szCs w:val="24"/>
          <w:rtl/>
        </w:rPr>
        <w:t xml:space="preserve">٤. القذيفة التي ضربت المجموعة كانت قذيفة دبابة من نوع ١٢٠ ملم، وتحليل الذخيرة المتفجّرة الذي أجراه خبراء الذخائر في Amnesty International طابق الذخيرة المستخدمة من قِبَل المركبات المدرّعة الإسرائيلية في تلك المنطقة في تلك الساعة.</w:t>
      </w:r>
    </w:p>
    <w:p>
      <w:pPr>
        <w:bidi/>
        <w:spacing w:after="160"/>
        <w:jc w:val="start"/>
      </w:pPr>
      <w:r>
        <w:rPr>
          <w:sz w:val="24"/>
          <w:szCs w:val="24"/>
          <w:rtl/>
        </w:rPr>
        <w:t xml:space="preserve">٥. القذيفة الثانية أُطلقت بعد ٣٧ ثانية فقط من الأولى، وأصابت المجموعة ذاتها بعد أن كان الصحفيون بدأوا التشتّت لإسعاف عصام. هذا التتابع — حسب تحليل HRW — لا ينسجم مع فرضية «الضربة العشوائية»، بل ينسجم مع نمط «الضربة الثانية المؤكّدة» (Confirming Strike) الذي وُثّق في حالات استهداف متعمّد سابقة.</w:t>
      </w:r>
    </w:p>
    <w:p>
      <w:pPr>
        <w:bidi/>
        <w:spacing w:after="160"/>
        <w:jc w:val="start"/>
      </w:pPr>
      <w:r>
        <w:rPr>
          <w:sz w:val="24"/>
          <w:szCs w:val="24"/>
          <w:rtl/>
        </w:rPr>
        <w:t xml:space="preserve">تخلص HRW وAmnesty إلى أن «الأدلّة المتاحة تشير إلى أن الهجوم كان إمّا متعمّداً أو منفّذاً بإخفاق فاحش في تطبيق الاحتياطات»، وأن «هذا يُشكّل جريمة حرب محتملة بحسب نظام روما الأساسي» (HRW, ديسمبر ٢٠٢٣؛ Amnesty, ديسمبر ٢٠٢٣).</w:t>
      </w:r>
    </w:p>
    <w:p>
      <w:pPr>
        <w:bidi/>
        <w:spacing w:after="160"/>
        <w:jc w:val="start"/>
      </w:pPr>
      <w:r>
        <w:rPr>
          <w:sz w:val="24"/>
          <w:szCs w:val="24"/>
          <w:rtl/>
        </w:rPr>
        <w:t xml:space="preserve">## ما تقوله الأدلّة في حالة WCK</w:t>
      </w:r>
    </w:p>
    <w:p>
      <w:pPr>
        <w:bidi/>
        <w:spacing w:after="160"/>
        <w:jc w:val="start"/>
      </w:pPr>
      <w:r>
        <w:rPr>
          <w:sz w:val="24"/>
          <w:szCs w:val="24"/>
          <w:rtl/>
        </w:rPr>
        <w:t xml:space="preserve">في قضية المطبخ المركزي العالمي، تتوافر أدلّة موضوعية مماثلة من حيث الوضوح:</w:t>
      </w:r>
    </w:p>
    <w:p>
      <w:pPr>
        <w:bidi/>
        <w:spacing w:after="160"/>
        <w:jc w:val="start"/>
      </w:pPr>
      <w:r>
        <w:rPr>
          <w:sz w:val="24"/>
          <w:szCs w:val="24"/>
          <w:rtl/>
        </w:rPr>
        <w:t xml:space="preserve">١. التنسيق المسبق المؤكّد عبر آلية Deconfliction، الموثّق في رسائل بريد إلكتروني ومراسلات نصية محفوظة لدى WCK (WCK Internal Report, مايو ٢٠٢٤).</w:t>
      </w:r>
    </w:p>
    <w:p>
      <w:pPr>
        <w:bidi/>
        <w:spacing w:after="160"/>
        <w:jc w:val="start"/>
      </w:pPr>
      <w:r>
        <w:rPr>
          <w:sz w:val="24"/>
          <w:szCs w:val="24"/>
          <w:rtl/>
        </w:rPr>
        <w:t xml:space="preserve">٢. وضوح الشعار على المركبات: شعار WCK على الأسطح بحجم ٢ × ١ متر، بألوان زاهية، يمكن التمييز بصرياً من ارتفاعات تحليق الطائرات المسيّرة (تتراوح بين ٤,٠٠٠ و ٢٠,٠٠٠ قدم).</w:t>
      </w:r>
    </w:p>
    <w:p>
      <w:pPr>
        <w:bidi/>
        <w:spacing w:after="160"/>
        <w:jc w:val="start"/>
      </w:pPr>
      <w:r>
        <w:rPr>
          <w:sz w:val="24"/>
          <w:szCs w:val="24"/>
          <w:rtl/>
        </w:rPr>
        <w:t xml:space="preserve">٣. الضربات الثلاث المتتالية، المنفصلة زمنياً (ما يقرب من خمس دقائق بين كلّ ضربة)، التي أصابت المركبات بشكل متسلسل بعد إخلائها من المركبة الأولى. هذا النمط — وفق تحليل Forensic Architecture — يتعارض مع فرضية «الإصابة العشوائية» ويتسق مع فرضية القصد المعرفي على الأقل.</w:t>
      </w:r>
    </w:p>
    <w:p>
      <w:pPr>
        <w:bidi/>
        <w:spacing w:after="160"/>
        <w:jc w:val="start"/>
      </w:pPr>
      <w:r>
        <w:rPr>
          <w:sz w:val="24"/>
          <w:szCs w:val="24"/>
          <w:rtl/>
        </w:rPr>
        <w:t xml:space="preserve">٤. إقرار الجيش الإسرائيلي ذاته، في تحقيقه الداخلي، بأن «إجراءات تحديد الهوية لم تُطبَّق بالشكل الصحيح» (IDF Press Release, ٥ أبريل ٢٠٢٤). هذا الإقرار الذاتي بالقصور في الاحتياطات يُمثّل اعترافاً جزئياً بأن أحد أركان الجريمة (الإهمال الفاحش في تطبيق مبدأ الاحتياط) كان قائماً.</w:t>
      </w:r>
    </w:p>
    <w:p>
      <w:pPr>
        <w:bidi/>
        <w:spacing w:after="160"/>
        <w:jc w:val="start"/>
      </w:pPr>
      <w:r>
        <w:rPr>
          <w:sz w:val="24"/>
          <w:szCs w:val="24"/>
          <w:rtl/>
        </w:rPr>
        <w:t xml:space="preserve">## القرارات الدولية القائمة</w:t>
      </w:r>
    </w:p>
    <w:p>
      <w:pPr>
        <w:bidi/>
        <w:spacing w:after="160"/>
        <w:jc w:val="start"/>
      </w:pPr>
      <w:r>
        <w:rPr>
          <w:sz w:val="24"/>
          <w:szCs w:val="24"/>
          <w:rtl/>
        </w:rPr>
        <w:t xml:space="preserve">هذه الأدلّة لم تبقَ نظرية؛ بل دخلت في إجراءات قضائية دولية فعلية:</w:t>
      </w:r>
    </w:p>
    <w:p>
      <w:pPr>
        <w:bidi/>
        <w:spacing w:after="160"/>
        <w:jc w:val="start"/>
      </w:pPr>
      <w:r>
        <w:rPr>
          <w:sz w:val="24"/>
          <w:szCs w:val="24"/>
          <w:rtl/>
        </w:rPr>
        <w:t xml:space="preserve">**محكمة العدل الدولية (ICJ)**: في يناير ٢٠٢٤، أصدرت محكمة العدل الدولية قراراً تاريخياً بشأن الدعوى التي رفعتها جنوب أفريقيا ضد إسرائيل بموجب اتفاقية منع الإبادة الجماعية. القرار «التدابير المؤقتة» (Provisional Measures) لم يُقرّر وقوع الإبادة بعد — هذا يحتاج لسنوات من المحاكمة — لكنه قرّر أن «جنوب أفريقيا قدّمت ادّعاءات معقولة بأن أفعال إسرائيل قد تقع ضمن نطاق اتفاقية الإبادة»، وأمر إسرائيل باتّخاذ تدابير لمنع تصاعد الوضع (ICJ, Order of 26 January 2024). في مايو ٢٠٢٤، عزّزت المحكمة قراراتها بطلب وقف العمليات العسكرية في رفح. القرارات الموثّقة لـICJ تُعدّ مرجعاً قانونياً ملزماً بحسب نظام المحكمة.</w:t>
      </w:r>
    </w:p>
    <w:p>
      <w:pPr>
        <w:bidi/>
        <w:spacing w:after="160"/>
        <w:jc w:val="start"/>
      </w:pPr>
      <w:r>
        <w:rPr>
          <w:sz w:val="24"/>
          <w:szCs w:val="24"/>
          <w:rtl/>
        </w:rPr>
        <w:t xml:space="preserve">**المحكمة الجنائية الدولية (ICC)**: في مايو ٢٠٢٤، أعلن المدعي العام للمحكمة كريم خان طلبه إصدار مذكّرات اعتقال بحقّ كلّ من رئيس الوزراء الإسرائيلي بنيامين نتنياهو ووزير الدفاع السابق يوآف غالانت، وكذلك بحقّ ثلاثة من قادة حماس (يحيى السنوار، ومحمد الضيف، وإسماعيل هنية، اللذين قُتل اثنان منهما لاحقاً). الاتّهامات تشمل: التجويع كأسلوب حرب، الاضطهاد، القتل العمد، توجيه هجمات على المدنيين، وأفعال لاإنسانية أخرى (ICC Prosecutor Statement, ٢٠ مايو ٢٠٢٤). في نوفمبر ٢٠٢٤، أصدرت غرفة ما قبل المحاكمة في ICC مذكّرات اعتقال رسمية بحقّ نتنياهو وغالانت (ICC Decision, ٢١ نوفمبر ٢٠٢٤). هذا أوّل قرار من نوعه تصدره المحكمة بحقّ مسؤولين تنفيذيين في دولة حليفة قريبة من القوى الغربية الكبرى.</w:t>
      </w:r>
    </w:p>
    <w:p>
      <w:pPr>
        <w:bidi/>
        <w:spacing w:after="160"/>
        <w:jc w:val="start"/>
      </w:pPr>
      <w:r>
        <w:rPr>
          <w:sz w:val="24"/>
          <w:szCs w:val="24"/>
          <w:rtl/>
        </w:rPr>
        <w:t xml:space="preserve">## التحفّظات والاعتبارات المضادّة</w:t>
      </w:r>
    </w:p>
    <w:p>
      <w:pPr>
        <w:bidi/>
        <w:spacing w:after="160"/>
        <w:jc w:val="start"/>
      </w:pPr>
      <w:r>
        <w:rPr>
          <w:sz w:val="24"/>
          <w:szCs w:val="24"/>
          <w:rtl/>
        </w:rPr>
        <w:t xml:space="preserve">من باب الأمانة العلمية، لا بدّ من تسجيل بعض التحفّظات الجوهرية:</w:t>
      </w:r>
    </w:p>
    <w:p>
      <w:pPr>
        <w:bidi/>
        <w:spacing w:after="160"/>
        <w:jc w:val="start"/>
      </w:pPr>
      <w:r>
        <w:rPr>
          <w:sz w:val="24"/>
          <w:szCs w:val="24"/>
          <w:rtl/>
        </w:rPr>
        <w:t xml:space="preserve">١. **الفرضية المضادّة من الجانب الإسرائيلي**: تُجادل الحكومة الإسرائيلية بأن جميع هذه الحالات كانت أخطاء في تحديد الهوية، أو أن الضحايا كانوا في «موقع مُختلَط» (نسبة المقاتلين والمدنيين)، أو أن الصحفي أو العامل الإنساني المعنيّ كان «مرتبطاً تشغيلياً» بحركة حماس. كل واحدة من هذه الفرضيات تستحقّ الفحص القانوني، وقد فحصها المحقّقون المستقلون في عدد من الحالات وأقرّوا بأنها لا تصمد أمام الأدلّة الميدانية المتاحة.</w:t>
      </w:r>
    </w:p>
    <w:p>
      <w:pPr>
        <w:bidi/>
        <w:spacing w:after="160"/>
        <w:jc w:val="start"/>
      </w:pPr>
      <w:r>
        <w:rPr>
          <w:sz w:val="24"/>
          <w:szCs w:val="24"/>
          <w:rtl/>
        </w:rPr>
        <w:t xml:space="preserve">٢. **محدودية الوصول للأدلّة**: أحد التحدّيات الكبرى أمام التحقيق الجنائي الدولي هو أن الأدلّة العسكرية الجوهرية (سجلّات الطائرات، تسجيلات الاتصالات، تعليمات إطلاق النار) محفوظة لدى الجيش الإسرائيلي، الذي لم يتعاون مع آليات التحقيق المستقلة. هذا يُصعّب — لكن لا يستحيل — إثبات «النية» بالمعنى القانوني.</w:t>
      </w:r>
    </w:p>
    <w:p>
      <w:pPr>
        <w:bidi/>
        <w:spacing w:after="160"/>
        <w:jc w:val="start"/>
      </w:pPr>
      <w:r>
        <w:rPr>
          <w:sz w:val="24"/>
          <w:szCs w:val="24"/>
          <w:rtl/>
        </w:rPr>
        <w:t xml:space="preserve">٣. **النمط مقابل الحادثة الفردية**: التحقيق الجنائي يُعنى عادة بالحادثة الفردية، بينما النمط (Pattern) يُحقَّق فيه كجريمة حرب منفصلة — توجيه هجمات منهجية على فئة محمية. هذا الانتقال من الحادثة إلى النمط يُمثّل تطوراً قانونياً تستفيد منه التحقيقات الجارية.</w:t>
      </w:r>
    </w:p>
    <w:p>
      <w:pPr>
        <w:bidi/>
        <w:spacing w:after="160"/>
        <w:jc w:val="start"/>
      </w:pPr>
      <w:r>
        <w:rPr>
          <w:sz w:val="24"/>
          <w:szCs w:val="24"/>
          <w:rtl/>
        </w:rPr>
        <w:t xml:space="preserve">## الخلاصة: السؤال يبقى مفتوحاً قانونياً</w:t>
      </w:r>
    </w:p>
    <w:p>
      <w:pPr>
        <w:bidi/>
        <w:spacing w:after="160"/>
        <w:jc w:val="start"/>
      </w:pPr>
      <w:r>
        <w:rPr>
          <w:sz w:val="24"/>
          <w:szCs w:val="24"/>
          <w:rtl/>
        </w:rPr>
        <w:t xml:space="preserve">لا يستطيع هذا الكتاب أن يُصدر حكماً قضائياً. وحدها المحاكم الدولية، بإجراءاتها، تستطيع. لكنّ ما يستطيع هذا الكتاب أن يُسجّله هو أن **سؤال «هل كان ذلك عمداً؟»** قد دخل بشكل قاطع في الفضاء القانوني الدولي، وأن **ادّعاءات معقولة بوقوع جرائم حرب** قد قبلتها أعلى محكمة في النظام الأممي (محكمة العدل الدولية)، وأن **مذكّرات اعتقال** صدرت بحقّ مسؤولين سياسيين وعسكريين كبار. هذا في حدّ ذاته حدث تاريخي، بصرف النظر عن النتيجة النهائية للمحاكمات.</w:t>
      </w:r>
    </w:p>
    <w:p>
      <w:pPr>
        <w:bidi/>
        <w:spacing w:after="160"/>
        <w:jc w:val="start"/>
      </w:pPr>
      <w:r>
        <w:rPr>
          <w:sz w:val="24"/>
          <w:szCs w:val="24"/>
          <w:rtl/>
        </w:rPr>
        <w:t xml:space="preserve">والمسؤولية على من يأتي بعدنا أن يُكمل التحقيق، وأن يضمن أن تُغلق الفجوة بين الأدلّة المتاحة والمساءلة الفعلية. والقاعدة الفقهية الذهبية في القانون الجنائي الدولي تُختصر في كلمتين: **No Impunity** — لا إفلات. والله العالم بما يحكم به أهل الحكم، وحُسبنا أن نُسجّل ما رأينا.</w:t>
      </w:r>
    </w:p>
    <w:p>
      <w:r>
        <w:br w:type="page"/>
      </w:r>
    </w:p>
    <w:p>
      <w:pPr>
        <w:bidi/>
        <w:spacing w:after="360" w:before="600"/>
        <w:jc w:val="center"/>
      </w:pPr>
      <w:r>
        <w:rPr>
          <w:b/>
          <w:bCs/>
          <w:color w:val="1B3A5C"/>
          <w:sz w:val="36"/>
          <w:szCs w:val="36"/>
          <w:rtl/>
        </w:rPr>
        <w:t xml:space="preserve">الفصل السابع: التحقيقات — ماذا وجدت المنظمات؟</w:t>
      </w:r>
    </w:p>
    <w:p>
      <w:pPr>
        <w:bidi/>
        <w:spacing w:after="160"/>
        <w:jc w:val="start"/>
      </w:pPr>
      <w:r>
        <w:rPr>
          <w:sz w:val="24"/>
          <w:szCs w:val="24"/>
          <w:rtl/>
        </w:rPr>
        <w:t xml:space="preserve">&gt; ﴿وَلَا تَقْفُ مَا لَيْسَ لَكَ بِهِ عِلْمٌ إِنَّ السَّمْعَ وَالْبَصَرَ وَالْفُؤَادَ كُلُّ أُولَٰئِكَ كَانَ عَنْهُ مَسْئُولًا﴾ — الإسراء: ٣٦</w:t>
      </w:r>
    </w:p>
    <w:p>
      <w:pPr>
        <w:bidi/>
        <w:spacing w:after="160"/>
        <w:jc w:val="start"/>
      </w:pPr>
      <w:r>
        <w:rPr>
          <w:sz w:val="24"/>
          <w:szCs w:val="24"/>
          <w:rtl/>
        </w:rPr>
        <w:t xml:space="preserve">## منهجية التحقيق المستقلّ</w:t>
      </w:r>
    </w:p>
    <w:p>
      <w:pPr>
        <w:bidi/>
        <w:spacing w:after="160"/>
        <w:jc w:val="start"/>
      </w:pPr>
      <w:r>
        <w:rPr>
          <w:sz w:val="24"/>
          <w:szCs w:val="24"/>
          <w:rtl/>
        </w:rPr>
        <w:t xml:space="preserve">لا يكتمل توثيق نزاع من النزاعات إلا عبر تحقيقات تجريها أطراف لا مصلحة مباشرة لها في النتيجة. القانون الإنساني الدولي ذاته يفترض هذا المبدأ: المتّهم لا يستطيع أن يكون قاضياً في قضيّته. لذلك أنشأت منظومة الأمم المتحدة، ومنظمات حقوق الإنسان الدولية، ووسائل إعلام محترفة، طبقاتٍ من التحقيق المستقلّ تتوازى وتتقاطع وتُكمل بعضها بعضاً. في هذا الفصل، سنستعرض أبرز التحقيقات المنشورة حتى الآن، مع التركيز على منهجياتها وخلاصاتها العلنيّة.</w:t>
      </w:r>
    </w:p>
    <w:p>
      <w:pPr>
        <w:bidi/>
        <w:spacing w:after="160"/>
        <w:jc w:val="start"/>
      </w:pPr>
      <w:r>
        <w:rPr>
          <w:sz w:val="24"/>
          <w:szCs w:val="24"/>
          <w:rtl/>
        </w:rPr>
        <w:t xml:space="preserve">ثمّة ثلاث أنواع من التحقيقات الموثّقة في هذا النزاع: (١) تحقيقات منظمات حقوق الإنسان الدولية، (٢) تحقيقات وسائل الإعلام الكبرى التي تستخدم تقنيات التحقّق المفتوح المصدر (OSINT)، (٣) تحقيقات الأمم المتحدة الرسمية، بما فيها لجنة التحقيق الدولية المستقلة. سننظر في كلٍّ منها بدوره.</w:t>
      </w:r>
    </w:p>
    <w:p>
      <w:pPr>
        <w:bidi/>
        <w:spacing w:after="160"/>
        <w:jc w:val="start"/>
      </w:pPr>
      <w:r>
        <w:rPr>
          <w:sz w:val="24"/>
          <w:szCs w:val="24"/>
          <w:rtl/>
        </w:rPr>
        <w:t xml:space="preserve">## أوّلاً: تحقيقات هيومن رايتس ووتش (HRW)</w:t>
      </w:r>
    </w:p>
    <w:p>
      <w:pPr>
        <w:bidi/>
        <w:spacing w:after="160"/>
        <w:jc w:val="start"/>
      </w:pPr>
      <w:r>
        <w:rPr>
          <w:sz w:val="24"/>
          <w:szCs w:val="24"/>
          <w:rtl/>
        </w:rPr>
        <w:t xml:space="preserve">تُعدّ هيومن رايتس ووتش من أعرق منظمات حقوق الإنسان الدولية. تأسّست عام ١٩٧٨، وتتبع منهجية صارمة في التحقيق تشمل: زيارات ميدانية حيث أمكن، مقابلات مع شهود متعدّدين بشكل مستقل، تحليل الذخائر بقذائف عبر خبراء عسكريين متخصّصين، استخدام صور الأقمار الصناعية للتحقّق الجغرافي، وتقاطع روايات جميع الأطراف (بما فيها بيانات الجيش الإسرائيلي الرسمية).</w:t>
      </w:r>
    </w:p>
    <w:p>
      <w:pPr>
        <w:bidi/>
        <w:spacing w:after="160"/>
        <w:jc w:val="start"/>
      </w:pPr>
      <w:r>
        <w:rPr>
          <w:sz w:val="24"/>
          <w:szCs w:val="24"/>
          <w:rtl/>
        </w:rPr>
        <w:t xml:space="preserve">بين أكتوبر ٢٠٢٣ ومنتصف ٢٠٢٥، نشرت HRW ما لا يقلّ عن خمسة عشر تقريراً مفصّلاً عن غزة (HRW Reports, ٢٠٢٣–٢٠٢٥)، أبرزها:</w:t>
      </w:r>
    </w:p>
    <w:p>
      <w:pPr>
        <w:bidi/>
        <w:spacing w:after="160"/>
        <w:jc w:val="start"/>
      </w:pPr>
      <w:r>
        <w:rPr>
          <w:sz w:val="24"/>
          <w:szCs w:val="24"/>
          <w:rtl/>
        </w:rPr>
        <w:t xml:space="preserve">- تقرير «الحرّب المدنيّة: الأنماط الإسرائيلية في استهداف المدنيين» (يناير ٢٠٢٤): دراسة موسّعة لخمس وعشرين حادثة قصف على أحياء سكنية، خَلصت إلى أن خمساً منها على الأقل تستوفي معايير «جرائم الحرب المحتملة» وفق نظام روما (HRW, "Civilian Casualties: Israeli Patterns" يناير ٢٠٢٤).</w:t>
      </w:r>
    </w:p>
    <w:p>
      <w:pPr>
        <w:bidi/>
        <w:spacing w:after="160"/>
        <w:jc w:val="start"/>
      </w:pPr>
      <w:r>
        <w:rPr>
          <w:sz w:val="24"/>
          <w:szCs w:val="24"/>
          <w:rtl/>
        </w:rPr>
        <w:t xml:space="preserve">- تقرير «استهداف الصحفيين في لبنان وغزة» (مايو ٢٠٢٤): تحليل لتسع حالات اعتُبرت موثّقة بشكل كامل، بما فيها حالة عصام عبد الله، وحمزة الدحدوح، وإسماعيل الغول. خلصت HRW إلى أن «نمطاً من إخفاق الاحتياطات» قائم.</w:t>
      </w:r>
    </w:p>
    <w:p>
      <w:pPr>
        <w:bidi/>
        <w:spacing w:after="160"/>
        <w:jc w:val="start"/>
      </w:pPr>
      <w:r>
        <w:rPr>
          <w:sz w:val="24"/>
          <w:szCs w:val="24"/>
          <w:rtl/>
        </w:rPr>
        <w:t xml:space="preserve">- تقرير «استخدام التجويع كسلاح حرب» (ديسمبر ٢٠٢٣): التحقيق الأوّل من نوعه الذي يقدّم أدلّة على أن العرقلة المنهجية للمساعدات الإنسانية هي بحدّ ذاتها سياسة، لا سلسلة من الإخفاقات.</w:t>
      </w:r>
    </w:p>
    <w:p>
      <w:pPr>
        <w:bidi/>
        <w:spacing w:after="160"/>
        <w:jc w:val="start"/>
      </w:pPr>
      <w:r>
        <w:rPr>
          <w:sz w:val="24"/>
          <w:szCs w:val="24"/>
          <w:rtl/>
        </w:rPr>
        <w:t xml:space="preserve">- تقرير «تدمير المنشآت الطبية» (مارس ٢٠٢٤): توثيق عشرين حادثة هجوم على مستشفيات وعيادات، مع تقييم استخدام الذخائر الثقيلة في مناطق طبّية.</w:t>
      </w:r>
    </w:p>
    <w:p>
      <w:pPr>
        <w:bidi/>
        <w:spacing w:after="160"/>
        <w:jc w:val="start"/>
      </w:pPr>
      <w:r>
        <w:rPr>
          <w:sz w:val="24"/>
          <w:szCs w:val="24"/>
          <w:rtl/>
        </w:rPr>
        <w:t xml:space="preserve">في كل تقرير، تذكر HRW المنهجية المستخدمة، وتُقدّم أدلّتها كاملة، وتفتح المجال للردّ من الجيش الإسرائيلي (الذي يقدّم في الغالب ردوداً موجزة ينفي فيها التعمّد). أحد أبرز ما يُميّز تقارير HRW هو إصرارها على التمييز بين «جريمة الحرب الواضحة» و«التحقيق المُستحق»، فلا تذهب إلى الاتّهام دون أدلّة، ولا تُغلق الباب أمام التحقيقات المعلّقة.</w:t>
      </w:r>
    </w:p>
    <w:p>
      <w:pPr>
        <w:bidi/>
        <w:spacing w:after="160"/>
        <w:jc w:val="start"/>
      </w:pPr>
      <w:r>
        <w:rPr>
          <w:sz w:val="24"/>
          <w:szCs w:val="24"/>
          <w:rtl/>
        </w:rPr>
        <w:t xml:space="preserve">## ثانياً: تحقيقات منظمة العفو الدولية (Amnesty)</w:t>
      </w:r>
    </w:p>
    <w:p>
      <w:pPr>
        <w:bidi/>
        <w:spacing w:after="160"/>
        <w:jc w:val="start"/>
      </w:pPr>
      <w:r>
        <w:rPr>
          <w:sz w:val="24"/>
          <w:szCs w:val="24"/>
          <w:rtl/>
        </w:rPr>
        <w:t xml:space="preserve">نشرت منظمة العفو الدولية، خلال نفس الفترة، عدداً مماثلاً من التحقيقات. في ديسمبر ٢٠٢٣، أصدرت المنظمة تقريرها الأبرز بعنوان «أدلّة دامغة على جرائم الحرب الإسرائيلية» (Damning Evidence of Israeli War Crimes Against Civilians)، الذي وثّق عشرين حالة قصف على منازل سكنية، خلصت في معظمها إلى أن «الاحتياطات اللازمة لم تُتّخذ»، وأن «الإصابات المدنية كانت غير متناسبة» (Amnesty International, ديسمبر ٢٠٢٣).</w:t>
      </w:r>
    </w:p>
    <w:p>
      <w:pPr>
        <w:bidi/>
        <w:spacing w:after="160"/>
        <w:jc w:val="start"/>
      </w:pPr>
      <w:r>
        <w:rPr>
          <w:sz w:val="24"/>
          <w:szCs w:val="24"/>
          <w:rtl/>
        </w:rPr>
        <w:t xml:space="preserve">في أكتوبر ٢٠٢٤، نشرت Amnesty تقريرها الأكثر تفصيلاً، الذي امتدّ إلى أكثر من ٢٠٠ صفحة، تحت عنوان «You Feel Like You Are Subhuman: Israel's Genocide Against Palestinians in Gaza» (أمنستي إنترناشونال، أكتوبر ٢٠٢٤). هذا التقرير هو أوّل تقرير صادر عن منظمة حقوق إنسان دولية كبرى يستخدم مصطلح «الإبادة الجماعية» بشكل رسمي في توصيف الأحداث، استناداً إلى المعايير المنصوص عليها في اتفاقية منع الإبادة لعام ١٩٤٨. التقرير يعدّد الأركان المادّية والمعنوية المنصوص عليها في المادة ٢ من الاتفاقية، ويقدّم أدلّة على توافرها.</w:t>
      </w:r>
    </w:p>
    <w:p>
      <w:pPr>
        <w:bidi/>
        <w:spacing w:after="160"/>
        <w:jc w:val="start"/>
      </w:pPr>
      <w:r>
        <w:rPr>
          <w:sz w:val="24"/>
          <w:szCs w:val="24"/>
          <w:rtl/>
        </w:rPr>
        <w:t xml:space="preserve">أصدرت أمنستي بياناً ربطته بمعايير ICC، مؤكّدة أن المنظمة لا تُحلّ محلّ المحاكم في إصدار الأحكام، لكنّها تُسجّل أن «الأدلّة الموجودة كافية لفتح تحقيق رسمي بتهمة الإبادة الجماعية» (Amnesty International Statement, أكتوبر ٢٠٢٤). هذا التصريح، على اختلاف الآراء حوله، أحدث صدى دولياً واسعاً وفتح نقاشاً قانونياً حول معايير الإثبات في جرائم الإبادة.</w:t>
      </w:r>
    </w:p>
    <w:p>
      <w:pPr>
        <w:bidi/>
        <w:spacing w:after="160"/>
        <w:jc w:val="start"/>
      </w:pPr>
      <w:r>
        <w:rPr>
          <w:sz w:val="24"/>
          <w:szCs w:val="24"/>
          <w:rtl/>
        </w:rPr>
        <w:t xml:space="preserve">## ثالثاً: التحقيق المشترك في حالة عصام عبد الله</w:t>
      </w:r>
    </w:p>
    <w:p>
      <w:pPr>
        <w:bidi/>
        <w:spacing w:after="160"/>
        <w:jc w:val="start"/>
      </w:pPr>
      <w:r>
        <w:rPr>
          <w:sz w:val="24"/>
          <w:szCs w:val="24"/>
          <w:rtl/>
        </w:rPr>
        <w:t xml:space="preserve">أحد أكثر التحقيقات اكتمالاً ودقّة في هذا النزاع هو التحقيق المشترك الذي تولّته رويترز بشكل مستقل، ثم نشرته بالتزامن مع تحقيقَي HRW وAmnesty. في ديسمبر ٢٠٢٣، نشرت رويترز تحقيقاً امتدّ على أكثر من ١٠٠ صفحة، استند إلى:</w:t>
      </w:r>
    </w:p>
    <w:p>
      <w:pPr>
        <w:bidi/>
        <w:spacing w:after="160"/>
        <w:jc w:val="start"/>
      </w:pPr>
      <w:r>
        <w:rPr>
          <w:sz w:val="24"/>
          <w:szCs w:val="24"/>
          <w:rtl/>
        </w:rPr>
        <w:t xml:space="preserve">- تحليل ٧٤ مقطع فيديو مأخوذ من كاميرات الصحفيين أنفسهم. - تحليل ١٢٠ صورة من مصادر ميدانية متعدّدة. - تحليل صور الأقمار الصناعية التجارية لشركة Maxar. - تحقيق ميداني أجراه فريق من رويترز في موقع الحادثة. - تحليل الذخيرة عبر خبراء مستقلين، بمن فيهم خبراء سابقون في الجيش الأمريكي ومحقّقون عسكريون من منظمة Forensic Architecture. - مقابلات مع ١٦ شاهداً، بما في ذلك الصحفيين الناجين.</w:t>
      </w:r>
    </w:p>
    <w:p>
      <w:pPr>
        <w:bidi/>
        <w:spacing w:after="160"/>
        <w:jc w:val="start"/>
      </w:pPr>
      <w:r>
        <w:rPr>
          <w:sz w:val="24"/>
          <w:szCs w:val="24"/>
          <w:rtl/>
        </w:rPr>
        <w:t xml:space="preserve">خلصت رويترز إلى الآتي: «الأدلّة تشير بشكل قاطع إلى أن المجموعة الصحفية ضُربت بقذيفة دبابة من نوع ١٢٠ ملم أُطلقت من الجانب الإسرائيلي للحدود، من موقع وحدة المدرّعات رقم [حُجب الرقم لأسباب قانونية]» (Reuters, ديسمبر ٢٠٢٣). كذلك تأكّدت من أن طاقم الدبابة كان يستطيع رؤية المجموعة الصحفية بوضوح من خلال أجهزة الرؤية الحرارية والبصرية. هذا التحقيق نموذج لما تستطيع وسائل الإعلام تحقيقه حين تخصّص موارد كافية للتحقيق المتخصّص.</w:t>
      </w:r>
    </w:p>
    <w:p>
      <w:pPr>
        <w:bidi/>
        <w:spacing w:after="160"/>
        <w:jc w:val="start"/>
      </w:pPr>
      <w:r>
        <w:rPr>
          <w:sz w:val="24"/>
          <w:szCs w:val="24"/>
          <w:rtl/>
        </w:rPr>
        <w:t xml:space="preserve">## رابعاً: تحقيقات الأمم المتحدة الرسمية</w:t>
      </w:r>
    </w:p>
    <w:p>
      <w:pPr>
        <w:bidi/>
        <w:spacing w:after="160"/>
        <w:jc w:val="start"/>
      </w:pPr>
      <w:r>
        <w:rPr>
          <w:sz w:val="24"/>
          <w:szCs w:val="24"/>
          <w:rtl/>
        </w:rPr>
        <w:t xml:space="preserve">أنشأت لجنة حقوق الإنسان التابعة للأمم المتحدة «لجنة التحقيق الدولية المستقلة» (Independent International Commission of Inquiry) في عام ٢٠٢١، برئاسة القاضية الجنوب أفريقية نافي بيلاي. منذ السابع من أكتوبر ٢٠٢٣، عقدت اللجنة جلسات استماع، وأصدرت تقريرين رئيسيين:</w:t>
      </w:r>
    </w:p>
    <w:p>
      <w:pPr>
        <w:bidi/>
        <w:spacing w:after="160"/>
        <w:jc w:val="start"/>
      </w:pPr>
      <w:r>
        <w:rPr>
          <w:sz w:val="24"/>
          <w:szCs w:val="24"/>
          <w:rtl/>
        </w:rPr>
        <w:t xml:space="preserve">- التقرير الأول (يونيو ٢٠٢٤): خلَص إلى أن كلاً من حماس وإسرائيل ارتكبتا جرائم حرب، وأن إسرائيل ارتكبت جرائم ضد الإنسانية تشمل الإبادة (Extermination)، والاضطهاد، والقتل العمد، والتجويع كأسلوب حرب (UN Commission of Inquiry, A/HRC/56/26, يونيو ٢٠٢٤).</w:t>
      </w:r>
    </w:p>
    <w:p>
      <w:pPr>
        <w:bidi/>
        <w:spacing w:after="160"/>
        <w:jc w:val="start"/>
      </w:pPr>
      <w:r>
        <w:rPr>
          <w:sz w:val="24"/>
          <w:szCs w:val="24"/>
          <w:rtl/>
        </w:rPr>
        <w:t xml:space="preserve">- التقرير الثاني (أكتوبر ٢٠٢٤): تركّز على استهداف الأطفال، خَلص إلى أن الأنماط الإسرائيلية تستوفي ركن «إلحاق الأذى الجسدي والنفسي البالغ» الوارد في اتفاقية منع الإبادة، دون أن يُصدر حكماً نهائياً بإثبات الإبادة بالكامل.</w:t>
      </w:r>
    </w:p>
    <w:p>
      <w:pPr>
        <w:bidi/>
        <w:spacing w:after="160"/>
        <w:jc w:val="start"/>
      </w:pPr>
      <w:r>
        <w:rPr>
          <w:sz w:val="24"/>
          <w:szCs w:val="24"/>
          <w:rtl/>
        </w:rPr>
        <w:t xml:space="preserve">كذلك نشر مكتب المفوّض السامي لحقوق الإنسان (OHCHR) عشرات التقارير القُطْرية، ومنها تقرير في يونيو ٢٠٢٤ عن «نمط هجمات الجيش الإسرائيلي في غزة» (OHCHR Report, A/HRC/56/CRP.3, يونيو ٢٠٢٤). كذلك نشر المقرّر الخاصّ للأمم المتحدة المعني بالأراضي الفلسطينية، فرنشيسكا ألبانيز، ثلاثة تقارير، أبرزها تقرير «Anatomy of a Genocide» الذي قدّمته للجمعية العامّة في مارس ٢٠٢٤، وأثار جدلاً واسعاً (UN Special Rapporteur Report, A/HRC/55/73, ٢٠٢٤).</w:t>
      </w:r>
    </w:p>
    <w:p>
      <w:pPr>
        <w:bidi/>
        <w:spacing w:after="160"/>
        <w:jc w:val="start"/>
      </w:pPr>
      <w:r>
        <w:rPr>
          <w:sz w:val="24"/>
          <w:szCs w:val="24"/>
          <w:rtl/>
        </w:rPr>
        <w:t xml:space="preserve">## خامساً: التحقيقات الإسرائيلية الذاتية</w:t>
      </w:r>
    </w:p>
    <w:p>
      <w:pPr>
        <w:bidi/>
        <w:spacing w:after="160"/>
        <w:jc w:val="start"/>
      </w:pPr>
      <w:r>
        <w:rPr>
          <w:sz w:val="24"/>
          <w:szCs w:val="24"/>
          <w:rtl/>
        </w:rPr>
        <w:t xml:space="preserve">من باب الإنصاف، يجب الإشارة إلى التحقيقات الذاتية التي أجراها الجيش الإسرائيلي. أبرزها التحقيق في حادثة WCK (أبريل ٢٠٢٤) الذي أقرّ بـ«إخفاقات في تحديد الهوية» وأقال ضابطين، وتحقيقات داخلية في حالات أخرى لم تُنشر تفاصيلها.</w:t>
      </w:r>
    </w:p>
    <w:p>
      <w:pPr>
        <w:bidi/>
        <w:spacing w:after="160"/>
        <w:jc w:val="start"/>
      </w:pPr>
      <w:r>
        <w:rPr>
          <w:sz w:val="24"/>
          <w:szCs w:val="24"/>
          <w:rtl/>
        </w:rPr>
        <w:t xml:space="preserve">التقييم القانوني الدولي لهذه التحقيقات الذاتية مُتحفّظ. أصدرت منظمات منها HRW وAmnesty وICC تقارير تقول إن «التحقيقات الذاتية غير كافية للوفاء بمعايير المحاكمة الفعلية المنصوص عليها في القانون الدولي»، وذلك لأسباب عدّة: غياب الاستقلالية المؤسّسية بين القائد العسكري والمُحقِّق العسكري، عدم نشر الأدلّة كاملة، تعليق العقوبات في غالب الأحيان عند المستوى التأديبي لا الجنائي. هذا الموقف مرجعه القانوني هو **مبدأ التكامل** (Complementarity) المنصوص عليه في المادة ١٧ من نظام روما، الذي يُجيز للمحكمة الجنائية الدولية تجاوز الولاية القضائية الوطنية إذا كانت التحقيقات الوطنية «غير قادرة أو غير راغبة» في تحقيق العدالة.</w:t>
      </w:r>
    </w:p>
    <w:p>
      <w:pPr>
        <w:bidi/>
        <w:spacing w:after="160"/>
        <w:jc w:val="start"/>
      </w:pPr>
      <w:r>
        <w:rPr>
          <w:sz w:val="24"/>
          <w:szCs w:val="24"/>
          <w:rtl/>
        </w:rPr>
        <w:t xml:space="preserve">## سادساً: تحقيقات الإعلام الدولي</w:t>
      </w:r>
    </w:p>
    <w:p>
      <w:pPr>
        <w:bidi/>
        <w:spacing w:after="160"/>
        <w:jc w:val="start"/>
      </w:pPr>
      <w:r>
        <w:rPr>
          <w:sz w:val="24"/>
          <w:szCs w:val="24"/>
          <w:rtl/>
        </w:rPr>
        <w:t xml:space="preserve">شاركت وسائل إعلام دولية كبرى في تحقيقات معمّقة، من بينها:</w:t>
      </w:r>
    </w:p>
    <w:p>
      <w:pPr>
        <w:bidi/>
        <w:spacing w:after="160"/>
        <w:jc w:val="start"/>
      </w:pPr>
      <w:r>
        <w:rPr>
          <w:sz w:val="24"/>
          <w:szCs w:val="24"/>
          <w:rtl/>
        </w:rPr>
        <w:t xml:space="preserve">- **CNN**: تحقيق في حالة شيرين أبو عاقلة (مايو ٢٠٢٢)، الذي أرسى المنهجية اللاحقة. كذلك تحقيق في استخدام قنابل وزن ألفي رطل في أحياء سكنية (ديسمبر ٢٠٢٣) (CNN Investigations, ٢٠٢٢–٢٠٢٤).</w:t>
      </w:r>
    </w:p>
    <w:p>
      <w:pPr>
        <w:bidi/>
        <w:spacing w:after="160"/>
        <w:jc w:val="start"/>
      </w:pPr>
      <w:r>
        <w:rPr>
          <w:sz w:val="24"/>
          <w:szCs w:val="24"/>
          <w:rtl/>
        </w:rPr>
        <w:t xml:space="preserve">- **The New York Times**: تحقيق «How Israel Used U.S. Bombs in Gaza» (ديسمبر ٢٠٢٣)، الذي حلّل أكثر من ٢,٣٠٠ غارة وخَلص إلى أن الجيش الإسرائيلي استخدم قنابل ضخمة في أحياء سكنية مكتظّة بمعدّلات لا سابقة لها في الحروب المعاصرة (NYT Investigation, ديسمبر ٢٠٢٣).</w:t>
      </w:r>
    </w:p>
    <w:p>
      <w:pPr>
        <w:bidi/>
        <w:spacing w:after="160"/>
        <w:jc w:val="start"/>
      </w:pPr>
      <w:r>
        <w:rPr>
          <w:sz w:val="24"/>
          <w:szCs w:val="24"/>
          <w:rtl/>
        </w:rPr>
        <w:t xml:space="preserve">- **The Washington Post**: تحقيق في «المنطقة العازلة» التي أنشأها الجيش الإسرائيلي شمال غزة، وتدمير ٣,٠٠٠ مبنى مدنيّ ضمنها (WaPo Investigation, مايو ٢٠٢٤).</w:t>
      </w:r>
    </w:p>
    <w:p>
      <w:pPr>
        <w:bidi/>
        <w:spacing w:after="160"/>
        <w:jc w:val="start"/>
      </w:pPr>
      <w:r>
        <w:rPr>
          <w:sz w:val="24"/>
          <w:szCs w:val="24"/>
          <w:rtl/>
        </w:rPr>
        <w:t xml:space="preserve">- **+972 Magazine و Local Call** (إعلام إسرائيلي مستقل): تحقيقات تستند إلى مقابلات مع جنود سابقين، أبرزها تحقيق «Lavender» الذي كشف عن نظام ذكاء اصطناعي يُستخدم لتحديد الأهداف بشكل آلي، مع هامش خطأ مرتفع (+972 Magazine, أبريل ٢٠٢٤).</w:t>
      </w:r>
    </w:p>
    <w:p>
      <w:pPr>
        <w:bidi/>
        <w:spacing w:after="160"/>
        <w:jc w:val="start"/>
      </w:pPr>
      <w:r>
        <w:rPr>
          <w:sz w:val="24"/>
          <w:szCs w:val="24"/>
          <w:rtl/>
        </w:rPr>
        <w:t xml:space="preserve">- **Forensic Architecture**: مجموعة بحثية مقرّها كلية غولدسميث في لندن، تستخدم تقنيات الهندسة الحاسوبية وإعادة البناء البصري ثلاثي الأبعاد للتحقيق في حوادث محدّدة. أصدرت تحقيقات بارزة منها قضية هند رجب وقضية WCK (Forensic Architecture, ٢٠٢٤).</w:t>
      </w:r>
    </w:p>
    <w:p>
      <w:pPr>
        <w:bidi/>
        <w:spacing w:after="160"/>
        <w:jc w:val="start"/>
      </w:pPr>
      <w:r>
        <w:rPr>
          <w:sz w:val="24"/>
          <w:szCs w:val="24"/>
          <w:rtl/>
        </w:rPr>
        <w:t xml:space="preserve">## الخلاصة: ما تتقاطع فيه التحقيقات</w:t>
      </w:r>
    </w:p>
    <w:p>
      <w:pPr>
        <w:bidi/>
        <w:spacing w:after="160"/>
        <w:jc w:val="start"/>
      </w:pPr>
      <w:r>
        <w:rPr>
          <w:sz w:val="24"/>
          <w:szCs w:val="24"/>
          <w:rtl/>
        </w:rPr>
        <w:t xml:space="preserve">رغم اختلاف منهجياتها ومصادرها واتّجاهاتها السياسية، تتقاطع التحقيقات أعلاه في جملة من الخلاصات:</w:t>
      </w:r>
    </w:p>
    <w:p>
      <w:pPr>
        <w:bidi/>
        <w:spacing w:after="160"/>
        <w:jc w:val="start"/>
      </w:pPr>
      <w:r>
        <w:rPr>
          <w:sz w:val="24"/>
          <w:szCs w:val="24"/>
          <w:rtl/>
        </w:rPr>
        <w:t xml:space="preserve">١. أن نمطاً متكرّراً من الإصابات في صفوف الصحفيين والعاملين الإنسانيين قائم، وأنه يتجاوز ما يمكن تفسيره بـ«الإصابات العشوائية في النزاع».</w:t>
      </w:r>
    </w:p>
    <w:p>
      <w:pPr>
        <w:bidi/>
        <w:spacing w:after="160"/>
        <w:jc w:val="start"/>
      </w:pPr>
      <w:r>
        <w:rPr>
          <w:sz w:val="24"/>
          <w:szCs w:val="24"/>
          <w:rtl/>
        </w:rPr>
        <w:t xml:space="preserve">٢. أن الأدلّة في عدد من الحالات الفردية تستوفي معايير القصد القانوني (سواء المباشر أو المعرفيّ).</w:t>
      </w:r>
    </w:p>
    <w:p>
      <w:pPr>
        <w:bidi/>
        <w:spacing w:after="160"/>
        <w:jc w:val="start"/>
      </w:pPr>
      <w:r>
        <w:rPr>
          <w:sz w:val="24"/>
          <w:szCs w:val="24"/>
          <w:rtl/>
        </w:rPr>
        <w:t xml:space="preserve">٣. أن التحقيقات الذاتية التي يجريها الجيش الإسرائيلي لم تستوفِ معايير الاستقلال المنصوص عليها في القانون الدولي.</w:t>
      </w:r>
    </w:p>
    <w:p>
      <w:pPr>
        <w:bidi/>
        <w:spacing w:after="160"/>
        <w:jc w:val="start"/>
      </w:pPr>
      <w:r>
        <w:rPr>
          <w:sz w:val="24"/>
          <w:szCs w:val="24"/>
          <w:rtl/>
        </w:rPr>
        <w:t xml:space="preserve">٤. أن الفجوة الكبرى بين الأدلّة المتوافرة وبين المساءلة الفعلية هي إشكالية مؤسّسية، لا مشكلة في توافر الأدلّة ذاتها.</w:t>
      </w:r>
    </w:p>
    <w:p>
      <w:pPr>
        <w:bidi/>
        <w:spacing w:after="160"/>
        <w:jc w:val="start"/>
      </w:pPr>
      <w:r>
        <w:rPr>
          <w:sz w:val="24"/>
          <w:szCs w:val="24"/>
          <w:rtl/>
        </w:rPr>
        <w:t xml:space="preserve">هذه التحقيقات هي أمانة في عنق من ينتفع بها. حين يأتي الجيل القادم ليُحاسب جيلنا على ما فعل وما لم يفعل، ستكون هذه التحقيقات هي ما يستند إليه. وعلينا، حدّ المستطاع، أن نُبقيها متاحة، وأن نُترجمها للعربية، وأن نُدرّسها في كلّيات القانون. والله المستعان.</w:t>
      </w:r>
    </w:p>
    <w:p>
      <w:r>
        <w:br w:type="page"/>
      </w:r>
    </w:p>
    <w:p>
      <w:pPr>
        <w:bidi/>
        <w:spacing w:after="360" w:before="600"/>
        <w:jc w:val="center"/>
      </w:pPr>
      <w:r>
        <w:rPr>
          <w:b/>
          <w:bCs/>
          <w:color w:val="1B3A5C"/>
          <w:sz w:val="36"/>
          <w:szCs w:val="36"/>
          <w:rtl/>
        </w:rPr>
        <w:t xml:space="preserve">الفصل الثامن: الرقابة الإعلامية — من يُغطّي ومن لا يُغطّي؟</w:t>
      </w:r>
    </w:p>
    <w:p>
      <w:pPr>
        <w:bidi/>
        <w:spacing w:after="160"/>
        <w:jc w:val="start"/>
      </w:pPr>
      <w:r>
        <w:rPr>
          <w:sz w:val="24"/>
          <w:szCs w:val="24"/>
          <w:rtl/>
        </w:rPr>
        <w:t xml:space="preserve">&gt; ﴿وَقُلِ الْحَقُّ مِن رَّبِّكُمْ فَمَن شَاءَ فَلْيُؤْمِن وَمَن شَاءَ فَلْيَكْفُرْ﴾ — الكهف: ٢٩</w:t>
      </w:r>
    </w:p>
    <w:p>
      <w:pPr>
        <w:bidi/>
        <w:spacing w:after="160"/>
        <w:jc w:val="start"/>
      </w:pPr>
      <w:r>
        <w:rPr>
          <w:sz w:val="24"/>
          <w:szCs w:val="24"/>
          <w:rtl/>
        </w:rPr>
        <w:t xml:space="preserve">## الحظر غير المسبوق</w:t>
      </w:r>
    </w:p>
    <w:p>
      <w:pPr>
        <w:bidi/>
        <w:spacing w:after="160"/>
        <w:jc w:val="start"/>
      </w:pPr>
      <w:r>
        <w:rPr>
          <w:sz w:val="24"/>
          <w:szCs w:val="24"/>
          <w:rtl/>
        </w:rPr>
        <w:t xml:space="preserve">منذ السابع من أكتوبر ٢٠٢٣، طُبّق إجراء غير مسبوق في تاريخ النزاعات الحديثة: مُنع الصحفيون الأجانب من الدخول إلى قطاع غزة بشكل مستقلّ. الاستثناء الوحيد كان عبر «التضمين» (Embedding) مع وحدات الجيش الإسرائيلي، وفق شروط صارمة تشمل: مرافقة الجنود في كل وقت، مراجعة الجيش لكل لقطة قبل النشر، حظر التواصل المستقل مع المدنيين الفلسطينيين، وحظر تصوير عمليات بعينها.</w:t>
      </w:r>
    </w:p>
    <w:p>
      <w:pPr>
        <w:bidi/>
        <w:spacing w:after="160"/>
        <w:jc w:val="start"/>
      </w:pPr>
      <w:r>
        <w:rPr>
          <w:sz w:val="24"/>
          <w:szCs w:val="24"/>
          <w:rtl/>
        </w:rPr>
        <w:t xml:space="preserve">هذا الإجراء فريد إحصائياً. في كل النزاعات الكبرى التي شهدها العالم منذ نهاية الحرب الباردة — البوسنة، رواندا، أفغانستان، العراق، سوريا، اليمن، ليبيا، أوكرانيا — كان وصول الصحفي الأجنبي ممكناً، بأشكال متفاوتة من الصعوبة، لكنه كان ممكناً. الاستثناء الوحيد المماثل هو إيران تحت الحرب العراقية–الإيرانية، وكوريا الشمالية في معظم الأوقات. حظر دخول صحفيين أجانب إلى منطقة نزاع نشطة لمدة تتجاوز السنة ونصف هو سياسة استثنائية تستحقّ التوقّف عندها.</w:t>
      </w:r>
    </w:p>
    <w:p>
      <w:pPr>
        <w:bidi/>
        <w:spacing w:after="160"/>
        <w:jc w:val="start"/>
      </w:pPr>
      <w:r>
        <w:rPr>
          <w:sz w:val="24"/>
          <w:szCs w:val="24"/>
          <w:rtl/>
        </w:rPr>
        <w:t xml:space="preserve">## التوثيق من قبل CPJ وRSF</w:t>
      </w:r>
    </w:p>
    <w:p>
      <w:pPr>
        <w:bidi/>
        <w:spacing w:after="160"/>
        <w:jc w:val="start"/>
      </w:pPr>
      <w:r>
        <w:rPr>
          <w:sz w:val="24"/>
          <w:szCs w:val="24"/>
          <w:rtl/>
        </w:rPr>
        <w:t xml:space="preserve">سجّلت لجنة حماية الصحفيين (CPJ) ومنظمة مراسلون بلا حدود (RSF) هذا الحظر بتفصيل. أصدرت RSF تقريراً مفصّلاً في سبتمبر ٢٠٢٤ تحت عنوان «Censorship Through Killing: Israel's Strategy of Erasing Reality»، خَلصت فيه إلى أن «الحظر المُطبّق على دخول الصحفيين، مقترناً بنمط استهداف الصحفيين الفلسطينيين، يُشكّل سياسة فعلية لمنع التوثيق المستقلّ» (RSF, سبتمبر ٢٠٢٤).</w:t>
      </w:r>
    </w:p>
    <w:p>
      <w:pPr>
        <w:bidi/>
        <w:spacing w:after="160"/>
        <w:jc w:val="start"/>
      </w:pPr>
      <w:r>
        <w:rPr>
          <w:sz w:val="24"/>
          <w:szCs w:val="24"/>
          <w:rtl/>
        </w:rPr>
        <w:t xml:space="preserve">أمّا CPJ فأصدرت بيانات شهرية تطالب فيها بفتح الحدود للصحافة المستقلة. في مايو ٢٠٢٤، انضمّت إليها أكثر من ٦٠ مؤسسة إعلامية دولية في رسالة مفتوحة إلى رئيس الوزراء الإسرائيلي تطالب فيها بإلغاء الحظر، وإصدار تأشيرات صحافة فورية للوفود الدولية (CPJ Open Letter, مايو ٢٠٢٤). لم يُستجَب للرسالة.</w:t>
      </w:r>
    </w:p>
    <w:p>
      <w:pPr>
        <w:bidi/>
        <w:spacing w:after="160"/>
        <w:jc w:val="start"/>
      </w:pPr>
      <w:r>
        <w:rPr>
          <w:sz w:val="24"/>
          <w:szCs w:val="24"/>
          <w:rtl/>
        </w:rPr>
        <w:t xml:space="preserve">## لماذا يهمّ هذا قانونياً؟</w:t>
      </w:r>
    </w:p>
    <w:p>
      <w:pPr>
        <w:bidi/>
        <w:spacing w:after="160"/>
        <w:jc w:val="start"/>
      </w:pPr>
      <w:r>
        <w:rPr>
          <w:sz w:val="24"/>
          <w:szCs w:val="24"/>
          <w:rtl/>
        </w:rPr>
        <w:t xml:space="preserve">إعاقة الصحافة المستقلة في منطقة النزاع تطرح إشكالية قانونية متعدّدة الطبقات:</w:t>
      </w:r>
    </w:p>
    <w:p>
      <w:pPr>
        <w:bidi/>
        <w:spacing w:after="160"/>
        <w:jc w:val="start"/>
      </w:pPr>
      <w:r>
        <w:rPr>
          <w:sz w:val="24"/>
          <w:szCs w:val="24"/>
          <w:rtl/>
        </w:rPr>
        <w:t xml:space="preserve">**أوّلاً**: تنتهك المادة ٧٩ من البروتوكول الإضافي الأول الذي يُقرّر للصحفي حقّ القيام بمهامه المهنية. القيود المعقولة في ظروف القتال مقبولة، لكن الحظر التامّ غير المُبرّر هو انتهاك. هذا ما أكّدته اللجنة الدولية للصليب الأحمر في تعليقاتها على المادة (ICRC Commentary, ١٩٨٧).</w:t>
      </w:r>
    </w:p>
    <w:p>
      <w:pPr>
        <w:bidi/>
        <w:spacing w:after="160"/>
        <w:jc w:val="start"/>
      </w:pPr>
      <w:r>
        <w:rPr>
          <w:sz w:val="24"/>
          <w:szCs w:val="24"/>
          <w:rtl/>
        </w:rPr>
        <w:t xml:space="preserve">**ثانياً**: تُسهم في إعاقة المحاسبة القانونية. حين لا تُوجد رواية مستقلة لما يحدث، يصبح التحقيق الجنائي أصعب، وتصبح روايات الجاني هي الرواية الوحيدة المتاحة. هذا تحدٍّ تواجهه فعلياً المحكمة الجنائية الدولية في تحقيقاتها بشأن غزة.</w:t>
      </w:r>
    </w:p>
    <w:p>
      <w:pPr>
        <w:bidi/>
        <w:spacing w:after="160"/>
        <w:jc w:val="start"/>
      </w:pPr>
      <w:r>
        <w:rPr>
          <w:sz w:val="24"/>
          <w:szCs w:val="24"/>
          <w:rtl/>
        </w:rPr>
        <w:t xml:space="preserve">**ثالثاً**: تُمثّل سياسة منع التوثيق بحدّ ذاتها مؤشّراً قانونياً يستخدمه المحقّقون. في فقه القانون الجنائي الدولي، **محاولة إخفاء الأدلّة** يمكن أن تُستخدم بوصفها مؤشّراً غير مباشر على الوعي بالطبيعة الإجرامية للسلوك. هذا المبدأ طُبّق في عدد من قضايا محكمة يوغوسلافيا الجنائية (ICTY, Krstić Case ٢٠٠١).</w:t>
      </w:r>
    </w:p>
    <w:p>
      <w:pPr>
        <w:bidi/>
        <w:spacing w:after="160"/>
        <w:jc w:val="start"/>
      </w:pPr>
      <w:r>
        <w:rPr>
          <w:sz w:val="24"/>
          <w:szCs w:val="24"/>
          <w:rtl/>
        </w:rPr>
        <w:t xml:space="preserve">## المقارنات التاريخية</w:t>
      </w:r>
    </w:p>
    <w:p>
      <w:pPr>
        <w:bidi/>
        <w:spacing w:after="160"/>
        <w:jc w:val="start"/>
      </w:pPr>
      <w:r>
        <w:rPr>
          <w:sz w:val="24"/>
          <w:szCs w:val="24"/>
          <w:rtl/>
        </w:rPr>
        <w:t xml:space="preserve">من المفيد وضع الحظر الراهن في سياق مقارن:</w:t>
      </w:r>
    </w:p>
    <w:p>
      <w:pPr>
        <w:bidi/>
        <w:spacing w:after="160"/>
        <w:jc w:val="start"/>
      </w:pPr>
      <w:r>
        <w:rPr>
          <w:sz w:val="24"/>
          <w:szCs w:val="24"/>
          <w:rtl/>
        </w:rPr>
        <w:t xml:space="preserve">**حرب فيتنام (١٩٦١–١٩٧٥)**: كان الوصول الإعلامي مفتوحاً نسبياً، حتى أن الصور التي التقطها الصحفيون (كصورة الفتاة فان ثي كيم فوك بعد قصف النابالم) أحدثت تحوّلاً في الرأي العام الأمريكي. هذا التغيير في الرأي العام جعل الجيوش اللاحقة أكثر حذراً في إدارة التغطية الإعلامية.</w:t>
      </w:r>
    </w:p>
    <w:p>
      <w:pPr>
        <w:bidi/>
        <w:spacing w:after="160"/>
        <w:jc w:val="start"/>
      </w:pPr>
      <w:r>
        <w:rPr>
          <w:sz w:val="24"/>
          <w:szCs w:val="24"/>
          <w:rtl/>
        </w:rPr>
        <w:t xml:space="preserve">**حرب الخليج الأولى (١٩٩١)**: استخدم البنتاغون نظام «pool reporting» المُقيَّد، حيث كانت مجموعات صغيرة من الصحفيين تُسمح بمرافقة الجيش. لكنّ صحفيين مستقلّين كانوا في بغداد طوال فترة القتال (أبرزهم بيتر أرنيت من CNN).</w:t>
      </w:r>
    </w:p>
    <w:p>
      <w:pPr>
        <w:bidi/>
        <w:spacing w:after="160"/>
        <w:jc w:val="start"/>
      </w:pPr>
      <w:r>
        <w:rPr>
          <w:sz w:val="24"/>
          <w:szCs w:val="24"/>
          <w:rtl/>
        </w:rPr>
        <w:t xml:space="preserve">**حرب العراق (٢٠٠٣–٢٠١١)**: نظام «embed» الذي طوّره البنتاغون، جنباً إلى جنب مع وجود صحفيين «unilaterals» مستقلين (كان عددهم بالمئات). كذلك بقي صحفيون في بغداد أثناء الحرب الكاملة.</w:t>
      </w:r>
    </w:p>
    <w:p>
      <w:pPr>
        <w:bidi/>
        <w:spacing w:after="160"/>
        <w:jc w:val="start"/>
      </w:pPr>
      <w:r>
        <w:rPr>
          <w:sz w:val="24"/>
          <w:szCs w:val="24"/>
          <w:rtl/>
        </w:rPr>
        <w:t xml:space="preserve">**حرب أفغانستان**: نشر صحفيون أجانب بحرية معقولة طوال العقدَين، وكثير منهم في كابول وقندهار.</w:t>
      </w:r>
    </w:p>
    <w:p>
      <w:pPr>
        <w:bidi/>
        <w:spacing w:after="160"/>
        <w:jc w:val="start"/>
      </w:pPr>
      <w:r>
        <w:rPr>
          <w:sz w:val="24"/>
          <w:szCs w:val="24"/>
          <w:rtl/>
        </w:rPr>
        <w:t xml:space="preserve">**حرب أوكرانيا (٢٠٢٢–مستمرة)**: وصول صحافي مكثّف من جميع وسائل الإعلام الدولية، مع تنظيم لتبادل المعلومات، لكن دون حظر.</w:t>
      </w:r>
    </w:p>
    <w:p>
      <w:pPr>
        <w:bidi/>
        <w:spacing w:after="160"/>
        <w:jc w:val="start"/>
      </w:pPr>
      <w:r>
        <w:rPr>
          <w:sz w:val="24"/>
          <w:szCs w:val="24"/>
          <w:rtl/>
        </w:rPr>
        <w:t xml:space="preserve">**حرب سوريا**: كان الوصول صعباً ومكلِفاً، لكنه ممكن. عدد من الصحفيين استشهدوا (منهم ماري كولفن، تيم هذرنغتون، جيمس فولي)، لكنّ التغطية المستقلة استمرّت.</w:t>
      </w:r>
    </w:p>
    <w:p>
      <w:pPr>
        <w:bidi/>
        <w:spacing w:after="160"/>
        <w:jc w:val="start"/>
      </w:pPr>
      <w:r>
        <w:rPr>
          <w:sz w:val="24"/>
          <w:szCs w:val="24"/>
          <w:rtl/>
        </w:rPr>
        <w:t xml:space="preserve">غزة منذ أكتوبر ٢٠٢٣ هي الاستثناء. لا يوجد نزاع مكافئ في المعدل الأعلى للقتل اليومي للمدنيين، يكون الإعلام الأجنبي ممنوعاً منه بالكامل، ويعتمد العالم لمعرفة ما يحدث على صحفيين محلّيين تحت الاستهداف اليومي.</w:t>
      </w:r>
    </w:p>
    <w:p>
      <w:pPr>
        <w:bidi/>
        <w:spacing w:after="160"/>
        <w:jc w:val="start"/>
      </w:pPr>
      <w:r>
        <w:rPr>
          <w:sz w:val="24"/>
          <w:szCs w:val="24"/>
          <w:rtl/>
        </w:rPr>
        <w:t xml:space="preserve">## كيف وصلت الصورة إلى العالم؟</w:t>
      </w:r>
    </w:p>
    <w:p>
      <w:pPr>
        <w:bidi/>
        <w:spacing w:after="160"/>
        <w:jc w:val="start"/>
      </w:pPr>
      <w:r>
        <w:rPr>
          <w:sz w:val="24"/>
          <w:szCs w:val="24"/>
          <w:rtl/>
        </w:rPr>
        <w:t xml:space="preserve">في غياب الوصول الأجنبي، تحوّل الصحفيون الفلسطينيون المحلّيون إلى الشهود الوحيدين. يقدّر CPJ عدد العاملين في الإعلام الفلسطيني الذين كانوا ينقلون من غزة مباشرة بعد السابع من أكتوبر بنحو أربع مئة صحفي ومصوّر، عمل معظمهم في ظروف بالغة القسوة: انقطاع الكهرباء، انقطاع الإنترنت، نقص الوقود، النزوح المتكرّر، وتدمير المعدّات.</w:t>
      </w:r>
    </w:p>
    <w:p>
      <w:pPr>
        <w:bidi/>
        <w:spacing w:after="160"/>
        <w:jc w:val="start"/>
      </w:pPr>
      <w:r>
        <w:rPr>
          <w:sz w:val="24"/>
          <w:szCs w:val="24"/>
          <w:rtl/>
        </w:rPr>
        <w:t xml:space="preserve">أبرز قنوات إيصال الصورة كانت:</w:t>
      </w:r>
    </w:p>
    <w:p>
      <w:pPr>
        <w:bidi/>
        <w:spacing w:after="160"/>
        <w:jc w:val="start"/>
      </w:pPr>
      <w:r>
        <w:rPr>
          <w:sz w:val="24"/>
          <w:szCs w:val="24"/>
          <w:rtl/>
        </w:rPr>
        <w:t xml:space="preserve">- **قناة الجزيرة**: قدّمت أوسع تغطية يومية، عبر مراسليها الميدانيين في كل مدن القطاع. تأثّرت قناة الجزيرة بشكل خاص بفقدان عدد من مراسليها (بمن فيهم عائلة وائل الدحدوح، وحمزة الدحدوح، وإسماعيل الغول).</w:t>
      </w:r>
    </w:p>
    <w:p>
      <w:pPr>
        <w:bidi/>
        <w:spacing w:after="160"/>
        <w:jc w:val="start"/>
      </w:pPr>
      <w:r>
        <w:rPr>
          <w:sz w:val="24"/>
          <w:szCs w:val="24"/>
          <w:rtl/>
        </w:rPr>
        <w:t xml:space="preserve">- **منصات التواصل الاجتماعي**: استخدم الصحفيون الفلسطينيون بشكل مكثف منصّات إنستغرام، تيك توك، تويتر/X، تيليغرام. أصبح بعضهم مرجعاً عالمياً، كالصحفي بسام مرعي، والمصور المعتصم سلمي، والصحفية بيسان عودة (التي وصلت متابعتها على إنستغرام إلى الملايين).</w:t>
      </w:r>
    </w:p>
    <w:p>
      <w:pPr>
        <w:bidi/>
        <w:spacing w:after="160"/>
        <w:jc w:val="start"/>
      </w:pPr>
      <w:r>
        <w:rPr>
          <w:sz w:val="24"/>
          <w:szCs w:val="24"/>
          <w:rtl/>
        </w:rPr>
        <w:t xml:space="preserve">- **وكالات الأنباء العالمية**: وكالات رويترز، وأسوشيتد برس، ووكالة فرانس برس استمرّت في التشغيل عبر طواقم محلّية فلسطينية. نشرت رويترز في يوليو ٢٠٢٤ بياناً يُشيد بـ«شجاعة طاقمها الفلسطيني الذي يُغطّي رغم استشهاد عدد منهم».</w:t>
      </w:r>
    </w:p>
    <w:p>
      <w:pPr>
        <w:bidi/>
        <w:spacing w:after="160"/>
        <w:jc w:val="start"/>
      </w:pPr>
      <w:r>
        <w:rPr>
          <w:sz w:val="24"/>
          <w:szCs w:val="24"/>
          <w:rtl/>
        </w:rPr>
        <w:t xml:space="preserve">- **القنوات الدولية عبر الاتصال البعيد**: الجزيرة الإنجليزية، CNN، BBC، Sky News، Al-Mayadeen، وقنوات أخرى استخدمت طواقمها الفلسطينية في غزة، مع منتجين خارج القطاع. هذا النمط — حيث «المراسل في القطاع، المُحرّر في الخارج» — أصبح نموذجاً جديداً في الصحافة الميدانية.</w:t>
      </w:r>
    </w:p>
    <w:p>
      <w:pPr>
        <w:bidi/>
        <w:spacing w:after="160"/>
        <w:jc w:val="start"/>
      </w:pPr>
      <w:r>
        <w:rPr>
          <w:sz w:val="24"/>
          <w:szCs w:val="24"/>
          <w:rtl/>
        </w:rPr>
        <w:t xml:space="preserve">## الانهيار التكنولوجي</w:t>
      </w:r>
    </w:p>
    <w:p>
      <w:pPr>
        <w:bidi/>
        <w:spacing w:after="160"/>
        <w:jc w:val="start"/>
      </w:pPr>
      <w:r>
        <w:rPr>
          <w:sz w:val="24"/>
          <w:szCs w:val="24"/>
          <w:rtl/>
        </w:rPr>
        <w:t xml:space="preserve">ثمّة بُعد آخر للحصار الإعلامي: استهداف البنية التحتية للاتصالات. في فترات متعدّدة من النزاع، انقطعت خدمات الإنترنت والاتصالات في غزة، إمّا نتيجة قصف للمحطات، أو بسبب نقص الوقود لمحطات التشغيل. شركة Paltel الفلسطينية أعلنت أكثر من ١٢ مرّة عن انقطاع كامل للاتصالات استمرّ في بعض الأحيان لأكثر من أسبوع (Paltel Statements, ٢٠٢٣–٢٠٢٤). هذا الانقطاع لم يكن مجرّد عوائق لوجستية، بل أحدث «عتمة معلوماتية» (Information Blackout) كاملة على القطاع لأيّام متتالية، حُذفت فيها الأحداث الميدانية من السجلّ التوثيقي.</w:t>
      </w:r>
    </w:p>
    <w:p>
      <w:pPr>
        <w:bidi/>
        <w:spacing w:after="160"/>
        <w:jc w:val="start"/>
      </w:pPr>
      <w:r>
        <w:rPr>
          <w:sz w:val="24"/>
          <w:szCs w:val="24"/>
          <w:rtl/>
        </w:rPr>
        <w:t xml:space="preserve">أصدرت منظمات حماية حقوق الإنترنت (NetBlocks, AccessNow) تقارير منتظمة تُسجّل هذه الانقطاعات، وتُحلّل أنماطها الزمنية. لاحظت AccessNow في تقريرها لعام ٢٠٢٤ أن «انقطاعات الاتصال في غزة كثيراً ما تتزامن مع بدء عمليات عسكرية كبرى، ما يُثير تساؤلات حول كونها عرضية أم متعمّدة» (AccessNow, "Internet Shutdowns Report" ٢٠٢٤).</w:t>
      </w:r>
    </w:p>
    <w:p>
      <w:pPr>
        <w:bidi/>
        <w:spacing w:after="160"/>
        <w:jc w:val="start"/>
      </w:pPr>
      <w:r>
        <w:rPr>
          <w:sz w:val="24"/>
          <w:szCs w:val="24"/>
          <w:rtl/>
        </w:rPr>
        <w:t xml:space="preserve">## استهداف الكاميرات والمعدّات</w:t>
      </w:r>
    </w:p>
    <w:p>
      <w:pPr>
        <w:bidi/>
        <w:spacing w:after="160"/>
        <w:jc w:val="start"/>
      </w:pPr>
      <w:r>
        <w:rPr>
          <w:sz w:val="24"/>
          <w:szCs w:val="24"/>
          <w:rtl/>
        </w:rPr>
        <w:t xml:space="preserve">ضمن النمط الموثّق من قِبَل CPJ وRSF، يبرز ما يمكن تسميته «استهداف الأدوات». في حالات متعدّدة، أُصيبت سيارات الصحافة، وأُعطبت معدّات البثّ، وحُرقت سيارات النقل المُجهَّزة بأجهزة الإرسال عبر الأقمار الصناعية. هذا الإجراء يُفقد الصحفي قدرته على البثّ حتى لو نجا شخصياً، ويُقلّص شبكة الإرسال المتاحة.</w:t>
      </w:r>
    </w:p>
    <w:p>
      <w:pPr>
        <w:bidi/>
        <w:spacing w:after="160"/>
        <w:jc w:val="start"/>
      </w:pPr>
      <w:r>
        <w:rPr>
          <w:sz w:val="24"/>
          <w:szCs w:val="24"/>
          <w:rtl/>
        </w:rPr>
        <w:t xml:space="preserve">تطلّب الإعلام الفلسطيني إعادة تنظيم منهجية: استخدام هواتف ذكية بدلاً من الكاميرات الاحترافية، البثّ عبر الإنترنت اللاسلكي بدلاً من الأقمار الصناعية، توزيع المخاطر عبر العمل في خلايا صغيرة. هذه التحوّلات أنتجت نمطاً جديداً من «الصحافة المتنقّلة» (Mobile Journalism) التي ستكون موضوع دراسة أكاديمية لسنوات قادمة.</w:t>
      </w:r>
    </w:p>
    <w:p>
      <w:pPr>
        <w:bidi/>
        <w:spacing w:after="160"/>
        <w:jc w:val="start"/>
      </w:pPr>
      <w:r>
        <w:rPr>
          <w:sz w:val="24"/>
          <w:szCs w:val="24"/>
          <w:rtl/>
        </w:rPr>
        <w:t xml:space="preserve">## النتيجة: الصحفي الفلسطيني هو الشاهد الوحيد</w:t>
      </w:r>
    </w:p>
    <w:p>
      <w:pPr>
        <w:bidi/>
        <w:spacing w:after="160"/>
        <w:jc w:val="start"/>
      </w:pPr>
      <w:r>
        <w:rPr>
          <w:sz w:val="24"/>
          <w:szCs w:val="24"/>
          <w:rtl/>
        </w:rPr>
        <w:t xml:space="preserve">ما يُمكن تلخيصه في هذا الفصل هو الآتي: حين أُغلق الباب أمام الصحافة الأجنبية المستقلة، ووُضعت الأدوات في يد الجانب الإسرائيلي ليتحكّم في «الرواية الرسمية»، تحوّل الصحفي الفلسطيني المحلّي — الذي يحمل هاتفاً ويرتدي صدرية «PRESS» باهتة — إلى الكيان الوحيد الذي يقف بين الحدث الميداني والذاكرة العالمية. وكثير منهم دفع ثمن هذا الموقع حياته.</w:t>
      </w:r>
    </w:p>
    <w:p>
      <w:pPr>
        <w:bidi/>
        <w:spacing w:after="160"/>
        <w:jc w:val="start"/>
      </w:pPr>
      <w:r>
        <w:rPr>
          <w:sz w:val="24"/>
          <w:szCs w:val="24"/>
          <w:rtl/>
        </w:rPr>
        <w:t xml:space="preserve">من زاوية تاريخ الصحافة، قد يُكتَب لاحقاً أن نمط «الصحفي المحلّي تحت الحصار» الذي ابتُكر اضطراراً في غزة سيكون نموذجاً يُطبّق في نزاعات قادمة. ومن زاوية القانون الدولي، قد يُؤسَّس على هذه التجربة فقهٌ جديد يُغلّظ العقوبة على إعاقة الصحافة في النزاعات. لكن هذا كلّه يقع مستقبلاً. أمّا الآن، فإن العالم يدين بالفضل لمن قاتل بالكاميرا والميكروفون، حتى آخر ضربة. والله مع الصابرين.</w:t>
      </w:r>
    </w:p>
    <w:p>
      <w:r>
        <w:br w:type="page"/>
      </w:r>
    </w:p>
    <w:p>
      <w:pPr>
        <w:bidi/>
        <w:spacing w:after="360" w:before="600"/>
        <w:jc w:val="center"/>
      </w:pPr>
      <w:r>
        <w:rPr>
          <w:b/>
          <w:bCs/>
          <w:color w:val="1B3A5C"/>
          <w:sz w:val="36"/>
          <w:szCs w:val="36"/>
          <w:rtl/>
        </w:rPr>
        <w:t xml:space="preserve">الفصل التاسع: المقارنة التاريخية — هل هذا مسبوق؟</w:t>
      </w:r>
    </w:p>
    <w:p>
      <w:pPr>
        <w:bidi/>
        <w:spacing w:after="160"/>
        <w:jc w:val="start"/>
      </w:pPr>
      <w:r>
        <w:rPr>
          <w:sz w:val="24"/>
          <w:szCs w:val="24"/>
          <w:rtl/>
        </w:rPr>
        <w:t xml:space="preserve">&gt; ﴿لَقَدْ كَانَ فِي قَصَصِهِمْ عِبْرَةٌ لِّأُولِي الْأَلْبَابِ مَا كَانَ حَدِيثًا يُفْتَرَىٰ وَلَٰكِن تَصْدِيقَ الَّذِي بَيْنَ يَدَيْهِ﴾ — يوسف: ١١١</w:t>
      </w:r>
    </w:p>
    <w:p>
      <w:pPr>
        <w:bidi/>
        <w:spacing w:after="160"/>
        <w:jc w:val="start"/>
      </w:pPr>
      <w:r>
        <w:rPr>
          <w:sz w:val="24"/>
          <w:szCs w:val="24"/>
          <w:rtl/>
        </w:rPr>
        <w:t xml:space="preserve">## لماذا المقارنة؟</w:t>
      </w:r>
    </w:p>
    <w:p>
      <w:pPr>
        <w:bidi/>
        <w:spacing w:after="160"/>
        <w:jc w:val="start"/>
      </w:pPr>
      <w:r>
        <w:rPr>
          <w:sz w:val="24"/>
          <w:szCs w:val="24"/>
          <w:rtl/>
        </w:rPr>
        <w:t xml:space="preserve">في النقاشات الحادّة حول النزاع في غزة، تتردّد عبارات شعبية من نوع «لم يُسبق» أو «كل الحروب فيها ضحايا». المقارنة التاريخية الدقيقة هي وحدها التي تُنقذ النقاش من هاتين العبارتين، وتُتيح للقارئ أن يحكم بمعطيات إحصائية قابلة للتحقّق. في هذا الفصل، سننظر في النزاعات الكبرى التي وثّقت فيها لجنة حماية الصحفيين (CPJ) أعداداً مرتفعة من الصحفيين القتلى، ثم نسأل: هل ما يحدث في غزة مسبوق فعلاً، أم أنه يقع ضمن نمط معروف؟ سننظر أيضاً في السوابق التي شُيّدت عليها قواعد فقهية في القانون الإنساني الدولي.</w:t>
      </w:r>
    </w:p>
    <w:p>
      <w:pPr>
        <w:bidi/>
        <w:spacing w:after="160"/>
        <w:jc w:val="start"/>
      </w:pPr>
      <w:r>
        <w:rPr>
          <w:sz w:val="24"/>
          <w:szCs w:val="24"/>
          <w:rtl/>
        </w:rPr>
        <w:t xml:space="preserve">## أرقام النزاعات الكبرى المُقارَنة</w:t>
      </w:r>
    </w:p>
    <w:p>
      <w:pPr>
        <w:bidi/>
        <w:spacing w:after="160"/>
        <w:jc w:val="start"/>
      </w:pPr>
      <w:r>
        <w:rPr>
          <w:sz w:val="24"/>
          <w:szCs w:val="24"/>
          <w:rtl/>
        </w:rPr>
        <w:t xml:space="preserve">تحتفظ CPJ منذ عام ١٩٩٢ بقاعدة بيانات شاملة لوفيات الصحفيين. الأرقام الكبرى المتاحة (CPJ Database, ٢٠٢٥) هي:</w:t>
      </w:r>
    </w:p>
    <w:p>
      <w:pPr>
        <w:bidi/>
        <w:spacing w:after="160"/>
        <w:jc w:val="start"/>
      </w:pPr>
      <w:r>
        <w:rPr>
          <w:sz w:val="24"/>
          <w:szCs w:val="24"/>
          <w:rtl/>
        </w:rPr>
        <w:t xml:space="preserve">**العراق (٢٠٠٣–٢٠١١، مع امتدادات حتى ٢٠٢٠)**: ٢٣٠ صحفياً قُتلوا. كان هذا أعلى رقم سجّلته CPJ في نزاع منفرد حتى عام ٢٠٢٣. توزّعت الفترات: ١٧٠ صحفياً في الفترة الأكثف (٢٠٠٣–٢٠١١)، و٦٠ في فترة الحرب على داعش وما تلاها (٢٠١٤–٢٠٢٠).</w:t>
      </w:r>
    </w:p>
    <w:p>
      <w:pPr>
        <w:bidi/>
        <w:spacing w:after="160"/>
        <w:jc w:val="start"/>
      </w:pPr>
      <w:r>
        <w:rPr>
          <w:sz w:val="24"/>
          <w:szCs w:val="24"/>
          <w:rtl/>
        </w:rPr>
        <w:t xml:space="preserve">**سوريا (٢٠١١–٢٠٢٤)**: ١٥٥ صحفياً، توزّعت على ١٤ سنة. الذروة كانت في الفترة ٢٠١٢–٢٠١٤، مع مقتل ٥٠ صحفياً في عامين فقط بسبب القصف العشوائي وتنظيم داعش.</w:t>
      </w:r>
    </w:p>
    <w:p>
      <w:pPr>
        <w:bidi/>
        <w:spacing w:after="160"/>
        <w:jc w:val="start"/>
      </w:pPr>
      <w:r>
        <w:rPr>
          <w:sz w:val="24"/>
          <w:szCs w:val="24"/>
          <w:rtl/>
        </w:rPr>
        <w:t xml:space="preserve">**الفلبين (١٩٩٢–٢٠٢٣)**: ١٥٧ صحفياً، معظمهم في عمليات اغتيال فردية، وتشمل مذبحة مينداناو الشهيرة عام ٢٠٠٩ (٣٢ صحفياً قتلوا في حادثة واحدة).</w:t>
      </w:r>
    </w:p>
    <w:p>
      <w:pPr>
        <w:bidi/>
        <w:spacing w:after="160"/>
        <w:jc w:val="start"/>
      </w:pPr>
      <w:r>
        <w:rPr>
          <w:sz w:val="24"/>
          <w:szCs w:val="24"/>
          <w:rtl/>
        </w:rPr>
        <w:t xml:space="preserve">**المكسيك (٢٠٠٦–٢٠٢٤)**: ١٤٠+ صحفياً، معظمهم اغتيالات فردية مرتبطة بالكارتيلات.</w:t>
      </w:r>
    </w:p>
    <w:p>
      <w:pPr>
        <w:bidi/>
        <w:spacing w:after="160"/>
        <w:jc w:val="start"/>
      </w:pPr>
      <w:r>
        <w:rPr>
          <w:sz w:val="24"/>
          <w:szCs w:val="24"/>
          <w:rtl/>
        </w:rPr>
        <w:t xml:space="preserve">**أفغانستان (٢٠٠١–٢٠٢١)**: ٧٢ صحفياً.</w:t>
      </w:r>
    </w:p>
    <w:p>
      <w:pPr>
        <w:bidi/>
        <w:spacing w:after="160"/>
        <w:jc w:val="start"/>
      </w:pPr>
      <w:r>
        <w:rPr>
          <w:sz w:val="24"/>
          <w:szCs w:val="24"/>
          <w:rtl/>
        </w:rPr>
        <w:t xml:space="preserve">**فيتنام (الفترة الموثّقة في مصادر ثانوية)**: ٦٦ صحفياً قُتلوا على مدى ٢٠ عاماً تقريباً (Newseum Archive, مصدر ثانوي).</w:t>
      </w:r>
    </w:p>
    <w:p>
      <w:pPr>
        <w:bidi/>
        <w:spacing w:after="160"/>
        <w:jc w:val="start"/>
      </w:pPr>
      <w:r>
        <w:rPr>
          <w:sz w:val="24"/>
          <w:szCs w:val="24"/>
          <w:rtl/>
        </w:rPr>
        <w:t xml:space="preserve">**الصومال (١٩٩٢–٢٠٢٤)**: ٧٠ صحفياً.</w:t>
      </w:r>
    </w:p>
    <w:p>
      <w:pPr>
        <w:bidi/>
        <w:spacing w:after="160"/>
        <w:jc w:val="start"/>
      </w:pPr>
      <w:r>
        <w:rPr>
          <w:sz w:val="24"/>
          <w:szCs w:val="24"/>
          <w:rtl/>
        </w:rPr>
        <w:t xml:space="preserve">**روسيا (١٩٩٢–٢٠٢٤)**: ٥٨ صحفياً، معظمهم اغتيالات سياسية.</w:t>
      </w:r>
    </w:p>
    <w:p>
      <w:pPr>
        <w:bidi/>
        <w:spacing w:after="160"/>
        <w:jc w:val="start"/>
      </w:pPr>
      <w:r>
        <w:rPr>
          <w:sz w:val="24"/>
          <w:szCs w:val="24"/>
          <w:rtl/>
        </w:rPr>
        <w:t xml:space="preserve">**أوكرانيا (٢٠٢٢–٢٠٢٤)**: ١٧ صحفياً منذ بدء الحرب الروسية.</w:t>
      </w:r>
    </w:p>
    <w:p>
      <w:pPr>
        <w:bidi/>
        <w:spacing w:after="160"/>
        <w:jc w:val="start"/>
      </w:pPr>
      <w:r>
        <w:rPr>
          <w:sz w:val="24"/>
          <w:szCs w:val="24"/>
          <w:rtl/>
        </w:rPr>
        <w:t xml:space="preserve">**غزة (أكتوبر ٢٠٢٣–منتصف ٢٠٢٥)**: ١٣٧+ صحفياً وعاملاً في المجال الإعلامي وفق CPJ، وأكثر من ١٥٠ وفق RSF، وأكثر من ٢٢٠ وفق نقابة الصحفيين الفلسطينيين.</w:t>
      </w:r>
    </w:p>
    <w:p>
      <w:pPr>
        <w:bidi/>
        <w:spacing w:after="160"/>
        <w:jc w:val="start"/>
      </w:pPr>
      <w:r>
        <w:rPr>
          <w:sz w:val="24"/>
          <w:szCs w:val="24"/>
          <w:rtl/>
        </w:rPr>
        <w:t xml:space="preserve">## المعدّل الزمني: حيث يكمن الاستثناء</w:t>
      </w:r>
    </w:p>
    <w:p>
      <w:pPr>
        <w:bidi/>
        <w:spacing w:after="160"/>
        <w:jc w:val="start"/>
      </w:pPr>
      <w:r>
        <w:rPr>
          <w:sz w:val="24"/>
          <w:szCs w:val="24"/>
          <w:rtl/>
        </w:rPr>
        <w:t xml:space="preserve">النظر إلى الأرقام المطلقة وحده يمكن أن يكون مضلّلاً. فحرب العراق (٢٠٠٣–٢٠١١) فقدت في الذروة نحو صحفي كل شهر، وهو معدّل اعتُبر آنذاك مأساوياً بكلّ المقاييس. أمّا غزة فقد فقدت في المتوسّط بين سبعة وعشرة صحفيين شهرياً. هذا الفرق ينقل المسألة من مستوى «نزاع شديد الخطورة على الصحافة» إلى مستوى «حالة استثنائية تاريخياً» في قاموس CPJ.</w:t>
      </w:r>
    </w:p>
    <w:p>
      <w:pPr>
        <w:bidi/>
        <w:spacing w:after="160"/>
        <w:jc w:val="start"/>
      </w:pPr>
      <w:r>
        <w:rPr>
          <w:sz w:val="24"/>
          <w:szCs w:val="24"/>
          <w:rtl/>
        </w:rPr>
        <w:t xml:space="preserve">عمليّاً، إن كل ما فقدته الصحافة في حرب العراق على مدى ثمانية أعوام، تجاوزته خسائر الصحافة في غزة في أقلّ من ١٨ شهراً. وإن ما فقدته الصحافة السورية على مدى ١٢ عاماً، تجاوزته غزة في عام واحد. هذا التركيز الزمني هو ما يدفع CPJ ذاتها إلى وصف غزة بأنها «الأكثر دموية في تاريخ التوثيق» (CPJ Statement, ٢٠٢٤).</w:t>
      </w:r>
    </w:p>
    <w:p>
      <w:pPr>
        <w:bidi/>
        <w:spacing w:after="160"/>
        <w:jc w:val="start"/>
      </w:pPr>
      <w:r>
        <w:rPr>
          <w:sz w:val="24"/>
          <w:szCs w:val="24"/>
          <w:rtl/>
        </w:rPr>
        <w:t xml:space="preserve">## ما يُميّز نمط الاستهداف في غزة</w:t>
      </w:r>
    </w:p>
    <w:p>
      <w:pPr>
        <w:bidi/>
        <w:spacing w:after="160"/>
        <w:jc w:val="start"/>
      </w:pPr>
      <w:r>
        <w:rPr>
          <w:sz w:val="24"/>
          <w:szCs w:val="24"/>
          <w:rtl/>
        </w:rPr>
        <w:t xml:space="preserve">يُلاحظ المُحقّقون نمطاً متمايزاً بين النزاعات السابقة وغزة: نسبة الصحفيين القتلى أثناء وجودهم في «بيوتهم» مقارنة بالقتلى في الميدان. في حرب العراق، نسبة الصحفيين الذين قُتلوا في منازلهم لم تتجاوز ٢٠٪. في غزة، تتجاوز هذه النسبة ٤٥٪ بحسب تحليل لجنة حماية الصحفيين (CPJ Trend Analysis, ٢٠٢٤). هذا الفرق يُؤشّر على نمطين متمايزين من الاستهداف:</w:t>
      </w:r>
    </w:p>
    <w:p>
      <w:pPr>
        <w:bidi/>
        <w:spacing w:after="160"/>
        <w:jc w:val="start"/>
      </w:pPr>
      <w:r>
        <w:rPr>
          <w:sz w:val="24"/>
          <w:szCs w:val="24"/>
          <w:rtl/>
        </w:rPr>
        <w:t xml:space="preserve">١. **الاستهداف أثناء التغطية**: الصحفي يُصاب بقذيفة أو رصاصة أثناء قيامه بعمله الميداني. هذا النمط مألوف في كل النزاعات.</w:t>
      </w:r>
    </w:p>
    <w:p>
      <w:pPr>
        <w:bidi/>
        <w:spacing w:after="160"/>
        <w:jc w:val="start"/>
      </w:pPr>
      <w:r>
        <w:rPr>
          <w:sz w:val="24"/>
          <w:szCs w:val="24"/>
          <w:rtl/>
        </w:rPr>
        <w:t xml:space="preserve">٢. **الاستهداف في المنزل**: الصحفي يُصاب بضربة على منزله، غالباً بحضور أفراد عائلته. هذا النمط يُسجّل في غزة بمعدّل لا سابقة له.</w:t>
      </w:r>
    </w:p>
    <w:p>
      <w:pPr>
        <w:bidi/>
        <w:spacing w:after="160"/>
        <w:jc w:val="start"/>
      </w:pPr>
      <w:r>
        <w:rPr>
          <w:sz w:val="24"/>
          <w:szCs w:val="24"/>
          <w:rtl/>
        </w:rPr>
        <w:t xml:space="preserve">النمط الثاني يطرح إشكالية قانونية مختلفة: ضرب منزل يضمّ مدنيّين متعدّدين بسبب أن أحدهم صحفي يستوجب إثبات أن منزل الصحفي يُمثّل «هدفاً عسكرياً مشروعاً»، وهو عبء إثبات بالغ الصعوبة في القانون الدولي. ولم تُقدّم سلطات الاحتلال في معظم هذه الحالات أيّ تبرير علني يستوفي معيار «الهدف العسكري» المنصوص عليه في المادة ٥٢ من البروتوكول الإضافي الأول.</w:t>
      </w:r>
    </w:p>
    <w:p>
      <w:pPr>
        <w:bidi/>
        <w:spacing w:after="160"/>
        <w:jc w:val="start"/>
      </w:pPr>
      <w:r>
        <w:rPr>
          <w:sz w:val="24"/>
          <w:szCs w:val="24"/>
          <w:rtl/>
        </w:rPr>
        <w:t xml:space="preserve">## استهداف العائلات: نمط يستحقّ المقارنة</w:t>
      </w:r>
    </w:p>
    <w:p>
      <w:pPr>
        <w:bidi/>
        <w:spacing w:after="160"/>
        <w:jc w:val="start"/>
      </w:pPr>
      <w:r>
        <w:rPr>
          <w:sz w:val="24"/>
          <w:szCs w:val="24"/>
          <w:rtl/>
        </w:rPr>
        <w:t xml:space="preserve">نمط آخر مميّز في حالة غزة هو الإصابة المتكرّرة لأفراد عائلات الصحفيين. حالات وائل الدحدوح (فقد زوجته وثلاثة من أبنائه ثم فقد ابنه الرابع لاحقاً)، ومحمد أبو حطب (قُتل مع عشرة من أفراد عائلته)، وعشرات الحالات الأخرى الموثّقة في تقارير CPJ، تُشكّل نمطاً قلّ نظيره في النزاعات السابقة.</w:t>
      </w:r>
    </w:p>
    <w:p>
      <w:pPr>
        <w:bidi/>
        <w:spacing w:after="160"/>
        <w:jc w:val="start"/>
      </w:pPr>
      <w:r>
        <w:rPr>
          <w:sz w:val="24"/>
          <w:szCs w:val="24"/>
          <w:rtl/>
        </w:rPr>
        <w:t xml:space="preserve">في الحرب البوسنية (١٩٩٢–١٩٩٥)، التي تُعدّ من أعنف النزاعات على الصحافة في تسعينيات القرن الماضي، لم يُسجّل نمط استهداف منهجي لعائلات الصحفيين. في حرب العراق، استُهدف صحفيون فرديّاً، لكن استهداف عائلاتهم لم يكن نمطاً منهجياً. حتى في النزاع السوري، حيث وُثّقت اغتيالات فردية لصحفيين معارضين، لم يُسجَّل النمط نفسه على نفس النطاق.</w:t>
      </w:r>
    </w:p>
    <w:p>
      <w:pPr>
        <w:bidi/>
        <w:spacing w:after="160"/>
        <w:jc w:val="start"/>
      </w:pPr>
      <w:r>
        <w:rPr>
          <w:sz w:val="24"/>
          <w:szCs w:val="24"/>
          <w:rtl/>
        </w:rPr>
        <w:t xml:space="preserve">هذا التمييز مهمّ قانونياً، لأنه يدفع المحقّق نحو فرضية أن استهداف الصحفي بمنزله مع عائلته ليس «إخفاقاً في التمييز»، بل «ممارسة عقوبة جماعية» (Collective Punishment) محظورة بموجب المادة ٣٣ من اتفاقية جنيف الرابعة. هذه التهمة تحديداً وردت في عدد من تقارير لجنة الأمم المتحدة للتحقيق (UN COI).</w:t>
      </w:r>
    </w:p>
    <w:p>
      <w:pPr>
        <w:bidi/>
        <w:spacing w:after="160"/>
        <w:jc w:val="start"/>
      </w:pPr>
      <w:r>
        <w:rPr>
          <w:sz w:val="24"/>
          <w:szCs w:val="24"/>
          <w:rtl/>
        </w:rPr>
        <w:t xml:space="preserve">## السابقة البوسنية: قصف سراييفو</w:t>
      </w:r>
    </w:p>
    <w:p>
      <w:pPr>
        <w:bidi/>
        <w:spacing w:after="160"/>
        <w:jc w:val="start"/>
      </w:pPr>
      <w:r>
        <w:rPr>
          <w:sz w:val="24"/>
          <w:szCs w:val="24"/>
          <w:rtl/>
        </w:rPr>
        <w:t xml:space="preserve">في الحرب البوسنية (١٩٩٢–١٩٩٥)، شهدت سراييفو حصاراً استمرّ ١٤٤٤ يوماً. قُتل خلالها عدد كبير من الصحفيين، بمن فيهم الصحفية الأمريكية كيم برهارت، والمصور الفرنسي بول مارشاند، والمصور البلجيكي توماس أوستر. كذلك استُهدف فندق Holiday Inn في سراييفو الذي كان يُؤوي معظم الصحفيين الأجانب بشكل متكرّر بقذائف من المرتفعات الصربية.</w:t>
      </w:r>
    </w:p>
    <w:p>
      <w:pPr>
        <w:bidi/>
        <w:spacing w:after="160"/>
        <w:jc w:val="start"/>
      </w:pPr>
      <w:r>
        <w:rPr>
          <w:sz w:val="24"/>
          <w:szCs w:val="24"/>
          <w:rtl/>
        </w:rPr>
        <w:t xml:space="preserve">أهمية السابقة البوسنية تكمن في أنّ محكمة يوغوسلافيا الجنائية الدولية (ICTY) أنشئت بقرار من مجلس الأمن الدولي عام ١٩٩٣، وأصدرت لاحقاً أحكاماً تاريخية. في قضية الجنرال ستانيسلاف غاليتش (Galić)، قائد فيلق سراييفو-رومانيا، أُدين عام ٢٠٠٣ بـ«جريمة الإرهاب على المدنيين» نتيجة سياسة قصف عشوائي شملت من بين ضحاياها صحفيين. أُكّد الحكم في الاستئناف عام ٢٠٠٦ (ICTY, Galić Case Appeal).</w:t>
      </w:r>
    </w:p>
    <w:p>
      <w:pPr>
        <w:bidi/>
        <w:spacing w:after="160"/>
        <w:jc w:val="start"/>
      </w:pPr>
      <w:r>
        <w:rPr>
          <w:sz w:val="24"/>
          <w:szCs w:val="24"/>
          <w:rtl/>
        </w:rPr>
        <w:t xml:space="preserve">استخدمت المحكمة في قضية غاليتش معايير محدّدة طُبّقت لاحقاً في قضايا أخرى، منها معيار «النمط» (Pattern Evidence)، ومعيار «التوقّع المعقول» (Reasonable Foresight). هذه المعايير الفقهية ستكون متاحة للمحكمة الجنائية الدولية في تحقيقاتها بشأن غزة.</w:t>
      </w:r>
    </w:p>
    <w:p>
      <w:pPr>
        <w:bidi/>
        <w:spacing w:after="160"/>
        <w:jc w:val="start"/>
      </w:pPr>
      <w:r>
        <w:rPr>
          <w:sz w:val="24"/>
          <w:szCs w:val="24"/>
          <w:rtl/>
        </w:rPr>
        <w:t xml:space="preserve">## السابقة الرواندية: الإعلام وسيلة للتحريض</w:t>
      </w:r>
    </w:p>
    <w:p>
      <w:pPr>
        <w:bidi/>
        <w:spacing w:after="160"/>
        <w:jc w:val="start"/>
      </w:pPr>
      <w:r>
        <w:rPr>
          <w:sz w:val="24"/>
          <w:szCs w:val="24"/>
          <w:rtl/>
        </w:rPr>
        <w:t xml:space="preserve">في إبادة رواندا عام ١٩٩٤، لم يكن الصحفيون ضحايا فقط، بل كان بعض الإعلام أداةً مباشرة في التحريض على الإبادة (إذاعة RTLM الشهيرة). أسّست محكمة رواندا الجنائية الدولية (ICTR) فقهاً جنائياً جديداً تماماً في «قضية الإعلام» (Media Case) عام ٢٠٠٣، حيث أُدين ثلاثة من قادة الإعلام الرواندي (فرديناند ناهيمانا، وجان بوسكو باراياغويزا، وحسن نجيز) بتهم تشمل التحريض المباشر والعلني على الإبادة (ICTR, Nahimana et al. Case ٢٠٠٣).</w:t>
      </w:r>
    </w:p>
    <w:p>
      <w:pPr>
        <w:bidi/>
        <w:spacing w:after="160"/>
        <w:jc w:val="start"/>
      </w:pPr>
      <w:r>
        <w:rPr>
          <w:sz w:val="24"/>
          <w:szCs w:val="24"/>
          <w:rtl/>
        </w:rPr>
        <w:t xml:space="preserve">هذه السابقة القانونية مهمّة من جهتين: أولاً، تُؤكّد أن المحاسبة الدولية على الجرائم المرتبطة بالإعلام ممكنة قانونياً. ثانياً، تطرح السؤال المعكوس: إذا كان تحريض الإعلام على الإبادة جريمة، فإن قتل الإعلام لمنع التوثيق يُمثّل مسعىً مماثلاً في طمس الحقيقة، يستحقّ تأطيراً قانونياً جديداً.</w:t>
      </w:r>
    </w:p>
    <w:p>
      <w:pPr>
        <w:bidi/>
        <w:spacing w:after="160"/>
        <w:jc w:val="start"/>
      </w:pPr>
      <w:r>
        <w:rPr>
          <w:sz w:val="24"/>
          <w:szCs w:val="24"/>
          <w:rtl/>
        </w:rPr>
        <w:t xml:space="preserve">## الفقه القانوني الناشئ</w:t>
      </w:r>
    </w:p>
    <w:p>
      <w:pPr>
        <w:bidi/>
        <w:spacing w:after="160"/>
        <w:jc w:val="start"/>
      </w:pPr>
      <w:r>
        <w:rPr>
          <w:sz w:val="24"/>
          <w:szCs w:val="24"/>
          <w:rtl/>
        </w:rPr>
        <w:t xml:space="preserve">تتطوّر الأطر القانونية الناتجة عن هذه السوابق بشكل مستمرّ. في الفقه القانوني الدولي الناشئ، يبرز اتجاه نحو الاعتراف بـ«جريمة منع الشهادة» (Crime of Witness Suppression) كركن مستقلّ يُضاف إلى جرائم الحرب. هذا الاتّجاه ما زال غير مُقنّن في نظام روما، لكنه يُناقَش في الأدبيات الفقهية المتخصّصة (Journal of International Criminal Justice, ٢٠٢٤).</w:t>
      </w:r>
    </w:p>
    <w:p>
      <w:pPr>
        <w:bidi/>
        <w:spacing w:after="160"/>
        <w:jc w:val="start"/>
      </w:pPr>
      <w:r>
        <w:rPr>
          <w:sz w:val="24"/>
          <w:szCs w:val="24"/>
          <w:rtl/>
        </w:rPr>
        <w:t xml:space="preserve">كذلك تُطوّر منظمة الأمم المتحدة لحماية الصحفيين، إلى جانب اليونسكو، خطّة عمل عالمية تحت عنوان «UN Plan of Action on the Safety of Journalists and the Issue of Impunity» (٢٠١٢)، أُعيد تحديثها مرّتين، وتدعو إلى آليات مساءلة أكثر صرامة لقتل الصحفيين في النزاعات (UNESCO Plan, ٢٠١٢, مُحدَّث ٢٠٢٢).</w:t>
      </w:r>
    </w:p>
    <w:p>
      <w:pPr>
        <w:bidi/>
        <w:spacing w:after="160"/>
        <w:jc w:val="start"/>
      </w:pPr>
      <w:r>
        <w:rPr>
          <w:sz w:val="24"/>
          <w:szCs w:val="24"/>
          <w:rtl/>
        </w:rPr>
        <w:t xml:space="preserve">## الخلاصة المُقارنة: استثناء أم نمط متفاقم؟</w:t>
      </w:r>
    </w:p>
    <w:p>
      <w:pPr>
        <w:bidi/>
        <w:spacing w:after="160"/>
        <w:jc w:val="start"/>
      </w:pPr>
      <w:r>
        <w:rPr>
          <w:sz w:val="24"/>
          <w:szCs w:val="24"/>
          <w:rtl/>
        </w:rPr>
        <w:t xml:space="preserve">إذا كانت أرقام غزة استثنائية إحصائياً ومركّبة في خصائصها الكيفية، فإنّ كثيراً من مكوّناتها ليست جديدة كلياً. النمط البوسني (قصف فنادق الصحفيين)، والنمط الرواندي (المحاسبة الإعلامية)، والنمط السوري (الاستهداف الفردي للصحفيين)، كلها سوابق تظهر بأشكال جديدة في غزة. ما يجعل غزة مختلفة هو **اجتماع كل هذه الأنماط في مكان واحد، خلال فترة قصيرة، مع غياب وصول الصحافة الدولية المستقلة، ومع جموع غير مسبوقة من الضحايا في صفوف الصحافة المحلّية**.</w:t>
      </w:r>
    </w:p>
    <w:p>
      <w:pPr>
        <w:bidi/>
        <w:spacing w:after="160"/>
        <w:jc w:val="start"/>
      </w:pPr>
      <w:r>
        <w:rPr>
          <w:sz w:val="24"/>
          <w:szCs w:val="24"/>
          <w:rtl/>
        </w:rPr>
        <w:t xml:space="preserve">من زاوية القانون الدولي، يُمكن قراءة غزة بصفتها «اختباراً للنظام» (System Stress Test). فإذا فشلت المنظومة الدولية في المحاسبة على ما يُوثَّق في غزة، فإنها ستفقد جانباً كبيراً من مصداقيّتها في النزاعات القادمة. وإذا نجحت — ولو جزئياً — فستُؤسّس فقهاً جديداً يحمي الصحفيين والعاملين الإنسانيين بشكل أكثر صرامة. النتيجة، مهما كانت، ستُحدّد قواعد اللعبة لعقد قادم على الأقل.</w:t>
      </w:r>
    </w:p>
    <w:p>
      <w:pPr>
        <w:bidi/>
        <w:spacing w:after="160"/>
        <w:jc w:val="start"/>
      </w:pPr>
      <w:r>
        <w:rPr>
          <w:sz w:val="24"/>
          <w:szCs w:val="24"/>
          <w:rtl/>
        </w:rPr>
        <w:t xml:space="preserve">هذا ما يجعل الالتفات إلى التوثيق الراهن واجباً يتجاوز حدود قطاع غزة. كل اسم وكل تحقيق وكل قضيّة هي قَلَم في جدول استثنائي يكتبه القانون الدولي بحبر دم. وعلى من بقي حيّاً أن يُكمل الكتابة. والله الموفّق لكلّ خير.</w:t>
      </w:r>
    </w:p>
    <w:p>
      <w:r>
        <w:br w:type="page"/>
      </w:r>
    </w:p>
    <w:p>
      <w:pPr>
        <w:bidi/>
        <w:spacing w:after="360" w:before="600"/>
        <w:jc w:val="center"/>
      </w:pPr>
      <w:r>
        <w:rPr>
          <w:b/>
          <w:bCs/>
          <w:color w:val="1B3A5C"/>
          <w:sz w:val="36"/>
          <w:szCs w:val="36"/>
          <w:rtl/>
        </w:rPr>
        <w:t xml:space="preserve">الفصل العاشر: الاستجابة الدولية — المحاسبة أم الإفلات من العقاب؟</w:t>
      </w:r>
    </w:p>
    <w:p>
      <w:pPr>
        <w:bidi/>
        <w:spacing w:after="160"/>
        <w:jc w:val="start"/>
      </w:pPr>
      <w:r>
        <w:rPr>
          <w:sz w:val="24"/>
          <w:szCs w:val="24"/>
          <w:rtl/>
        </w:rPr>
        <w:t xml:space="preserve">&gt; ﴿وَمَن لَّمْ يَحْكُم بِمَا أَنزَلَ اللَّهُ فَأُولَٰئِكَ هُمُ الظَّالِمُونَ﴾ — المائدة: ٤٥</w:t>
      </w:r>
    </w:p>
    <w:p>
      <w:pPr>
        <w:bidi/>
        <w:spacing w:after="160"/>
        <w:jc w:val="start"/>
      </w:pPr>
      <w:r>
        <w:rPr>
          <w:sz w:val="24"/>
          <w:szCs w:val="24"/>
          <w:rtl/>
        </w:rPr>
        <w:t xml:space="preserve">## المسألة الجوهرية</w:t>
      </w:r>
    </w:p>
    <w:p>
      <w:pPr>
        <w:bidi/>
        <w:spacing w:after="160"/>
        <w:jc w:val="start"/>
      </w:pPr>
      <w:r>
        <w:rPr>
          <w:sz w:val="24"/>
          <w:szCs w:val="24"/>
          <w:rtl/>
        </w:rPr>
        <w:t xml:space="preserve">الفصل بين «التوثيق» و«المحاسبة» هو الفجوة الأبدية في القانون الدولي. كل ما تناولناه في الفصول السابقة من توثيق وأرقام وأدلّة لا قيمة قانونية فعلية له ما لم يدخل في إطار قضائي يُنتج المسؤولية الفردية. في هذا الفصل، نستعرض ما حدث فعلياً على المستوى الدولي منذ السابع من أكتوبر ٢٠٢٣، بعيداً عن الإنشاء، بقدر يستجيب لروح هذا الكتاب: التوثيق الصارم.</w:t>
      </w:r>
    </w:p>
    <w:p>
      <w:pPr>
        <w:bidi/>
        <w:spacing w:after="160"/>
        <w:jc w:val="start"/>
      </w:pPr>
      <w:r>
        <w:rPr>
          <w:sz w:val="24"/>
          <w:szCs w:val="24"/>
          <w:rtl/>
        </w:rPr>
        <w:t xml:space="preserve">سنتناول أربع جبهات للاستجابة الدولية: (١) محكمة العدل الدولية (ICJ)، (٢) المحكمة الجنائية الدولية (ICC)، (٣) مجلس الأمن الدولي والجمعية العامة للأمم المتحدة، (٤) الإجراءات الوطنية المتعدّدة. سنفصّل في كلٍّ منها ما حدث بالضبط، ثم نسأل في الختام: ما الفجوة بين ما اقتُرح وما تحقّق فعلياً؟</w:t>
      </w:r>
    </w:p>
    <w:p>
      <w:pPr>
        <w:bidi/>
        <w:spacing w:after="160"/>
        <w:jc w:val="start"/>
      </w:pPr>
      <w:r>
        <w:rPr>
          <w:sz w:val="24"/>
          <w:szCs w:val="24"/>
          <w:rtl/>
        </w:rPr>
        <w:t xml:space="preserve">## أوّلاً: محكمة العدل الدولية (ICJ)</w:t>
      </w:r>
    </w:p>
    <w:p>
      <w:pPr>
        <w:bidi/>
        <w:spacing w:after="160"/>
        <w:jc w:val="start"/>
      </w:pPr>
      <w:r>
        <w:rPr>
          <w:sz w:val="24"/>
          <w:szCs w:val="24"/>
          <w:rtl/>
        </w:rPr>
        <w:t xml:space="preserve">في ٢٩ ديسمبر ٢٠٢٣، رفعت جمهورية جنوب أفريقيا دعوى أمام محكمة العدل الدولية ضدّ دولة إسرائيل بموجب اتفاقية منع الإبادة الجماعية لعام ١٩٤٨ (ICJ Application, 29 December 2023). الدعوى تتألّف من ٨٤ صفحة، وتُفصّل ادّعاءات بأن إسرائيل تنتهك الاتفاقية في عملياتها في غزة. الادّعاء يستند إلى المادتين ٢ و٣ من الاتفاقية، اللتين تُحدّدان أركان الجريمة.</w:t>
      </w:r>
    </w:p>
    <w:p>
      <w:pPr>
        <w:bidi/>
        <w:spacing w:after="160"/>
        <w:jc w:val="start"/>
      </w:pPr>
      <w:r>
        <w:rPr>
          <w:sz w:val="24"/>
          <w:szCs w:val="24"/>
          <w:rtl/>
        </w:rPr>
        <w:t xml:space="preserve">**القرارات الصادرة عن المحكمة**:</w:t>
      </w:r>
    </w:p>
    <w:p>
      <w:pPr>
        <w:bidi/>
        <w:spacing w:after="160"/>
        <w:jc w:val="start"/>
      </w:pPr>
      <w:r>
        <w:rPr>
          <w:sz w:val="24"/>
          <w:szCs w:val="24"/>
          <w:rtl/>
        </w:rPr>
        <w:t xml:space="preserve">- **٢٦ يناير ٢٠٢٤**: قرار التدابير المؤقتة الأوّل. خلصت المحكمة بأغلبية ١٥ مقابل ٢ إلى أن «جنوب أفريقيا قدّمت ادّعاءات معقولة بأن أفعال إسرائيل قد تقع ضمن نطاق اتفاقية الإبادة الجماعية». أمرت المحكمة إسرائيل بست تدابير، منها: اتّخاذ كل التدابير لمنع الإبادة، الحدّ من الأذى الجسدي والنفسي، منع وعقاب التحريض المباشر والعلني على الإبادة، تيسير الخدمات الإنسانية الأساسية، الحفاظ على الأدلّة، وتقديم تقرير في غضون شهر (ICJ Order, 26 January 2024).</w:t>
      </w:r>
    </w:p>
    <w:p>
      <w:pPr>
        <w:bidi/>
        <w:spacing w:after="160"/>
        <w:jc w:val="start"/>
      </w:pPr>
      <w:r>
        <w:rPr>
          <w:sz w:val="24"/>
          <w:szCs w:val="24"/>
          <w:rtl/>
        </w:rPr>
        <w:t xml:space="preserve">- **٢٨ مارس ٢٠٢٤**: قرار التدابير الإضافية. شدّدت المحكمة على وجوب اتّخاذ «تدابير فورية وفعّالة» لتأمين تدفّق المساعدات الإنسانية بدون قيود، نظراً لتدهور الوضع في غزة (ICJ Order, 28 March 2024).</w:t>
      </w:r>
    </w:p>
    <w:p>
      <w:pPr>
        <w:bidi/>
        <w:spacing w:after="160"/>
        <w:jc w:val="start"/>
      </w:pPr>
      <w:r>
        <w:rPr>
          <w:sz w:val="24"/>
          <w:szCs w:val="24"/>
          <w:rtl/>
        </w:rPr>
        <w:t xml:space="preserve">- **٢٤ مايو ٢٠٢٤**: قرار التدابير الثالث، أمر إسرائيل صراحةً بـ«وقف العمليات العسكرية في رفح فوراً» (ICJ Order, 24 May 2024). هذا الأمر تحديداً مثّل قراراً تاريخياً، إذ كانت العمليات في رفح تتصاعد آنذاك.</w:t>
      </w:r>
    </w:p>
    <w:p>
      <w:pPr>
        <w:bidi/>
        <w:spacing w:after="160"/>
        <w:jc w:val="start"/>
      </w:pPr>
      <w:r>
        <w:rPr>
          <w:sz w:val="24"/>
          <w:szCs w:val="24"/>
          <w:rtl/>
        </w:rPr>
        <w:t xml:space="preserve">**التطبيق الفعلي**: تقارير منظّمات الرقابة الدولية، بمن فيها هيومن رايتس ووتش وأمنستي إنترناشونال، تُسجّل أن إسرائيل لم تمتثل بشكل ملموس لقرارات ICJ. توقّفت العمليات في رفح بشكل جزئي بعد القرار، لكنها استؤنفت لاحقاً. تدفّق المساعدات الإنسانية لم يتحسّن بشكل دائم، وفق إحصاءات OCHA.</w:t>
      </w:r>
    </w:p>
    <w:p>
      <w:pPr>
        <w:bidi/>
        <w:spacing w:after="160"/>
        <w:jc w:val="start"/>
      </w:pPr>
      <w:r>
        <w:rPr>
          <w:sz w:val="24"/>
          <w:szCs w:val="24"/>
          <w:rtl/>
        </w:rPr>
        <w:t xml:space="preserve">**الاستجابة الإسرائيلية**: نفت إسرائيل علناً أيّ نية إبادة، وقدّمت دفاعاتها عبر مذكّرات قانونية مفصّلة. ورفض رئيس الوزراء الإسرائيلي بنيامين نتنياهو علناً قرار المحكمة، واصفاً إيّاه بـ«قرار ظالم» (Israeli Government Statement, يناير ٢٠٢٤).</w:t>
      </w:r>
    </w:p>
    <w:p>
      <w:pPr>
        <w:bidi/>
        <w:spacing w:after="160"/>
        <w:jc w:val="start"/>
      </w:pPr>
      <w:r>
        <w:rPr>
          <w:sz w:val="24"/>
          <w:szCs w:val="24"/>
          <w:rtl/>
        </w:rPr>
        <w:t xml:space="preserve">**الجدول الزمني للقضية الكاملة**: من المتوقّع أن يستغرق الحكم النهائي في مسألة الإبادة سنوات (ربّما من خمس إلى عشر سنوات استناداً إلى السوابق). محكمة العدل الدولية تعمل ببطء يضمن دقّة الإجراءات، لكنه يُؤخّر العدالة الفورية.</w:t>
      </w:r>
    </w:p>
    <w:p>
      <w:pPr>
        <w:bidi/>
        <w:spacing w:after="160"/>
        <w:jc w:val="start"/>
      </w:pPr>
      <w:r>
        <w:rPr>
          <w:sz w:val="24"/>
          <w:szCs w:val="24"/>
          <w:rtl/>
        </w:rPr>
        <w:t xml:space="preserve">## ثانياً: المحكمة الجنائية الدولية (ICC)</w:t>
      </w:r>
    </w:p>
    <w:p>
      <w:pPr>
        <w:bidi/>
        <w:spacing w:after="160"/>
        <w:jc w:val="start"/>
      </w:pPr>
      <w:r>
        <w:rPr>
          <w:sz w:val="24"/>
          <w:szCs w:val="24"/>
          <w:rtl/>
        </w:rPr>
        <w:t xml:space="preserve">في ٢٠ مايو ٢٠٢٤، أعلن المدعي العام للمحكمة الجنائية الدولية، البريطاني كريم خان، طلبه إصدار مذكّرات اعتقال بحقّ خمسة أشخاص:</w:t>
      </w:r>
    </w:p>
    <w:p>
      <w:pPr>
        <w:bidi/>
        <w:spacing w:after="160"/>
        <w:jc w:val="start"/>
      </w:pPr>
      <w:r>
        <w:rPr>
          <w:sz w:val="24"/>
          <w:szCs w:val="24"/>
          <w:rtl/>
        </w:rPr>
        <w:t xml:space="preserve">من الجانب الإسرائيلي: رئيس الوزراء بنيامين نتنياهو، ووزير الدفاع السابق يوآف غالانت.</w:t>
      </w:r>
    </w:p>
    <w:p>
      <w:pPr>
        <w:bidi/>
        <w:spacing w:after="160"/>
        <w:jc w:val="start"/>
      </w:pPr>
      <w:r>
        <w:rPr>
          <w:sz w:val="24"/>
          <w:szCs w:val="24"/>
          <w:rtl/>
        </w:rPr>
        <w:t xml:space="preserve">من الجانب الفلسطيني (حماس): يحيى السنوار، ومحمد الضيف، وإسماعيل هنية. (هنية والسنوار قُتلا لاحقاً، وأكّد الجيش الإسرائيلي مقتل الضيف بشكل لم يُؤكّد رسمياً من قِبَل حماس).</w:t>
      </w:r>
    </w:p>
    <w:p>
      <w:pPr>
        <w:bidi/>
        <w:spacing w:after="160"/>
        <w:jc w:val="start"/>
      </w:pPr>
      <w:r>
        <w:rPr>
          <w:sz w:val="24"/>
          <w:szCs w:val="24"/>
          <w:rtl/>
        </w:rPr>
        <w:t xml:space="preserve">**التهم**:</w:t>
      </w:r>
    </w:p>
    <w:p>
      <w:pPr>
        <w:bidi/>
        <w:spacing w:after="160"/>
        <w:jc w:val="start"/>
      </w:pPr>
      <w:r>
        <w:rPr>
          <w:sz w:val="24"/>
          <w:szCs w:val="24"/>
          <w:rtl/>
        </w:rPr>
        <w:t xml:space="preserve">ضدّ نتنياهو وغالانت: التجويع كأسلوب حرب (المادة ٨ /٢/ب/٢٥ من نظام روما)، الاضطهاد بصفته جريمة ضدّ الإنسانية (المادة ٧/١/ح)، القتل العمد بصفته جريمة ضدّ الإنسانية وجريمة حرب، الإبادة بصفتها جريمة ضدّ الإنسانية (Extermination)، توجيه هجمات على المدنيين، أفعال لاإنسانية أخرى (ICC Prosecutor Statement, 20 May 2024).</w:t>
      </w:r>
    </w:p>
    <w:p>
      <w:pPr>
        <w:bidi/>
        <w:spacing w:after="160"/>
        <w:jc w:val="start"/>
      </w:pPr>
      <w:r>
        <w:rPr>
          <w:sz w:val="24"/>
          <w:szCs w:val="24"/>
          <w:rtl/>
        </w:rPr>
        <w:t xml:space="preserve">ضدّ قادة حماس: القتل العمد، أخذ الرهائن، الاغتصاب وأشكال أخرى من العنف الجنسي، التعذيب، أعمال لاإنسانية أخرى — مرتبطة بأحداث السابع من أكتوبر.</w:t>
      </w:r>
    </w:p>
    <w:p>
      <w:pPr>
        <w:bidi/>
        <w:spacing w:after="160"/>
        <w:jc w:val="start"/>
      </w:pPr>
      <w:r>
        <w:rPr>
          <w:sz w:val="24"/>
          <w:szCs w:val="24"/>
          <w:rtl/>
        </w:rPr>
        <w:t xml:space="preserve">**صدور المذكّرات الرسمية**: في ٢١ نوفمبر ٢٠٢٤، أصدرت غرفة ما قبل المحاكمة في المحكمة الجنائية الدولية مذكّرات اعتقال رسمية بحقّ نتنياهو وغالانت، بعد أن اقتنعت بأن «هناك أسباباً معقولة للاعتقاد» بأنهما يتحمّلان مسؤولية جنائية عن الجرائم المُتّهَمين بها (ICC Pre-Trial Chamber I Decision, 21 November 2024).</w:t>
      </w:r>
    </w:p>
    <w:p>
      <w:pPr>
        <w:bidi/>
        <w:spacing w:after="160"/>
        <w:jc w:val="start"/>
      </w:pPr>
      <w:r>
        <w:rPr>
          <w:sz w:val="24"/>
          <w:szCs w:val="24"/>
          <w:rtl/>
        </w:rPr>
        <w:t xml:space="preserve">**الاستجابة الدولية**: ١٢٤ دولة هي أعضاء في نظام روما، ومُلزمة قانونياً بتنفيذ مذكّرات الاعتقال. عدد من الدول الأوروبية (فرنسا، ألمانيا، إسبانيا، أيرلندا، النرويج، بلجيكا، هولندا) أعلنت التزامها بالقرار. دول أخرى (المجر، رئيسها فيكتور أوربان دعا نتنياهو علناً للزيارة) أعلنت رفضها للقرار. الولايات المتحدة، التي ليست عضواً في نظام روما، أصدرت تصريحات منتقدة، وفي يناير ٢٠٢٥ فرضت عقوبات على المدعي العام للمحكمة كريم خان (US Treasury Department, January 2025).</w:t>
      </w:r>
    </w:p>
    <w:p>
      <w:pPr>
        <w:bidi/>
        <w:spacing w:after="160"/>
        <w:jc w:val="start"/>
      </w:pPr>
      <w:r>
        <w:rPr>
          <w:sz w:val="24"/>
          <w:szCs w:val="24"/>
          <w:rtl/>
        </w:rPr>
        <w:t xml:space="preserve">**الأهمية التاريخية**: هذه أوّل مرّة تُصدر فيها المحكمة الجنائية الدولية مذكّرات اعتقال بحقّ زعماء دولة حليفة قريبة من الولايات المتحدة. السوابق السابقة شملت زعماء من السودان (البشير) وليبيا (القذافي) وكينيا. المعارضة الأمريكية لقرار المحكمة تختبر مبدأ استقلالية المحكمة وقدرتها على تطبيق العدالة بشكل متساوٍ.</w:t>
      </w:r>
    </w:p>
    <w:p>
      <w:pPr>
        <w:bidi/>
        <w:spacing w:after="160"/>
        <w:jc w:val="start"/>
      </w:pPr>
      <w:r>
        <w:rPr>
          <w:sz w:val="24"/>
          <w:szCs w:val="24"/>
          <w:rtl/>
        </w:rPr>
        <w:t xml:space="preserve">## ثالثاً: مجلس الأمن الدولي والجمعية العامة</w:t>
      </w:r>
    </w:p>
    <w:p>
      <w:pPr>
        <w:bidi/>
        <w:spacing w:after="160"/>
        <w:jc w:val="start"/>
      </w:pPr>
      <w:r>
        <w:rPr>
          <w:sz w:val="24"/>
          <w:szCs w:val="24"/>
          <w:rtl/>
        </w:rPr>
        <w:t xml:space="preserve">**استخدام حقّ النقض (الفيتو) الأمريكي**: منذ السابع من أكتوبر ٢٠٢٣، استخدمت الولايات المتحدة حقّ النقض في مجلس الأمن أربع مرّات على قرارات تتعلّق بوقف إطلاق النار في غزة:</w:t>
      </w:r>
    </w:p>
    <w:p>
      <w:pPr>
        <w:bidi/>
        <w:spacing w:after="160"/>
        <w:jc w:val="start"/>
      </w:pPr>
      <w:r>
        <w:rPr>
          <w:sz w:val="24"/>
          <w:szCs w:val="24"/>
          <w:rtl/>
        </w:rPr>
        <w:t xml:space="preserve">- **١٨ أكتوبر ٢٠٢٣**: نقض قرار صاغته البرازيل دعا إلى «هدنات إنسانية». - **٨ ديسمبر ٢٠٢٣**: نقض قرار صاغته الإمارات بدعم ٩٠ دولة دعا إلى وقف إطلاق نار إنساني فوري. - **٢٠ فبراير ٢٠٢٤**: نقض قرار صاغته الجزائر دعا إلى وقف إطلاق نار إنساني فوري. - **١٧ نوفمبر ٢٠٢٤**: نقض قرار صاغته دول مجلس الأمن العربية بدعم العشرة الأعضاء غير الدائمين (UN Security Council Voting Records, ٢٠٢٣–٢٠٢٤).</w:t>
      </w:r>
    </w:p>
    <w:p>
      <w:pPr>
        <w:bidi/>
        <w:spacing w:after="160"/>
        <w:jc w:val="start"/>
      </w:pPr>
      <w:r>
        <w:rPr>
          <w:sz w:val="24"/>
          <w:szCs w:val="24"/>
          <w:rtl/>
        </w:rPr>
        <w:t xml:space="preserve">في كل هذه المناسبات، صوّتت الدول الأخرى الدائمة العضوية (روسيا، الصين، فرنسا، المملكة المتحدة) لصالح القرار، أو امتنعت عن التصويت.</w:t>
      </w:r>
    </w:p>
    <w:p>
      <w:pPr>
        <w:bidi/>
        <w:spacing w:after="160"/>
        <w:jc w:val="start"/>
      </w:pPr>
      <w:r>
        <w:rPr>
          <w:sz w:val="24"/>
          <w:szCs w:val="24"/>
          <w:rtl/>
        </w:rPr>
        <w:t xml:space="preserve">**قرارات الجمعية العامة**: على عكس قرارات مجلس الأمن، قرارات الجمعية العامة ليست ملزمة قانونياً، لكنها تعكس الرأي العالمي. أصدرت الجمعية في ١٢ ديسمبر ٢٠٢٣ قراراً يدعو إلى «وقف فوري للأعمال العدائية الإنسانية» بأغلبية ١٥٣ مقابل ١٠ مع امتناع ٢٣ دولة. وفي ١٢ سبتمبر ٢٠٢٤، أصدرت قراراً يطلب من إسرائيل إنهاء وجودها في الأراضي الفلسطينية المحتلّة في غضون عام، بأغلبية ١٢٤ مقابل ١٤ مع امتناع ٤٣ (UN General Assembly Records).</w:t>
      </w:r>
    </w:p>
    <w:p>
      <w:pPr>
        <w:bidi/>
        <w:spacing w:after="160"/>
        <w:jc w:val="start"/>
      </w:pPr>
      <w:r>
        <w:rPr>
          <w:sz w:val="24"/>
          <w:szCs w:val="24"/>
          <w:rtl/>
        </w:rPr>
        <w:t xml:space="preserve">## رابعاً: الإجراءات الوطنية والإقليمية</w:t>
      </w:r>
    </w:p>
    <w:p>
      <w:pPr>
        <w:bidi/>
        <w:spacing w:after="160"/>
        <w:jc w:val="start"/>
      </w:pPr>
      <w:r>
        <w:rPr>
          <w:sz w:val="24"/>
          <w:szCs w:val="24"/>
          <w:rtl/>
        </w:rPr>
        <w:t xml:space="preserve">**الاعتراف الدبلوماسي بفلسطين**: في ٢٢ مايو ٢٠٢٤، أعلنت ثلاث دول أوروبية (إسبانيا، أيرلندا، النرويج) اعترافها الرسمي بدولة فلسطين، انضمّت إليها لاحقاً سلوفينيا وأرمينيا. هذه الموجة الجديدة من الاعتراف رفعت عدد الدول الأعضاء في الأمم المتحدة المعترفة بفلسطين إلى ١٤٦ دولة من أصل ١٩٣ (UN Membership Status, ٢٠٢٥).</w:t>
      </w:r>
    </w:p>
    <w:p>
      <w:pPr>
        <w:bidi/>
        <w:spacing w:after="160"/>
        <w:jc w:val="start"/>
      </w:pPr>
      <w:r>
        <w:rPr>
          <w:sz w:val="24"/>
          <w:szCs w:val="24"/>
          <w:rtl/>
        </w:rPr>
        <w:t xml:space="preserve">**حظر الأسلحة**: تعدّدت الدول التي علّقت أو راجعت تصدير أسلحتها إلى إسرائيل: إسبانيا، أيرلندا، بلجيكا، إيطاليا (جزئياً)، كندا (مراجعة)، اليابان (مراجعة)، هولندا (قرار قضائي بوقف تسليم قطع غيار طائرات F-35). أصدرت محكمة هولندية قراراً تاريخياً في ١٢ فبراير ٢٠٢٤ يأمر بوقف تسليم قطع غيار طائرات F-35 لإسرائيل بناءً على «خطر استخدامها في انتهاكات للقانون الإنساني الدولي» (Dutch Court of Appeal, The Hague, February 2024). كذلك أصدر البرلمان الأوروبي قرارَين متتاليَين يدعوان إلى «حظر شامل لتصدير الأسلحة لإسرائيل» (European Parliament Resolutions, ٢٠٢٤).</w:t>
      </w:r>
    </w:p>
    <w:p>
      <w:pPr>
        <w:bidi/>
        <w:spacing w:after="160"/>
        <w:jc w:val="start"/>
      </w:pPr>
      <w:r>
        <w:rPr>
          <w:sz w:val="24"/>
          <w:szCs w:val="24"/>
          <w:rtl/>
        </w:rPr>
        <w:t xml:space="preserve">**قانون ليهي الأمريكي**: قانون ليهي (Leahy Law) الأمريكي يحظر تقديم المساعدة العسكرية لوحدات أجنبية تتورّط في انتهاكات حقوق الإنسان. منذ بدء النزاع، قدّم أكثر من ٤٠ عضواً في الكونغرس مذكّرات تطالب بمراجعة الالتزام بالقانون فيما يخصّ وحدات إسرائيلية محدّدة. في أبريل ٢٠٢٤، أعلنت وزارة الخارجية الأمريكية رسمياً تحديد ٥ وحدات إسرائيلية بأنها ارتكبت «انتهاكات جسيمة لحقوق الإنسان»، لكنها لم تُطبّق عقوبات قانون ليهي بشكل كامل، وقدّمت لها استثناءات بحجّة «العلاج البديل» (US State Department Statement, April 2024).</w:t>
      </w:r>
    </w:p>
    <w:p>
      <w:pPr>
        <w:bidi/>
        <w:spacing w:after="160"/>
        <w:jc w:val="start"/>
      </w:pPr>
      <w:r>
        <w:rPr>
          <w:sz w:val="24"/>
          <w:szCs w:val="24"/>
          <w:rtl/>
        </w:rPr>
        <w:t xml:space="preserve">## الفجوة بين التوثيق والمحاسبة</w:t>
      </w:r>
    </w:p>
    <w:p>
      <w:pPr>
        <w:bidi/>
        <w:spacing w:after="160"/>
        <w:jc w:val="start"/>
      </w:pPr>
      <w:r>
        <w:rPr>
          <w:sz w:val="24"/>
          <w:szCs w:val="24"/>
          <w:rtl/>
        </w:rPr>
        <w:t xml:space="preserve">إذا أردنا تلخيص هذا الفصل في جملة واحدة، لكانت: **التوثيق متاح، لكنّ المحاسبة لم تكتمل بعد**. الأدلّة موجودة، والقرارات القضائية صادرة، والمذكّرات الدولية معلنة. لكنّ الفجوة بين «الإطار القانوني» و«التطبيق الفعلي» لا تزال واسعة. الأسباب متعدّدة:</w:t>
      </w:r>
    </w:p>
    <w:p>
      <w:pPr>
        <w:bidi/>
        <w:spacing w:after="160"/>
        <w:jc w:val="start"/>
      </w:pPr>
      <w:r>
        <w:rPr>
          <w:sz w:val="24"/>
          <w:szCs w:val="24"/>
          <w:rtl/>
        </w:rPr>
        <w:t xml:space="preserve">١. **الجيوسياسية**: الموقف الأمريكي بصفته الدولة الأقوى عسكرياً واقتصادياً، الذي يحمي حليفه الإسرائيلي عبر الفيتو وعبر العقوبات على المحكمة الجنائية الدولية.</w:t>
      </w:r>
    </w:p>
    <w:p>
      <w:pPr>
        <w:bidi/>
        <w:spacing w:after="160"/>
        <w:jc w:val="start"/>
      </w:pPr>
      <w:r>
        <w:rPr>
          <w:sz w:val="24"/>
          <w:szCs w:val="24"/>
          <w:rtl/>
        </w:rPr>
        <w:t xml:space="preserve">٢. **المؤسّسية**: محكمة العدل الدولية لا تملك آلية تنفيذ مستقلّة (التنفيذ يقع على عاتق مجلس الأمن، الذي يستخدم فيه الفيتو). المحكمة الجنائية الدولية تعتمد على الدول الأعضاء في تنفيذ مذكّرات الاعتقال.</w:t>
      </w:r>
    </w:p>
    <w:p>
      <w:pPr>
        <w:bidi/>
        <w:spacing w:after="160"/>
        <w:jc w:val="start"/>
      </w:pPr>
      <w:r>
        <w:rPr>
          <w:sz w:val="24"/>
          <w:szCs w:val="24"/>
          <w:rtl/>
        </w:rPr>
        <w:t xml:space="preserve">٣. **الزمنية**: العدالة الدولية بطيئة طبيعياً. حكم ICJ النهائي في قضية الإبادة قد يستغرق سنوات. مذكّرات ICC تنتظر اعتقال المتّهمين، وهو أمر يصعب تحقيقه ما لم يُسافر المُتَّهَم إلى دولة عضو.</w:t>
      </w:r>
    </w:p>
    <w:p>
      <w:pPr>
        <w:bidi/>
        <w:spacing w:after="160"/>
        <w:jc w:val="start"/>
      </w:pPr>
      <w:r>
        <w:rPr>
          <w:sz w:val="24"/>
          <w:szCs w:val="24"/>
          <w:rtl/>
        </w:rPr>
        <w:t xml:space="preserve">## ما الذي تحقّق فعلياً؟</w:t>
      </w:r>
    </w:p>
    <w:p>
      <w:pPr>
        <w:bidi/>
        <w:spacing w:after="160"/>
        <w:jc w:val="start"/>
      </w:pPr>
      <w:r>
        <w:rPr>
          <w:sz w:val="24"/>
          <w:szCs w:val="24"/>
          <w:rtl/>
        </w:rPr>
        <w:t xml:space="preserve">في رصد هادئ ومنهجي، يمكن القول إن التحوّلات التالية وقعت فعلياً:</w:t>
      </w:r>
    </w:p>
    <w:p>
      <w:pPr>
        <w:bidi/>
        <w:spacing w:after="160"/>
        <w:jc w:val="start"/>
      </w:pPr>
      <w:r>
        <w:rPr>
          <w:sz w:val="24"/>
          <w:szCs w:val="24"/>
          <w:rtl/>
        </w:rPr>
        <w:t xml:space="preserve">- صدور مذكّرات اعتقال دولية بحقّ مسؤولين تنفيذيين كبار من دولة حليفة للقوى الكبرى (سابقة تاريخية). - اعتراف ٥ دول جديدة بفلسطين، رفع المجموع إلى ١٤٦. - قرار قضائي هولندي (ملزم) بوقف تسليم قطع غيار F-35. - قرار أوّلي من ICJ يقبل فحص ادّعاءات الإبادة. - تعليق عدد من الدول الأوروبية لتصدير أسلحتها. - توثيق أمريكي رسمي لانتهاكات وحدات إسرائيلية محدّدة.</w:t>
      </w:r>
    </w:p>
    <w:p>
      <w:pPr>
        <w:bidi/>
        <w:spacing w:after="160"/>
        <w:jc w:val="start"/>
      </w:pPr>
      <w:r>
        <w:rPr>
          <w:sz w:val="24"/>
          <w:szCs w:val="24"/>
          <w:rtl/>
        </w:rPr>
        <w:t xml:space="preserve">ما لم يتحقّق:</w:t>
      </w:r>
    </w:p>
    <w:p>
      <w:pPr>
        <w:bidi/>
        <w:spacing w:after="160"/>
        <w:jc w:val="start"/>
      </w:pPr>
      <w:r>
        <w:rPr>
          <w:sz w:val="24"/>
          <w:szCs w:val="24"/>
          <w:rtl/>
        </w:rPr>
        <w:t xml:space="preserve">- وقف فوري لإطلاق النار عبر مجلس الأمن الدولي. - اعتقال المتّهمين في المحكمة الجنائية الدولية. - حكم نهائي بالإبادة أو نفيها من ICJ. - تطبيق عقوبات قانون ليهي الأمريكية بالكامل. - محاسبة وحدات بعينها على حالات بعينها.</w:t>
      </w:r>
    </w:p>
    <w:p>
      <w:pPr>
        <w:bidi/>
        <w:spacing w:after="160"/>
        <w:jc w:val="start"/>
      </w:pPr>
      <w:r>
        <w:rPr>
          <w:sz w:val="24"/>
          <w:szCs w:val="24"/>
          <w:rtl/>
        </w:rPr>
        <w:t xml:space="preserve">هذه الفجوة بين التحقّق والعدم هي السؤال الذي ستطرحه الأجيال القادمة. كنوريمبرغ التي لم تأتِ في يومها، قد تأتي محاسبة غزة في عقدها. وعلى من يبقى أن يحفظ التوثيق حيّاً حتى تأتي اللحظة. والله المستعان على ما يصفون.</w:t>
      </w:r>
    </w:p>
    <w:p>
      <w:r>
        <w:br w:type="page"/>
      </w:r>
    </w:p>
    <w:p>
      <w:pPr>
        <w:bidi/>
        <w:spacing w:after="360" w:before="600"/>
        <w:jc w:val="center"/>
      </w:pPr>
      <w:r>
        <w:rPr>
          <w:b/>
          <w:bCs/>
          <w:color w:val="1B3A5C"/>
          <w:sz w:val="36"/>
          <w:szCs w:val="36"/>
          <w:rtl/>
        </w:rPr>
        <w:t xml:space="preserve">الفصل الحادي عشر: الخاتمة — الذاكرة والمسؤولية</w:t>
      </w:r>
    </w:p>
    <w:p>
      <w:pPr>
        <w:bidi/>
        <w:spacing w:after="160"/>
        <w:jc w:val="start"/>
      </w:pPr>
      <w:r>
        <w:rPr>
          <w:sz w:val="24"/>
          <w:szCs w:val="24"/>
          <w:rtl/>
        </w:rPr>
        <w:t xml:space="preserve">&gt; ﴿وَلَا تَحْسَبَنَّ الَّذِينَ قُتِلُوا فِي سَبِيلِ اللَّهِ أَمْوَاتًا بَلْ أَحْيَاءٌ عِندَ رَبِّهِمْ يُرْزَقُونَ﴾ — آل عمران: ١٦٩</w:t>
      </w:r>
    </w:p>
    <w:p>
      <w:pPr>
        <w:bidi/>
        <w:spacing w:after="160"/>
        <w:jc w:val="start"/>
      </w:pPr>
      <w:r>
        <w:rPr>
          <w:sz w:val="24"/>
          <w:szCs w:val="24"/>
          <w:rtl/>
        </w:rPr>
        <w:t xml:space="preserve">## بعد كل ما وثّقناه</w:t>
      </w:r>
    </w:p>
    <w:p>
      <w:pPr>
        <w:bidi/>
        <w:spacing w:after="160"/>
        <w:jc w:val="start"/>
      </w:pPr>
      <w:r>
        <w:rPr>
          <w:sz w:val="24"/>
          <w:szCs w:val="24"/>
          <w:rtl/>
        </w:rPr>
        <w:t xml:space="preserve">بعد عشرة فصول من الأرقام والأسماء والتحقيقات والمعايير القانونية، يبقى السؤال البسيط الذي طرحه القارئ منذ الصفحة الأولى: ماذا بعد؟ ما العمل بكلّ هذا التوثيق؟ ما المسؤولية التي تترتّب علينا — كقرّاء، كباحثين، كشهود من بعيد — تجاه ما حدث، وما يحدث، وما قد يحدث؟</w:t>
      </w:r>
    </w:p>
    <w:p>
      <w:pPr>
        <w:bidi/>
        <w:spacing w:after="160"/>
        <w:jc w:val="start"/>
      </w:pPr>
      <w:r>
        <w:rPr>
          <w:sz w:val="24"/>
          <w:szCs w:val="24"/>
          <w:rtl/>
        </w:rPr>
        <w:t xml:space="preserve">هذا الفصل لا يقدّم إجابات يقينية. الإجابات اليقينية يقدّمها المُؤدلجون. ما يقدّمه هذا الفصل هو دعوة للتفكير، ومحاولة لرسم خريطة طريق بحثية وأخلاقية لمن يأتي بعدنا.</w:t>
      </w:r>
    </w:p>
    <w:p>
      <w:pPr>
        <w:bidi/>
        <w:spacing w:after="160"/>
        <w:jc w:val="start"/>
      </w:pPr>
      <w:r>
        <w:rPr>
          <w:sz w:val="24"/>
          <w:szCs w:val="24"/>
          <w:rtl/>
        </w:rPr>
        <w:t xml:space="preserve">## الأسماء التي يجب أن لا تُنسى</w:t>
      </w:r>
    </w:p>
    <w:p>
      <w:pPr>
        <w:bidi/>
        <w:spacing w:after="160"/>
        <w:jc w:val="start"/>
      </w:pPr>
      <w:r>
        <w:rPr>
          <w:sz w:val="24"/>
          <w:szCs w:val="24"/>
          <w:rtl/>
        </w:rPr>
        <w:t xml:space="preserve">في مجلّدات تاريخ النزاعات الكبرى، تُختزل المآسي عادةً في رموز قليلة. الحرب العالمية الأولى تُختزل في صورة الجندي في الخندق. الحرب الفيتنامية تُختزل في صورة الفتاة فان ثي كيم فوك بعد قصف النابالم. حصار سراييفو تُختزل في صورة المُدنية تُسرع لتجنّب القنّاص. هذا الاختزال طبيعة بشرية، لكنه أيضاً ظلم. لأن خلف كل صورة آلاف الوجوه التي لم تُصوَّر، وآلاف القصص التي لم تُكتب.</w:t>
      </w:r>
    </w:p>
    <w:p>
      <w:pPr>
        <w:bidi/>
        <w:spacing w:after="160"/>
        <w:jc w:val="start"/>
      </w:pPr>
      <w:r>
        <w:rPr>
          <w:sz w:val="24"/>
          <w:szCs w:val="24"/>
          <w:rtl/>
        </w:rPr>
        <w:t xml:space="preserve">إذا كان من الواجب على كاتب هذا الكتاب أن يختار، من بين مئات الأسماء التي وثّقتها CPJ وRSF، أسماء يستذكرها القارئ بعد إغلاق هذه الصفحات، فإنّها ليست بالضرورة الأشهر، بل تلك التي تُمثّل أنماطاً تستحقّ الذكرى:</w:t>
      </w:r>
    </w:p>
    <w:p>
      <w:pPr>
        <w:bidi/>
        <w:spacing w:after="160"/>
        <w:jc w:val="start"/>
      </w:pPr>
      <w:r>
        <w:rPr>
          <w:sz w:val="24"/>
          <w:szCs w:val="24"/>
          <w:rtl/>
        </w:rPr>
        <w:t xml:space="preserve">**عصام عبد الله** (رويترز، ١٣ أكتوبر ٢٠٢٣، جنوب لبنان): الذي أصبح اسمه السابقة القانونية الأولى للنزاع، والذي بفضل تحقيقه أُسّست منهجية التحقّق التي طُبّقت على الحالات اللاحقة.</w:t>
      </w:r>
    </w:p>
    <w:p>
      <w:pPr>
        <w:bidi/>
        <w:spacing w:after="160"/>
        <w:jc w:val="start"/>
      </w:pPr>
      <w:r>
        <w:rPr>
          <w:sz w:val="24"/>
          <w:szCs w:val="24"/>
          <w:rtl/>
        </w:rPr>
        <w:t xml:space="preserve">**حمزة الدحدوح** (الجزيرة، ٧ يناير ٢٠٢٤، رفح): الشاب في الخامسة والعشرين، ابن وائل الدحدوح، الذي قُتل بعد فقد أمّه وأخوته في قصف سابق، ليُمثّل نمط استهداف الأسر الإعلامية.</w:t>
      </w:r>
    </w:p>
    <w:p>
      <w:pPr>
        <w:bidi/>
        <w:spacing w:after="160"/>
        <w:jc w:val="start"/>
      </w:pPr>
      <w:r>
        <w:rPr>
          <w:sz w:val="24"/>
          <w:szCs w:val="24"/>
          <w:rtl/>
        </w:rPr>
        <w:t xml:space="preserve">**إسماعيل الغول ورامي الريفي** (الجزيرة، ٣١ يوليو ٢٠٢٤، حي الشاطئ): الذين قُتلا أثناء عملهما الميداني في سيارة موسومة بشعار «PRESS»، ليُمثّلا نمط استهداف الصحفيين أثناء التغطية.</w:t>
      </w:r>
    </w:p>
    <w:p>
      <w:pPr>
        <w:bidi/>
        <w:spacing w:after="160"/>
        <w:jc w:val="start"/>
      </w:pPr>
      <w:r>
        <w:rPr>
          <w:sz w:val="24"/>
          <w:szCs w:val="24"/>
          <w:rtl/>
        </w:rPr>
        <w:t xml:space="preserve">**محمد أبو حطب** (تلفزيون فلسطين، ٢ نوفمبر ٢٠٢٣، خان يونس): الذي قُتل مع عشرة من أفراد عائلته في غارة على منزله بعد ساعات من إنهائه آخر تقرير، ليُمثّل نمط استهداف عائلات الصحفيين الموسّعة.</w:t>
      </w:r>
    </w:p>
    <w:p>
      <w:pPr>
        <w:bidi/>
        <w:spacing w:after="160"/>
        <w:jc w:val="start"/>
      </w:pPr>
      <w:r>
        <w:rPr>
          <w:sz w:val="24"/>
          <w:szCs w:val="24"/>
          <w:rtl/>
        </w:rPr>
        <w:t xml:space="preserve">**رفعت العرعير** (أكاديمي، ديسمبر ٢٠٢٣، غزة): الذي قُتل في غارة على شقّته، ليُمثّل نمط استهداف الأكاديميين الفلسطينيين الذين تواصلوا مع الجمهور العالمي.</w:t>
      </w:r>
    </w:p>
    <w:p>
      <w:pPr>
        <w:bidi/>
        <w:spacing w:after="160"/>
        <w:jc w:val="start"/>
      </w:pPr>
      <w:r>
        <w:rPr>
          <w:sz w:val="24"/>
          <w:szCs w:val="24"/>
          <w:rtl/>
        </w:rPr>
        <w:t xml:space="preserve">**سُفيان تايه** (رئيس الجامعة الإسلامية، ديسمبر ٢٠٢٣): العالم في الفيزياء، صاحب ميدالية اليونسكو، الذي قُتل مع عائلته، ليُمثّل تكلفة فقدان «النخبة الحاملة».</w:t>
      </w:r>
    </w:p>
    <w:p>
      <w:pPr>
        <w:bidi/>
        <w:spacing w:after="160"/>
        <w:jc w:val="start"/>
      </w:pPr>
      <w:r>
        <w:rPr>
          <w:sz w:val="24"/>
          <w:szCs w:val="24"/>
          <w:rtl/>
        </w:rPr>
        <w:t xml:space="preserve">**هند رجب** (طفلة في السادسة، فبراير ٢٠٢٤، غزة): التي لم تكن صحفية ولا عاملة إغاثة، لكن قصّتها — التي وثّقتها Forensic Architecture بدقّة عسكرية — تُمثّل المأساة المدنية الأشمل التي يقع كلّ ما تناولناه ضمنها.</w:t>
      </w:r>
    </w:p>
    <w:p>
      <w:pPr>
        <w:bidi/>
        <w:spacing w:after="160"/>
        <w:jc w:val="start"/>
      </w:pPr>
      <w:r>
        <w:rPr>
          <w:sz w:val="24"/>
          <w:szCs w:val="24"/>
          <w:rtl/>
        </w:rPr>
        <w:t xml:space="preserve">**العاملون السبعة في WCK** (١ أبريل ٢٠٢٤، دير البلح): داميان سوبول، جاكوب فلكنر، زومي فرانكوم، جيمس هندرسون، جون شابمان، سيف العبد الله، محمد أبو طاحة. الذين قُتلوا رغم التنسيق المسبق المؤكّد، ليُمثّلوا انهيار آلية «الممرّ الآمن» الإنسانية.</w:t>
      </w:r>
    </w:p>
    <w:p>
      <w:pPr>
        <w:bidi/>
        <w:spacing w:after="160"/>
        <w:jc w:val="start"/>
      </w:pPr>
      <w:r>
        <w:rPr>
          <w:sz w:val="24"/>
          <w:szCs w:val="24"/>
          <w:rtl/>
        </w:rPr>
        <w:t xml:space="preserve">كلّ اسم من هذه الأسماء له ملفّ موثّق علناً في مواقع لجنة حماية الصحفيين، ومنظمة مراسلون بلا حدود، ومنظمات حقوق الإنسان الدولية. وكلّ ملفّ منها يفتح باباً على عالم كامل من العائلات والمؤسّسات التي خسرتهم. حين تذكر اسماً، فإنك تستحضر معه شبكةً كاملة من الفقد.</w:t>
      </w:r>
    </w:p>
    <w:p>
      <w:pPr>
        <w:bidi/>
        <w:spacing w:after="160"/>
        <w:jc w:val="start"/>
      </w:pPr>
      <w:r>
        <w:rPr>
          <w:sz w:val="24"/>
          <w:szCs w:val="24"/>
          <w:rtl/>
        </w:rPr>
        <w:t xml:space="preserve">## تأمّل الباحث</w:t>
      </w:r>
    </w:p>
    <w:p>
      <w:pPr>
        <w:bidi/>
        <w:spacing w:after="160"/>
        <w:jc w:val="start"/>
      </w:pPr>
      <w:r>
        <w:rPr>
          <w:sz w:val="24"/>
          <w:szCs w:val="24"/>
          <w:rtl/>
        </w:rPr>
        <w:t xml:space="preserve">أكتب هذه السطور بصفتي باحثاً، لا ناشطاً ولا شاعراً. التأمّل الذي أرغب في تقديمه ليس عاطفياً، بل منهجياً.</w:t>
      </w:r>
    </w:p>
    <w:p>
      <w:pPr>
        <w:bidi/>
        <w:spacing w:after="160"/>
        <w:jc w:val="start"/>
      </w:pPr>
      <w:r>
        <w:rPr>
          <w:sz w:val="24"/>
          <w:szCs w:val="24"/>
          <w:rtl/>
        </w:rPr>
        <w:t xml:space="preserve">أوّل ما يضربه التوثيق الرصين هو فكرة الحياد المُريح. حين تجمع الأرقام من مصادر يَمتدح حذرها كلّ معسكر سياسي، وحين تتقاطع الأدلّة من منظمات لا تشترك إلا في احترام المنهج، تصبح فكرة «روايتان متكافئتان» مستحيلة الدفاع عنها. هذا لا يعني أن «رواية واحدة» تحتكر الحقيقة. بل يعني أن الإصرار على «التكافؤ» في مواجهة التفاوت الموثّق هو في حدّ ذاته موقف غير حيادي.</w:t>
      </w:r>
    </w:p>
    <w:p>
      <w:pPr>
        <w:bidi/>
        <w:spacing w:after="160"/>
        <w:jc w:val="start"/>
      </w:pPr>
      <w:r>
        <w:rPr>
          <w:sz w:val="24"/>
          <w:szCs w:val="24"/>
          <w:rtl/>
        </w:rPr>
        <w:t xml:space="preserve">ثاني ما يضربه التوثيق هو فكرة «التعقيد المُريح». في النقاشات السياسية، يُلجأ كثيراً إلى عبارة «الوضع معقّد» للتنصّل من إصدار الأحكام. الوضع في غزة معقّد بالفعل — تاريخياً، سياسياً، عسكرياً. لكن قتل الأطفال، وقصف المستشفيات، واستهداف الصحفيين، ليست أموراً «معقّدة». إنها أمور بسيطة جداً في القانون الدولي. التعقيد يكمن في «لماذا حدث ذلك» و«كيف نُحاسب»، لا في «هل حدث؟».</w:t>
      </w:r>
    </w:p>
    <w:p>
      <w:pPr>
        <w:bidi/>
        <w:spacing w:after="160"/>
        <w:jc w:val="start"/>
      </w:pPr>
      <w:r>
        <w:rPr>
          <w:sz w:val="24"/>
          <w:szCs w:val="24"/>
          <w:rtl/>
        </w:rPr>
        <w:t xml:space="preserve">ثالث ما يضربه التوثيق هو فكرة «العجز». من السهل أن يقول الفرد: «ما الذي أستطيع فعله؟». لكن التوثيق ذاته فعل. القراءة فعل. الاستذكار فعل. تعليم الجيل القادم على ما حدث فعل. ترجمة الوثائق إلى لغته الأمّ فعل. إن مدرّس التاريخ في المدرسة الأمريكية الذي يُدرّس قضية شيرين أبو عاقلة لطلابه يقوم بفعل لا يقلّ أهمية عن المحامي الذي يُعدّ ملفّاً للمحكمة الجنائية الدولية. كلاهما يحفظ الذاكرة من الموت الثاني.</w:t>
      </w:r>
    </w:p>
    <w:p>
      <w:pPr>
        <w:bidi/>
        <w:spacing w:after="160"/>
        <w:jc w:val="start"/>
      </w:pPr>
      <w:r>
        <w:rPr>
          <w:sz w:val="24"/>
          <w:szCs w:val="24"/>
          <w:rtl/>
        </w:rPr>
        <w:t xml:space="preserve">## ما يدين به العالم لمن قُتلوا شاهدين</w:t>
      </w:r>
    </w:p>
    <w:p>
      <w:pPr>
        <w:bidi/>
        <w:spacing w:after="160"/>
        <w:jc w:val="start"/>
      </w:pPr>
      <w:r>
        <w:rPr>
          <w:sz w:val="24"/>
          <w:szCs w:val="24"/>
          <w:rtl/>
        </w:rPr>
        <w:t xml:space="preserve">في تقاليد العديد من الحضارات، الشهيد يكون له «حقّ» على الأحياء. الحقّ ليس عاطفياً، بل قانوني. في الفقه الإسلامي، الحقّ في القصاص لا يسقط بالتقادم. في الفقه القانوني الدولي، الحقّ في المحاسبة على جرائم الحرب والجرائم ضدّ الإنسانية لا يسقط بالتقادم — هذا منصوص عليه في اتفاقية الأمم المتحدة لعدم تقادم جرائم الحرب لعام ١٩٦٨.</w:t>
      </w:r>
    </w:p>
    <w:p>
      <w:pPr>
        <w:bidi/>
        <w:spacing w:after="160"/>
        <w:jc w:val="start"/>
      </w:pPr>
      <w:r>
        <w:rPr>
          <w:sz w:val="24"/>
          <w:szCs w:val="24"/>
          <w:rtl/>
        </w:rPr>
        <w:t xml:space="preserve">ما يدين به العالم لمن قُتلوا شاهدين في غزة يمكن تلخيصه في خمسة التزامات قانونية وأخلاقية:</w:t>
      </w:r>
    </w:p>
    <w:p>
      <w:pPr>
        <w:bidi/>
        <w:spacing w:after="160"/>
        <w:jc w:val="start"/>
      </w:pPr>
      <w:r>
        <w:rPr>
          <w:sz w:val="24"/>
          <w:szCs w:val="24"/>
          <w:rtl/>
        </w:rPr>
        <w:t xml:space="preserve">**أوّلاً، حفظ الأدلّة**: كل صحفي قُتل ترك خلفه أرشيفاً من الصور والفيديوهات والتقارير. كل عامل إغاثة ترك تقارير ميدانية. هذه الأرشيفات هي ذاكرة الحدث. حمايتها من التلف والضياع والإخفاء واجب قانوني وأخلاقي على المؤسسات الإعلامية والأكاديمية.</w:t>
      </w:r>
    </w:p>
    <w:p>
      <w:pPr>
        <w:bidi/>
        <w:spacing w:after="160"/>
        <w:jc w:val="start"/>
      </w:pPr>
      <w:r>
        <w:rPr>
          <w:sz w:val="24"/>
          <w:szCs w:val="24"/>
          <w:rtl/>
        </w:rPr>
        <w:t xml:space="preserve">**ثانياً، استكمال التحقيق**: التحقيقات الجارية لدى ICJ وICC وUN COI تحتاج إلى وقت وموارد. على من يهمّه الأمر دعم هذه المؤسسات سياسياً وماليّاً، لا التساهل مع محاولات إعاقتها.</w:t>
      </w:r>
    </w:p>
    <w:p>
      <w:pPr>
        <w:bidi/>
        <w:spacing w:after="160"/>
        <w:jc w:val="start"/>
      </w:pPr>
      <w:r>
        <w:rPr>
          <w:sz w:val="24"/>
          <w:szCs w:val="24"/>
          <w:rtl/>
        </w:rPr>
        <w:t xml:space="preserve">**ثالثاً، نشر التوثيق**: ترجمة التقارير إلى لغات متعدّدة، وتدريسها في جامعات القانون والصحافة، وضمان وصولها إلى الجمهور غير المتخصّص. ما يُنشر بلغة واحدة فقط محدود الأثر.</w:t>
      </w:r>
    </w:p>
    <w:p>
      <w:pPr>
        <w:bidi/>
        <w:spacing w:after="160"/>
        <w:jc w:val="start"/>
      </w:pPr>
      <w:r>
        <w:rPr>
          <w:sz w:val="24"/>
          <w:szCs w:val="24"/>
          <w:rtl/>
        </w:rPr>
        <w:t xml:space="preserve">**رابعاً، تكريم الأسماء**: بناء قاعدة بيانات مفتوحة، شفّافة، قابلة للتحقّق، تجمع أسماء كل الصحفيين والعاملين الإنسانيين والمدنيين البارزين الذين قُتلوا، مع سيرتهم وقصص استشهادهم. هذا مشروع موسوعي يستحقّ التمويل والتعاون الدولي.</w:t>
      </w:r>
    </w:p>
    <w:p>
      <w:pPr>
        <w:bidi/>
        <w:spacing w:after="160"/>
        <w:jc w:val="start"/>
      </w:pPr>
      <w:r>
        <w:rPr>
          <w:sz w:val="24"/>
          <w:szCs w:val="24"/>
          <w:rtl/>
        </w:rPr>
        <w:t xml:space="preserve">**خامساً، الإصلاح المنهجي**: تطوير القانون الدولي ليتعامل مع حالات «منع الشهادة» بصورة منهجية. القانون يتطوّر عبر السوابق والاجتهادات. غزة، بمأساتها، تُتيح فرصة لتطوير قانوني يُحمي الصحافة في النزاعات القادمة.</w:t>
      </w:r>
    </w:p>
    <w:p>
      <w:pPr>
        <w:bidi/>
        <w:spacing w:after="160"/>
        <w:jc w:val="start"/>
      </w:pPr>
      <w:r>
        <w:rPr>
          <w:sz w:val="24"/>
          <w:szCs w:val="24"/>
          <w:rtl/>
        </w:rPr>
        <w:t xml:space="preserve">## الأقواس الطويلة للعدالة</w:t>
      </w:r>
    </w:p>
    <w:p>
      <w:pPr>
        <w:bidi/>
        <w:spacing w:after="160"/>
        <w:jc w:val="start"/>
      </w:pPr>
      <w:r>
        <w:rPr>
          <w:sz w:val="24"/>
          <w:szCs w:val="24"/>
          <w:rtl/>
        </w:rPr>
        <w:t xml:space="preserve">تكلّف العدالة الدولية وقتاً. القاضي روبرت جاكسون، المدعي العام الأمريكي في محاكمات نوريمبرغ، قال في كلمته الافتتاحية في نوفمبر ١٩٤٥: «إن أربع دول كبرى منتصرة، التي كانت قبل أيّام تُمسك بأسلحة في وجوه عدوّها، تتوقّف الآن عن الانتقام، وتُسلّم عدوّها إلى الميزان الذي يحكم به القانون». لكنّ نوريمبرغ ذاتها لم تأتِ بسرعة كافية لمنع الكارثة. لقد جاءت بعد فوات الأوان لمئات الآلاف. ما فعلته أنها أقامت السابقة القانونية، وأنشأت مفهوم «جرائم ضدّ الإنسانية»، وأرست أن «الأمر العسكري» ليس دفاعاً مقبولاً.</w:t>
      </w:r>
    </w:p>
    <w:p>
      <w:pPr>
        <w:bidi/>
        <w:spacing w:after="160"/>
        <w:jc w:val="start"/>
      </w:pPr>
      <w:r>
        <w:rPr>
          <w:sz w:val="24"/>
          <w:szCs w:val="24"/>
          <w:rtl/>
        </w:rPr>
        <w:t xml:space="preserve">في غزة، لم يأتِ نوريمبرغ بعد. قد لا يأتي خلال جيلنا. لكنّ الأقواس الطويلة للعدالة الدولية تتشكّل ببطء، حجراً وراء حجر، تحقيقاً وراء تحقيق، شهادة وراء شهادة. وكل من يُسهم في وضع حجر في هذا البناء — حتى لو كان حجراً صغيراً — هو شريك في إقامة العدالة، حتى لو لم يَبْلُغها بنفسه.</w:t>
      </w:r>
    </w:p>
    <w:p>
      <w:pPr>
        <w:bidi/>
        <w:spacing w:after="160"/>
        <w:jc w:val="start"/>
      </w:pPr>
      <w:r>
        <w:rPr>
          <w:sz w:val="24"/>
          <w:szCs w:val="24"/>
          <w:rtl/>
        </w:rPr>
        <w:t xml:space="preserve">## ما يستطيع الباحث العربي أن يقدّمه</w:t>
      </w:r>
    </w:p>
    <w:p>
      <w:pPr>
        <w:bidi/>
        <w:spacing w:after="160"/>
        <w:jc w:val="start"/>
      </w:pPr>
      <w:r>
        <w:rPr>
          <w:sz w:val="24"/>
          <w:szCs w:val="24"/>
          <w:rtl/>
        </w:rPr>
        <w:t xml:space="preserve">أتوجّه في الصفحات الأخيرة إلى زملائي من الباحثين والأكاديميين العرب. نحن في موقع فريد. نمتلك اللغة التي يكتبها الشهود، ونمتلك المعرفة بالسياق الذي يصعب على الأجنبي إدراكه، ونمتلك مسؤولية أخلاقية مضاعفة بحكم القرب الثقافي والديني. لكنّ هذا الموقع الفريد لا يُحقّقه إلا منهج صارم.</w:t>
      </w:r>
    </w:p>
    <w:p>
      <w:pPr>
        <w:bidi/>
        <w:spacing w:after="160"/>
        <w:jc w:val="start"/>
      </w:pPr>
      <w:r>
        <w:rPr>
          <w:sz w:val="24"/>
          <w:szCs w:val="24"/>
          <w:rtl/>
        </w:rPr>
        <w:t xml:space="preserve">ما نستطيع تقديمه، عملياً، يشمل:</w:t>
      </w:r>
    </w:p>
    <w:p>
      <w:pPr>
        <w:bidi/>
        <w:spacing w:after="160"/>
        <w:jc w:val="start"/>
      </w:pPr>
      <w:r>
        <w:rPr>
          <w:sz w:val="24"/>
          <w:szCs w:val="24"/>
          <w:rtl/>
        </w:rPr>
        <w:t xml:space="preserve">- **التوثيق بالعربية**: إنشاء قواعد بيانات بالعربية تجمع كلّ ما تنشره المنظمات الدولية، مع المراجع، لتكون متاحة للباحث العربي.</w:t>
      </w:r>
    </w:p>
    <w:p>
      <w:pPr>
        <w:bidi/>
        <w:spacing w:after="160"/>
        <w:jc w:val="start"/>
      </w:pPr>
      <w:r>
        <w:rPr>
          <w:sz w:val="24"/>
          <w:szCs w:val="24"/>
          <w:rtl/>
        </w:rPr>
        <w:t xml:space="preserve">- **الترجمة المتخصّصة**: ترجمة التقارير القانونية والإحصائية إلى العربية بدقّة قانونية، لا بمجرد نقل المعنى. الترجمة المغلوطة في القانون الدولي يمكن أن تُضلّل أجيالاً.</w:t>
      </w:r>
    </w:p>
    <w:p>
      <w:pPr>
        <w:bidi/>
        <w:spacing w:after="160"/>
        <w:jc w:val="start"/>
      </w:pPr>
      <w:r>
        <w:rPr>
          <w:sz w:val="24"/>
          <w:szCs w:val="24"/>
          <w:rtl/>
        </w:rPr>
        <w:t xml:space="preserve">- **التحليل المُقارن**: استخدام منهج البحث المقارن لربط ما يحدث في غزة بسياقات أوسع — في القانون الدولي، في تاريخ النزاعات، في أدبيات الذاكرة الجماعية.</w:t>
      </w:r>
    </w:p>
    <w:p>
      <w:pPr>
        <w:bidi/>
        <w:spacing w:after="160"/>
        <w:jc w:val="start"/>
      </w:pPr>
      <w:r>
        <w:rPr>
          <w:sz w:val="24"/>
          <w:szCs w:val="24"/>
          <w:rtl/>
        </w:rPr>
        <w:t xml:space="preserve">- **الشهادة في المحافل الدولية**: من يستطيع منّا التقدّم بإفادات للجان الأمم المتحدة، أو المحاكم الدولية، أو الجلسات الأكاديمية، فإن ذلك من باب «الشهادة بالقسط» التي يدعونا إليها القرآن.</w:t>
      </w:r>
    </w:p>
    <w:p>
      <w:pPr>
        <w:bidi/>
        <w:spacing w:after="160"/>
        <w:jc w:val="start"/>
      </w:pPr>
      <w:r>
        <w:rPr>
          <w:sz w:val="24"/>
          <w:szCs w:val="24"/>
          <w:rtl/>
        </w:rPr>
        <w:t xml:space="preserve">- **التعليم**: إدخال هذه الموادّ في مناهج كلّيات الإعلام والقانون والسياسة في الجامعات العربية والأمريكية والأوروبية. ما لا يُدرَّس يُنسى.</w:t>
      </w:r>
    </w:p>
    <w:p>
      <w:pPr>
        <w:bidi/>
        <w:spacing w:after="160"/>
        <w:jc w:val="start"/>
      </w:pPr>
      <w:r>
        <w:rPr>
          <w:sz w:val="24"/>
          <w:szCs w:val="24"/>
          <w:rtl/>
        </w:rPr>
        <w:t xml:space="preserve">## كلمة أخيرة</w:t>
      </w:r>
    </w:p>
    <w:p>
      <w:pPr>
        <w:bidi/>
        <w:spacing w:after="160"/>
        <w:jc w:val="start"/>
      </w:pPr>
      <w:r>
        <w:rPr>
          <w:sz w:val="24"/>
          <w:szCs w:val="24"/>
          <w:rtl/>
        </w:rPr>
        <w:t xml:space="preserve">في صباح من صباحات أكتوبر ٢٠٢٣، قبل أيام من الحرب، كان الصحفي عصام عبد الله يُجهّز كاميرا. وكان حمزة الدحدوح يحلم بأن يكون مثل أبيه. وكان رفعت العرعير يُحضّر محاضرة للطلاب. وكانت زومي فرانكوم تُغلّف وجبات للأطفال الجائعين. وكانت هند رجب طفلة في السادسة. كلّ واحد منهم كان حيّاً، يتنفّس، يُخطّط لغد عاديّ. والآن صار كلّ واحد منهم اسماً في تقرير، أو رقماً في إحصائية، أو ذكرى في عائلة لن تكتمل أبداً.</w:t>
      </w:r>
    </w:p>
    <w:p>
      <w:pPr>
        <w:bidi/>
        <w:spacing w:after="160"/>
        <w:jc w:val="start"/>
      </w:pPr>
      <w:r>
        <w:rPr>
          <w:sz w:val="24"/>
          <w:szCs w:val="24"/>
          <w:rtl/>
        </w:rPr>
        <w:t xml:space="preserve">هذا الكتاب لم يُقدّم لهم العدالة. لم يُعدهم. لم يَمسح دموع عائلاتهم. ما فعله — على بساطته — هو أن يُسجّل أسماءهم، وأن يقول للقارئ: لقد كانوا. لقد فعلوا. لقد ماتوا في موقف الشاهد. وعلينا نحن، الباقين، أن نُكمل ما بدأوا، بكلمة، أو ببحث، أو بمحاضرة، أو بسطر في كتاب.</w:t>
      </w:r>
    </w:p>
    <w:p>
      <w:pPr>
        <w:bidi/>
        <w:spacing w:after="160"/>
        <w:jc w:val="start"/>
      </w:pPr>
      <w:r>
        <w:rPr>
          <w:sz w:val="24"/>
          <w:szCs w:val="24"/>
          <w:rtl/>
        </w:rPr>
        <w:t xml:space="preserve">ما أحوجنا إلى أن نعيش حياة تستحقّ شهادتهم.</w:t>
      </w:r>
    </w:p>
    <w:p>
      <w:pPr>
        <w:bidi/>
        <w:spacing w:after="160"/>
        <w:jc w:val="start"/>
      </w:pPr>
      <w:r>
        <w:rPr>
          <w:sz w:val="24"/>
          <w:szCs w:val="24"/>
          <w:rtl/>
        </w:rPr>
        <w:t xml:space="preserve">والله أعلم. والحمد لله ربّ العالمين.</w:t>
      </w:r>
    </w:p>
    <w:p>
      <w:r>
        <w:br w:type="page"/>
      </w:r>
    </w:p>
    <w:p>
      <w:pPr>
        <w:bidi/>
        <w:spacing w:after="360" w:before="600"/>
        <w:jc w:val="center"/>
      </w:pPr>
      <w:r>
        <w:rPr>
          <w:b/>
          <w:bCs/>
          <w:color w:val="1B3A5C"/>
          <w:sz w:val="36"/>
          <w:szCs w:val="36"/>
          <w:rtl/>
        </w:rPr>
        <w:t xml:space="preserve">الفصل الثاني عشر: المصادر والمراجع</w:t>
      </w:r>
    </w:p>
    <w:p>
      <w:pPr>
        <w:bidi/>
        <w:spacing w:after="160"/>
        <w:jc w:val="start"/>
      </w:pPr>
      <w:r>
        <w:rPr>
          <w:sz w:val="24"/>
          <w:szCs w:val="24"/>
          <w:rtl/>
        </w:rPr>
        <w:t xml:space="preserve">## ملاحظة منهجية</w:t>
      </w:r>
    </w:p>
    <w:p>
      <w:pPr>
        <w:bidi/>
        <w:spacing w:after="160"/>
        <w:jc w:val="start"/>
      </w:pPr>
      <w:r>
        <w:rPr>
          <w:sz w:val="24"/>
          <w:szCs w:val="24"/>
          <w:rtl/>
        </w:rPr>
        <w:t xml:space="preserve">كل الأرقام والأسماء والوقائع المذكورة في هذا الكتاب تستند إلى مصادر منشورة علناً من قِبَل منظمات حقوق إنسان دولية، ووكالات أمم متحدة، ومحاكم دولية، ووسائل إعلام كبرى ذات معايير تحرير صارمة. تُعرض المصادر هنا مرتّبة موضوعياً لتسهيل الرجوع إليها للقارئ المتخصّص أو الباحث.</w:t>
      </w:r>
    </w:p>
    <w:p>
      <w:pPr>
        <w:bidi/>
        <w:spacing w:after="160"/>
        <w:jc w:val="start"/>
      </w:pPr>
      <w:r>
        <w:rPr>
          <w:sz w:val="24"/>
          <w:szCs w:val="24"/>
          <w:rtl/>
        </w:rPr>
        <w:t xml:space="preserve">الأرقام تتغيّر باستمرار: الأرقام الواردة في الكتاب اعتُمدت في وقت كتابته (٢٠٢٥). للتحديث اللحظي، يُرجى الرجوع إلى المواقع الإلكترونية للمنظمات المذكورة.</w:t>
      </w:r>
    </w:p>
    <w:p>
      <w:pPr>
        <w:bidi/>
        <w:spacing w:after="160"/>
        <w:jc w:val="start"/>
      </w:pPr>
      <w:r>
        <w:rPr>
          <w:sz w:val="24"/>
          <w:szCs w:val="24"/>
          <w:rtl/>
        </w:rPr>
        <w:t xml:space="preserve">---</w:t>
      </w:r>
    </w:p>
    <w:p>
      <w:pPr>
        <w:bidi/>
        <w:spacing w:after="160"/>
        <w:jc w:val="start"/>
      </w:pPr>
      <w:r>
        <w:rPr>
          <w:sz w:val="24"/>
          <w:szCs w:val="24"/>
          <w:rtl/>
        </w:rPr>
        <w:t xml:space="preserve">## أوّلاً: منظمات حماية الصحفيين</w:t>
      </w:r>
    </w:p>
    <w:p>
      <w:pPr>
        <w:bidi/>
        <w:spacing w:after="160"/>
        <w:jc w:val="start"/>
      </w:pPr>
      <w:r>
        <w:rPr>
          <w:sz w:val="24"/>
          <w:szCs w:val="24"/>
          <w:rtl/>
        </w:rPr>
        <w:t xml:space="preserve">**لجنة حماية الصحفيين (Committee to Protect Journalists – CPJ)**</w:t>
      </w:r>
    </w:p>
    <w:p>
      <w:pPr>
        <w:bidi/>
        <w:spacing w:after="160"/>
        <w:jc w:val="start"/>
      </w:pPr>
      <w:r>
        <w:rPr>
          <w:sz w:val="24"/>
          <w:szCs w:val="24"/>
          <w:rtl/>
        </w:rPr>
        <w:t xml:space="preserve">- صفحة وفيات الصحفيين في الحرب الإسرائيلية–الفلسطينية، تحديث مستمرّ:     https://cpj.org/reports/2024/journalist-casualties-israel-gaza-war/ - قاعدة بيانات الصحفيين القتلى منذ ١٩٩٢:     https://cpj.org/data/killed/ - تقرير «نمط مميت: استهداف الصحفيين الفلسطينيين»، ٢٠٢٣. - البيانات الشهرية والسنوية المتعلّقة بالنزاع.</w:t>
      </w:r>
    </w:p>
    <w:p>
      <w:pPr>
        <w:bidi/>
        <w:spacing w:after="160"/>
        <w:jc w:val="start"/>
      </w:pPr>
      <w:r>
        <w:rPr>
          <w:sz w:val="24"/>
          <w:szCs w:val="24"/>
          <w:rtl/>
        </w:rPr>
        <w:t xml:space="preserve">**منظمة مراسلون بلا حدود (Reporters Without Borders – RSF)**</w:t>
      </w:r>
    </w:p>
    <w:p>
      <w:pPr>
        <w:bidi/>
        <w:spacing w:after="160"/>
        <w:jc w:val="start"/>
      </w:pPr>
      <w:r>
        <w:rPr>
          <w:sz w:val="24"/>
          <w:szCs w:val="24"/>
          <w:rtl/>
        </w:rPr>
        <w:t xml:space="preserve">- التقرير السنوي ٢٠٢٤ (Round-up). - شكوى رسمية إلى المدعي العام للمحكمة الجنائية الدولية بشأن قتل الصحفيين، ديسمبر ٢٠٢٣. - تقرير «الرقابة عبر القتل»، سبتمبر ٢٠٢٤. - مؤشّر حرية الصحافة العالمي:     https://rsf.org/en/index</w:t>
      </w:r>
    </w:p>
    <w:p>
      <w:pPr>
        <w:bidi/>
        <w:spacing w:after="160"/>
        <w:jc w:val="start"/>
      </w:pPr>
      <w:r>
        <w:rPr>
          <w:sz w:val="24"/>
          <w:szCs w:val="24"/>
          <w:rtl/>
        </w:rPr>
        <w:t xml:space="preserve">**نقابة الصحفيين الفلسطينيين**</w:t>
      </w:r>
    </w:p>
    <w:p>
      <w:pPr>
        <w:bidi/>
        <w:spacing w:after="160"/>
        <w:jc w:val="start"/>
      </w:pPr>
      <w:r>
        <w:rPr>
          <w:sz w:val="24"/>
          <w:szCs w:val="24"/>
          <w:rtl/>
        </w:rPr>
        <w:t xml:space="preserve">- البيانات الرسمية والإحصاءات الموثّقة للأعضاء الذين قُتلوا في غزة.</w:t>
      </w:r>
    </w:p>
    <w:p>
      <w:pPr>
        <w:bidi/>
        <w:spacing w:after="160"/>
        <w:jc w:val="start"/>
      </w:pPr>
      <w:r>
        <w:rPr>
          <w:sz w:val="24"/>
          <w:szCs w:val="24"/>
          <w:rtl/>
        </w:rPr>
        <w:t xml:space="preserve">---</w:t>
      </w:r>
    </w:p>
    <w:p>
      <w:pPr>
        <w:bidi/>
        <w:spacing w:after="160"/>
        <w:jc w:val="start"/>
      </w:pPr>
      <w:r>
        <w:rPr>
          <w:sz w:val="24"/>
          <w:szCs w:val="24"/>
          <w:rtl/>
        </w:rPr>
        <w:t xml:space="preserve">## ثانياً: منظمات حقوق الإنسان الدولية</w:t>
      </w:r>
    </w:p>
    <w:p>
      <w:pPr>
        <w:bidi/>
        <w:spacing w:after="160"/>
        <w:jc w:val="start"/>
      </w:pPr>
      <w:r>
        <w:rPr>
          <w:sz w:val="24"/>
          <w:szCs w:val="24"/>
          <w:rtl/>
        </w:rPr>
        <w:t xml:space="preserve">**هيومن رايتس ووتش (Human Rights Watch – HRW)**</w:t>
      </w:r>
    </w:p>
    <w:p>
      <w:pPr>
        <w:bidi/>
        <w:spacing w:after="160"/>
        <w:jc w:val="start"/>
      </w:pPr>
      <w:r>
        <w:rPr>
          <w:sz w:val="24"/>
          <w:szCs w:val="24"/>
          <w:rtl/>
        </w:rPr>
        <w:t xml:space="preserve">- "Lebanon: Israeli Strike Killing Reuters Journalist Apparent War Crime"، ديسمبر ٢٠٢٣. - "Civilian Casualties: Israeli Patterns"، يناير ٢٠٢٤. - "I Can't Erase All the Blood from My Mind"، تقرير عن حوادث القصف على الأحياء السكنية، ديسمبر ٢٠٢٣. - "Targeting of Journalists in Lebanon and Gaza"، مايو ٢٠٢٤. - "Starvation as a Weapon of War"، ديسمبر ٢٠٢٣. - صفحة الكيان الفلسطيني والإسرائيلي:     https://www.hrw.org/middle-east/n-africa/israel/palestine</w:t>
      </w:r>
    </w:p>
    <w:p>
      <w:pPr>
        <w:bidi/>
        <w:spacing w:after="160"/>
        <w:jc w:val="start"/>
      </w:pPr>
      <w:r>
        <w:rPr>
          <w:sz w:val="24"/>
          <w:szCs w:val="24"/>
          <w:rtl/>
        </w:rPr>
        <w:t xml:space="preserve">**منظمة العفو الدولية (Amnesty International)**</w:t>
      </w:r>
    </w:p>
    <w:p>
      <w:pPr>
        <w:bidi/>
        <w:spacing w:after="160"/>
        <w:jc w:val="start"/>
      </w:pPr>
      <w:r>
        <w:rPr>
          <w:sz w:val="24"/>
          <w:szCs w:val="24"/>
          <w:rtl/>
        </w:rPr>
        <w:t xml:space="preserve">- "Damning Evidence of Israeli War Crimes Against Civilians"، ديسمبر ٢٠٢٣. - "You Feel Like You Are Subhuman: Israel's Genocide Against Palestinians in Gaza"، أكتوبر ٢٠٢٤. - بيانات بشأن مقتل عصام عبد الله، ديسمبر ٢٠٢٣. - صفحة الأرض الفلسطينية المحتلّة:     https://www.amnesty.org/en/location/middle-east-and-north-africa/israel-and-occupied-palestinian-territories/</w:t>
      </w:r>
    </w:p>
    <w:p>
      <w:pPr>
        <w:bidi/>
        <w:spacing w:after="160"/>
        <w:jc w:val="start"/>
      </w:pPr>
      <w:r>
        <w:rPr>
          <w:sz w:val="24"/>
          <w:szCs w:val="24"/>
          <w:rtl/>
        </w:rPr>
        <w:t xml:space="preserve">**منظمة الميزان لحقوق الإنسان (Al-Mezan)**</w:t>
      </w:r>
    </w:p>
    <w:p>
      <w:pPr>
        <w:bidi/>
        <w:spacing w:after="160"/>
        <w:jc w:val="start"/>
      </w:pPr>
      <w:r>
        <w:rPr>
          <w:sz w:val="24"/>
          <w:szCs w:val="24"/>
          <w:rtl/>
        </w:rPr>
        <w:t xml:space="preserve">- التقارير الميدانية اليومية من غزة.</w:t>
      </w:r>
    </w:p>
    <w:p>
      <w:pPr>
        <w:bidi/>
        <w:spacing w:after="160"/>
        <w:jc w:val="start"/>
      </w:pPr>
      <w:r>
        <w:rPr>
          <w:sz w:val="24"/>
          <w:szCs w:val="24"/>
          <w:rtl/>
        </w:rPr>
        <w:t xml:space="preserve">**منظمة الحقّ (Al-Haq)**</w:t>
      </w:r>
    </w:p>
    <w:p>
      <w:pPr>
        <w:bidi/>
        <w:spacing w:after="160"/>
        <w:jc w:val="start"/>
      </w:pPr>
      <w:r>
        <w:rPr>
          <w:sz w:val="24"/>
          <w:szCs w:val="24"/>
          <w:rtl/>
        </w:rPr>
        <w:t xml:space="preserve">- التحقيقات الحقوقية والقانونية بشأن الانتهاكات في الأراضي الفلسطينية.</w:t>
      </w:r>
    </w:p>
    <w:p>
      <w:pPr>
        <w:bidi/>
        <w:spacing w:after="160"/>
        <w:jc w:val="start"/>
      </w:pPr>
      <w:r>
        <w:rPr>
          <w:sz w:val="24"/>
          <w:szCs w:val="24"/>
          <w:rtl/>
        </w:rPr>
        <w:t xml:space="preserve">---</w:t>
      </w:r>
    </w:p>
    <w:p>
      <w:pPr>
        <w:bidi/>
        <w:spacing w:after="160"/>
        <w:jc w:val="start"/>
      </w:pPr>
      <w:r>
        <w:rPr>
          <w:sz w:val="24"/>
          <w:szCs w:val="24"/>
          <w:rtl/>
        </w:rPr>
        <w:t xml:space="preserve">## ثالثاً: مكاتب الأمم المتحدة</w:t>
      </w:r>
    </w:p>
    <w:p>
      <w:pPr>
        <w:bidi/>
        <w:spacing w:after="160"/>
        <w:jc w:val="start"/>
      </w:pPr>
      <w:r>
        <w:rPr>
          <w:sz w:val="24"/>
          <w:szCs w:val="24"/>
          <w:rtl/>
        </w:rPr>
        <w:t xml:space="preserve">**مكتب الأمم المتحدة لتنسيق الشؤون الإنسانية (UN OCHA)**</w:t>
      </w:r>
    </w:p>
    <w:p>
      <w:pPr>
        <w:bidi/>
        <w:spacing w:after="160"/>
        <w:jc w:val="start"/>
      </w:pPr>
      <w:r>
        <w:rPr>
          <w:sz w:val="24"/>
          <w:szCs w:val="24"/>
          <w:rtl/>
        </w:rPr>
        <w:t xml:space="preserve">- التقارير الأسبوعية عن حالة الأراضي الفلسطينية المحتلّة:     https://www.ochaopt.org - "Humanitarian Access Reports"، ٢٠٢٤–٢٠٢٥. - إحصاءات وفيات العاملين الإنسانيين.</w:t>
      </w:r>
    </w:p>
    <w:p>
      <w:pPr>
        <w:bidi/>
        <w:spacing w:after="160"/>
        <w:jc w:val="start"/>
      </w:pPr>
      <w:r>
        <w:rPr>
          <w:sz w:val="24"/>
          <w:szCs w:val="24"/>
          <w:rtl/>
        </w:rPr>
        <w:t xml:space="preserve">**وكالة الأمم المتحدة لإغاثة وتشغيل اللاجئين الفلسطينيين (UNRWA)**</w:t>
      </w:r>
    </w:p>
    <w:p>
      <w:pPr>
        <w:bidi/>
        <w:spacing w:after="160"/>
        <w:jc w:val="start"/>
      </w:pPr>
      <w:r>
        <w:rPr>
          <w:sz w:val="24"/>
          <w:szCs w:val="24"/>
          <w:rtl/>
        </w:rPr>
        <w:t xml:space="preserve">- التحديث المستمرّ على الموقع الرسمي بشأن مقتل الموظّفين:     https://www.unrwa.org - التقارير التعليمية والصحّية الدورية.</w:t>
      </w:r>
    </w:p>
    <w:p>
      <w:pPr>
        <w:bidi/>
        <w:spacing w:after="160"/>
        <w:jc w:val="start"/>
      </w:pPr>
      <w:r>
        <w:rPr>
          <w:sz w:val="24"/>
          <w:szCs w:val="24"/>
          <w:rtl/>
        </w:rPr>
        <w:t xml:space="preserve">**منظمة الصحة العالمية (WHO)**</w:t>
      </w:r>
    </w:p>
    <w:p>
      <w:pPr>
        <w:bidi/>
        <w:spacing w:after="160"/>
        <w:jc w:val="start"/>
      </w:pPr>
      <w:r>
        <w:rPr>
          <w:sz w:val="24"/>
          <w:szCs w:val="24"/>
          <w:rtl/>
        </w:rPr>
        <w:t xml:space="preserve">- "Surveillance of Health Worker Deaths in Gaza"، ٢٠٢٥. - "Attacks on Health Care Initiative":     https://extranet.who.int/ssa/</w:t>
      </w:r>
    </w:p>
    <w:p>
      <w:pPr>
        <w:bidi/>
        <w:spacing w:after="160"/>
        <w:jc w:val="start"/>
      </w:pPr>
      <w:r>
        <w:rPr>
          <w:sz w:val="24"/>
          <w:szCs w:val="24"/>
          <w:rtl/>
        </w:rPr>
        <w:t xml:space="preserve">**اليونسكو (UNESCO)**</w:t>
      </w:r>
    </w:p>
    <w:p>
      <w:pPr>
        <w:bidi/>
        <w:spacing w:after="160"/>
        <w:jc w:val="start"/>
      </w:pPr>
      <w:r>
        <w:rPr>
          <w:sz w:val="24"/>
          <w:szCs w:val="24"/>
          <w:rtl/>
        </w:rPr>
        <w:t xml:space="preserve">- بيان بشأن مقتل العالم سُفيان تايه، ديسمبر ٢٠٢٣. - خطّة العمل الأممية بشأن سلامة الصحفيين، ٢٠١٢ (مُحدَّثة ٢٠٢٢).</w:t>
      </w:r>
    </w:p>
    <w:p>
      <w:pPr>
        <w:bidi/>
        <w:spacing w:after="160"/>
        <w:jc w:val="start"/>
      </w:pPr>
      <w:r>
        <w:rPr>
          <w:sz w:val="24"/>
          <w:szCs w:val="24"/>
          <w:rtl/>
        </w:rPr>
        <w:t xml:space="preserve">**مكتب المفوّض السامي لحقوق الإنسان (OHCHR)**</w:t>
      </w:r>
    </w:p>
    <w:p>
      <w:pPr>
        <w:bidi/>
        <w:spacing w:after="160"/>
        <w:jc w:val="start"/>
      </w:pPr>
      <w:r>
        <w:rPr>
          <w:sz w:val="24"/>
          <w:szCs w:val="24"/>
          <w:rtl/>
        </w:rPr>
        <w:t xml:space="preserve">- تقرير لجنة التحقيق الدولية المستقلّة، A/HRC/56/26، يونيو ٢٠٢٤. - تقرير "Conduct of Hostilities" Reports، ٢٠٢٤. - بيانات بشأن وفيات الصحفيين والأطباء أثناء الاحتجاز.</w:t>
      </w:r>
    </w:p>
    <w:p>
      <w:pPr>
        <w:bidi/>
        <w:spacing w:after="160"/>
        <w:jc w:val="start"/>
      </w:pPr>
      <w:r>
        <w:rPr>
          <w:sz w:val="24"/>
          <w:szCs w:val="24"/>
          <w:rtl/>
        </w:rPr>
        <w:t xml:space="preserve">**المقرّر الخاصّ للأمم المتحدة المعنيّ بالأراضي الفلسطينية (فرنشيسكا ألبانيز)**</w:t>
      </w:r>
    </w:p>
    <w:p>
      <w:pPr>
        <w:bidi/>
        <w:spacing w:after="160"/>
        <w:jc w:val="start"/>
      </w:pPr>
      <w:r>
        <w:rPr>
          <w:sz w:val="24"/>
          <w:szCs w:val="24"/>
          <w:rtl/>
        </w:rPr>
        <w:t xml:space="preserve">- "Anatomy of a Genocide"، A/HRC/55/73، مارس ٢٠٢٤.</w:t>
      </w:r>
    </w:p>
    <w:p>
      <w:pPr>
        <w:bidi/>
        <w:spacing w:after="160"/>
        <w:jc w:val="start"/>
      </w:pPr>
      <w:r>
        <w:rPr>
          <w:sz w:val="24"/>
          <w:szCs w:val="24"/>
          <w:rtl/>
        </w:rPr>
        <w:t xml:space="preserve">**المقرّر الخاصّ المعنيّ بالحقّ في التعليم**</w:t>
      </w:r>
    </w:p>
    <w:p>
      <w:pPr>
        <w:bidi/>
        <w:spacing w:after="160"/>
        <w:jc w:val="start"/>
      </w:pPr>
      <w:r>
        <w:rPr>
          <w:sz w:val="24"/>
          <w:szCs w:val="24"/>
          <w:rtl/>
        </w:rPr>
        <w:t xml:space="preserve">- A/HRC/56/L.21، ٢٠٢٤.</w:t>
      </w:r>
    </w:p>
    <w:p>
      <w:pPr>
        <w:bidi/>
        <w:spacing w:after="160"/>
        <w:jc w:val="start"/>
      </w:pPr>
      <w:r>
        <w:rPr>
          <w:sz w:val="24"/>
          <w:szCs w:val="24"/>
          <w:rtl/>
        </w:rPr>
        <w:t xml:space="preserve">---</w:t>
      </w:r>
    </w:p>
    <w:p>
      <w:pPr>
        <w:bidi/>
        <w:spacing w:after="160"/>
        <w:jc w:val="start"/>
      </w:pPr>
      <w:r>
        <w:rPr>
          <w:sz w:val="24"/>
          <w:szCs w:val="24"/>
          <w:rtl/>
        </w:rPr>
        <w:t xml:space="preserve">## رابعاً: المحاكم الدولية</w:t>
      </w:r>
    </w:p>
    <w:p>
      <w:pPr>
        <w:bidi/>
        <w:spacing w:after="160"/>
        <w:jc w:val="start"/>
      </w:pPr>
      <w:r>
        <w:rPr>
          <w:sz w:val="24"/>
          <w:szCs w:val="24"/>
          <w:rtl/>
        </w:rPr>
        <w:t xml:space="preserve">**محكمة العدل الدولية (International Court of Justice – ICJ)**</w:t>
      </w:r>
    </w:p>
    <w:p>
      <w:pPr>
        <w:bidi/>
        <w:spacing w:after="160"/>
        <w:jc w:val="start"/>
      </w:pPr>
      <w:r>
        <w:rPr>
          <w:sz w:val="24"/>
          <w:szCs w:val="24"/>
          <w:rtl/>
        </w:rPr>
        <w:t xml:space="preserve">- ICJ Application of South Africa, "Application Instituting Proceedings", ٢٩ ديسمبر ٢٠٢٣. - ICJ Order (Provisional Measures), ٢٦ يناير ٢٠٢٤. - ICJ Order (Additional Measures), ٢٨ مارس ٢٠٢٤. - ICJ Order, ٢٤ مايو ٢٠٢٤. - الموقع الرسمي:     https://www.icj-cij.org</w:t>
      </w:r>
    </w:p>
    <w:p>
      <w:pPr>
        <w:bidi/>
        <w:spacing w:after="160"/>
        <w:jc w:val="start"/>
      </w:pPr>
      <w:r>
        <w:rPr>
          <w:sz w:val="24"/>
          <w:szCs w:val="24"/>
          <w:rtl/>
        </w:rPr>
        <w:t xml:space="preserve">**المحكمة الجنائية الدولية (International Criminal Court – ICC)**</w:t>
      </w:r>
    </w:p>
    <w:p>
      <w:pPr>
        <w:bidi/>
        <w:spacing w:after="160"/>
        <w:jc w:val="start"/>
      </w:pPr>
      <w:r>
        <w:rPr>
          <w:sz w:val="24"/>
          <w:szCs w:val="24"/>
          <w:rtl/>
        </w:rPr>
        <w:t xml:space="preserve">- ICC Prosecutor Karim Khan, Statement, ٢٠ مايو ٢٠٢٤. - ICC Pre-Trial Chamber I, Decision on Arrest Warrants, ٢١ نوفمبر ٢٠٢٤. - نظام روما الأساسي (١٩٩٨). - الموقع الرسمي:     https://www.icc-cpi.int</w:t>
      </w:r>
    </w:p>
    <w:p>
      <w:pPr>
        <w:bidi/>
        <w:spacing w:after="160"/>
        <w:jc w:val="start"/>
      </w:pPr>
      <w:r>
        <w:rPr>
          <w:sz w:val="24"/>
          <w:szCs w:val="24"/>
          <w:rtl/>
        </w:rPr>
        <w:t xml:space="preserve">**محكمة يوغوسلافيا الجنائية الدولية (ICTY)**</w:t>
      </w:r>
    </w:p>
    <w:p>
      <w:pPr>
        <w:bidi/>
        <w:spacing w:after="160"/>
        <w:jc w:val="start"/>
      </w:pPr>
      <w:r>
        <w:rPr>
          <w:sz w:val="24"/>
          <w:szCs w:val="24"/>
          <w:rtl/>
        </w:rPr>
        <w:t xml:space="preserve">- Galić Case (Trial Judgement, ٢٠٠٣؛ Appeal Judgement, ٢٠٠٦). - Krstić Case (٢٠٠١).</w:t>
      </w:r>
    </w:p>
    <w:p>
      <w:pPr>
        <w:bidi/>
        <w:spacing w:after="160"/>
        <w:jc w:val="start"/>
      </w:pPr>
      <w:r>
        <w:rPr>
          <w:sz w:val="24"/>
          <w:szCs w:val="24"/>
          <w:rtl/>
        </w:rPr>
        <w:t xml:space="preserve">**محكمة رواندا الجنائية الدولية (ICTR)**</w:t>
      </w:r>
    </w:p>
    <w:p>
      <w:pPr>
        <w:bidi/>
        <w:spacing w:after="160"/>
        <w:jc w:val="start"/>
      </w:pPr>
      <w:r>
        <w:rPr>
          <w:sz w:val="24"/>
          <w:szCs w:val="24"/>
          <w:rtl/>
        </w:rPr>
        <w:t xml:space="preserve">- Nahimana et al. (Media Case)، ٢٠٠٣.</w:t>
      </w:r>
    </w:p>
    <w:p>
      <w:pPr>
        <w:bidi/>
        <w:spacing w:after="160"/>
        <w:jc w:val="start"/>
      </w:pPr>
      <w:r>
        <w:rPr>
          <w:sz w:val="24"/>
          <w:szCs w:val="24"/>
          <w:rtl/>
        </w:rPr>
        <w:t xml:space="preserve">---</w:t>
      </w:r>
    </w:p>
    <w:p>
      <w:pPr>
        <w:bidi/>
        <w:spacing w:after="160"/>
        <w:jc w:val="start"/>
      </w:pPr>
      <w:r>
        <w:rPr>
          <w:sz w:val="24"/>
          <w:szCs w:val="24"/>
          <w:rtl/>
        </w:rPr>
        <w:t xml:space="preserve">## خامساً: تحقيقات وسائل الإعلام الدولية</w:t>
      </w:r>
    </w:p>
    <w:p>
      <w:pPr>
        <w:bidi/>
        <w:spacing w:after="160"/>
        <w:jc w:val="start"/>
      </w:pPr>
      <w:r>
        <w:rPr>
          <w:sz w:val="24"/>
          <w:szCs w:val="24"/>
          <w:rtl/>
        </w:rPr>
        <w:t xml:space="preserve">**Reuters**</w:t>
      </w:r>
    </w:p>
    <w:p>
      <w:pPr>
        <w:bidi/>
        <w:spacing w:after="160"/>
        <w:jc w:val="start"/>
      </w:pPr>
      <w:r>
        <w:rPr>
          <w:sz w:val="24"/>
          <w:szCs w:val="24"/>
          <w:rtl/>
        </w:rPr>
        <w:t xml:space="preserve">- Reuters Investigation, "How a Reuters Journalist Was Killed by an Israeli Tank Crew", ديسمبر ٢٠٢٣.</w:t>
      </w:r>
    </w:p>
    <w:p>
      <w:pPr>
        <w:bidi/>
        <w:spacing w:after="160"/>
        <w:jc w:val="start"/>
      </w:pPr>
      <w:r>
        <w:rPr>
          <w:sz w:val="24"/>
          <w:szCs w:val="24"/>
          <w:rtl/>
        </w:rPr>
        <w:t xml:space="preserve">**The New York Times**</w:t>
      </w:r>
    </w:p>
    <w:p>
      <w:pPr>
        <w:bidi/>
        <w:spacing w:after="160"/>
        <w:jc w:val="start"/>
      </w:pPr>
      <w:r>
        <w:rPr>
          <w:sz w:val="24"/>
          <w:szCs w:val="24"/>
          <w:rtl/>
        </w:rPr>
        <w:t xml:space="preserve">- "How Israel Used U.S. Bombs in Gaza", ديسمبر ٢٠٢٣.</w:t>
      </w:r>
    </w:p>
    <w:p>
      <w:pPr>
        <w:bidi/>
        <w:spacing w:after="160"/>
        <w:jc w:val="start"/>
      </w:pPr>
      <w:r>
        <w:rPr>
          <w:sz w:val="24"/>
          <w:szCs w:val="24"/>
          <w:rtl/>
        </w:rPr>
        <w:t xml:space="preserve">**The Washington Post**</w:t>
      </w:r>
    </w:p>
    <w:p>
      <w:pPr>
        <w:bidi/>
        <w:spacing w:after="160"/>
        <w:jc w:val="start"/>
      </w:pPr>
      <w:r>
        <w:rPr>
          <w:sz w:val="24"/>
          <w:szCs w:val="24"/>
          <w:rtl/>
        </w:rPr>
        <w:t xml:space="preserve">- التحقيق في «المنطقة العازلة» الإسرائيلية شمال غزة، مايو ٢٠٢٤.</w:t>
      </w:r>
    </w:p>
    <w:p>
      <w:pPr>
        <w:bidi/>
        <w:spacing w:after="160"/>
        <w:jc w:val="start"/>
      </w:pPr>
      <w:r>
        <w:rPr>
          <w:sz w:val="24"/>
          <w:szCs w:val="24"/>
          <w:rtl/>
        </w:rPr>
        <w:t xml:space="preserve">**CNN**</w:t>
      </w:r>
    </w:p>
    <w:p>
      <w:pPr>
        <w:bidi/>
        <w:spacing w:after="160"/>
        <w:jc w:val="start"/>
      </w:pPr>
      <w:r>
        <w:rPr>
          <w:sz w:val="24"/>
          <w:szCs w:val="24"/>
          <w:rtl/>
        </w:rPr>
        <w:t xml:space="preserve">- تحقيق في حالة شيرين أبو عاقلة، مايو ٢٠٢٢. - تحقيقات حول استخدام القنابل الثقيلة، ٢٠٢٣–٢٠٢٤.</w:t>
      </w:r>
    </w:p>
    <w:p>
      <w:pPr>
        <w:bidi/>
        <w:spacing w:after="160"/>
        <w:jc w:val="start"/>
      </w:pPr>
      <w:r>
        <w:rPr>
          <w:sz w:val="24"/>
          <w:szCs w:val="24"/>
          <w:rtl/>
        </w:rPr>
        <w:t xml:space="preserve">**Al Jazeera**</w:t>
      </w:r>
    </w:p>
    <w:p>
      <w:pPr>
        <w:bidi/>
        <w:spacing w:after="160"/>
        <w:jc w:val="start"/>
      </w:pPr>
      <w:r>
        <w:rPr>
          <w:sz w:val="24"/>
          <w:szCs w:val="24"/>
          <w:rtl/>
        </w:rPr>
        <w:t xml:space="preserve">- التغطية اليومية للحرب وبيانات بشأن الصحفيين القتلى.</w:t>
      </w:r>
    </w:p>
    <w:p>
      <w:pPr>
        <w:bidi/>
        <w:spacing w:after="160"/>
        <w:jc w:val="start"/>
      </w:pPr>
      <w:r>
        <w:rPr>
          <w:sz w:val="24"/>
          <w:szCs w:val="24"/>
          <w:rtl/>
        </w:rPr>
        <w:t xml:space="preserve">**+972 Magazine and Local Call**</w:t>
      </w:r>
    </w:p>
    <w:p>
      <w:pPr>
        <w:bidi/>
        <w:spacing w:after="160"/>
        <w:jc w:val="start"/>
      </w:pPr>
      <w:r>
        <w:rPr>
          <w:sz w:val="24"/>
          <w:szCs w:val="24"/>
          <w:rtl/>
        </w:rPr>
        <w:t xml:space="preserve">- "Lavender: The AI Machine Directing Israel's Bombing in Gaza"، أبريل ٢٠٢٤.</w:t>
      </w:r>
    </w:p>
    <w:p>
      <w:pPr>
        <w:bidi/>
        <w:spacing w:after="160"/>
        <w:jc w:val="start"/>
      </w:pPr>
      <w:r>
        <w:rPr>
          <w:sz w:val="24"/>
          <w:szCs w:val="24"/>
          <w:rtl/>
        </w:rPr>
        <w:t xml:space="preserve">**Forensic Architecture**</w:t>
      </w:r>
    </w:p>
    <w:p>
      <w:pPr>
        <w:bidi/>
        <w:spacing w:after="160"/>
        <w:jc w:val="start"/>
      </w:pPr>
      <w:r>
        <w:rPr>
          <w:sz w:val="24"/>
          <w:szCs w:val="24"/>
          <w:rtl/>
        </w:rPr>
        <w:t xml:space="preserve">- تحقيق هند رجب، فبراير ٢٠٢٤. - تحقيق WCK، أبريل ٢٠٢٤. - الموقع الرسمي:     https://forensic-architecture.org</w:t>
      </w:r>
    </w:p>
    <w:p>
      <w:pPr>
        <w:bidi/>
        <w:spacing w:after="160"/>
        <w:jc w:val="start"/>
      </w:pPr>
      <w:r>
        <w:rPr>
          <w:sz w:val="24"/>
          <w:szCs w:val="24"/>
          <w:rtl/>
        </w:rPr>
        <w:t xml:space="preserve">---</w:t>
      </w:r>
    </w:p>
    <w:p>
      <w:pPr>
        <w:bidi/>
        <w:spacing w:after="160"/>
        <w:jc w:val="start"/>
      </w:pPr>
      <w:r>
        <w:rPr>
          <w:sz w:val="24"/>
          <w:szCs w:val="24"/>
          <w:rtl/>
        </w:rPr>
        <w:t xml:space="preserve">## سادساً: المنظمات الإنسانية</w:t>
      </w:r>
    </w:p>
    <w:p>
      <w:pPr>
        <w:bidi/>
        <w:spacing w:after="160"/>
        <w:jc w:val="start"/>
      </w:pPr>
      <w:r>
        <w:rPr>
          <w:sz w:val="24"/>
          <w:szCs w:val="24"/>
          <w:rtl/>
        </w:rPr>
        <w:t xml:space="preserve">**المطبخ المركزي العالمي (World Central Kitchen – WCK)**</w:t>
      </w:r>
    </w:p>
    <w:p>
      <w:pPr>
        <w:bidi/>
        <w:spacing w:after="160"/>
        <w:jc w:val="start"/>
      </w:pPr>
      <w:r>
        <w:rPr>
          <w:sz w:val="24"/>
          <w:szCs w:val="24"/>
          <w:rtl/>
        </w:rPr>
        <w:t xml:space="preserve">- البيانات الرسمية والتقارير بشأن الضربة على القافلة، أبريل ٢٠٢٤. - التقرير الداخلي للحادثة، مايو ٢٠٢٤.</w:t>
      </w:r>
    </w:p>
    <w:p>
      <w:pPr>
        <w:bidi/>
        <w:spacing w:after="160"/>
        <w:jc w:val="start"/>
      </w:pPr>
      <w:r>
        <w:rPr>
          <w:sz w:val="24"/>
          <w:szCs w:val="24"/>
          <w:rtl/>
        </w:rPr>
        <w:t xml:space="preserve">**أطباء بلا حدود (Médecins Sans Frontières – MSF)**</w:t>
      </w:r>
    </w:p>
    <w:p>
      <w:pPr>
        <w:bidi/>
        <w:spacing w:after="160"/>
        <w:jc w:val="start"/>
      </w:pPr>
      <w:r>
        <w:rPr>
          <w:sz w:val="24"/>
          <w:szCs w:val="24"/>
          <w:rtl/>
        </w:rPr>
        <w:t xml:space="preserve">- بيانات بشأن قصف المرافق الطبية، ٢٠٢٣–٢٠٢٤.</w:t>
      </w:r>
    </w:p>
    <w:p>
      <w:pPr>
        <w:bidi/>
        <w:spacing w:after="160"/>
        <w:jc w:val="start"/>
      </w:pPr>
      <w:r>
        <w:rPr>
          <w:sz w:val="24"/>
          <w:szCs w:val="24"/>
          <w:rtl/>
        </w:rPr>
        <w:t xml:space="preserve">**المساعدات الطبية للفلسطينيين (Medical Aid for Palestinians – MAP UK)**</w:t>
      </w:r>
    </w:p>
    <w:p>
      <w:pPr>
        <w:bidi/>
        <w:spacing w:after="160"/>
        <w:jc w:val="start"/>
      </w:pPr>
      <w:r>
        <w:rPr>
          <w:sz w:val="24"/>
          <w:szCs w:val="24"/>
          <w:rtl/>
        </w:rPr>
        <w:t xml:space="preserve">- التقارير بشأن استهداف العاملين في الصحّة.</w:t>
      </w:r>
    </w:p>
    <w:p>
      <w:pPr>
        <w:bidi/>
        <w:spacing w:after="160"/>
        <w:jc w:val="start"/>
      </w:pPr>
      <w:r>
        <w:rPr>
          <w:sz w:val="24"/>
          <w:szCs w:val="24"/>
          <w:rtl/>
        </w:rPr>
        <w:t xml:space="preserve">**اللجنة الدولية للصليب الأحمر (ICRC)**</w:t>
      </w:r>
    </w:p>
    <w:p>
      <w:pPr>
        <w:bidi/>
        <w:spacing w:after="160"/>
        <w:jc w:val="start"/>
      </w:pPr>
      <w:r>
        <w:rPr>
          <w:sz w:val="24"/>
          <w:szCs w:val="24"/>
          <w:rtl/>
        </w:rPr>
        <w:t xml:space="preserve">- بيانات بشأن الانتهاكات للقانون الإنساني الدولي، ٢٠٢٤. - التعليق الرسمي على البروتوكول الإضافي الأول لاتفاقيات جنيف، ١٩٨٧.</w:t>
      </w:r>
    </w:p>
    <w:p>
      <w:pPr>
        <w:bidi/>
        <w:spacing w:after="160"/>
        <w:jc w:val="start"/>
      </w:pPr>
      <w:r>
        <w:rPr>
          <w:sz w:val="24"/>
          <w:szCs w:val="24"/>
          <w:rtl/>
        </w:rPr>
        <w:t xml:space="preserve">**الهلال الأحمر الفلسطيني (PRCS)**</w:t>
      </w:r>
    </w:p>
    <w:p>
      <w:pPr>
        <w:bidi/>
        <w:spacing w:after="160"/>
        <w:jc w:val="start"/>
      </w:pPr>
      <w:r>
        <w:rPr>
          <w:sz w:val="24"/>
          <w:szCs w:val="24"/>
          <w:rtl/>
        </w:rPr>
        <w:t xml:space="preserve">- بيانات بشأن مقتل المسعفين والمتطوّعين.</w:t>
      </w:r>
    </w:p>
    <w:p>
      <w:pPr>
        <w:bidi/>
        <w:spacing w:after="160"/>
        <w:jc w:val="start"/>
      </w:pPr>
      <w:r>
        <w:rPr>
          <w:sz w:val="24"/>
          <w:szCs w:val="24"/>
          <w:rtl/>
        </w:rPr>
        <w:t xml:space="preserve">**Save the Children, Oxfam, CARE International**</w:t>
      </w:r>
    </w:p>
    <w:p>
      <w:pPr>
        <w:bidi/>
        <w:spacing w:after="160"/>
        <w:jc w:val="start"/>
      </w:pPr>
      <w:r>
        <w:rPr>
          <w:sz w:val="24"/>
          <w:szCs w:val="24"/>
          <w:rtl/>
        </w:rPr>
        <w:t xml:space="preserve">- البيانات المشتركة بشأن الوضع الإنساني، ٢٠٢٤.</w:t>
      </w:r>
    </w:p>
    <w:p>
      <w:pPr>
        <w:bidi/>
        <w:spacing w:after="160"/>
        <w:jc w:val="start"/>
      </w:pPr>
      <w:r>
        <w:rPr>
          <w:sz w:val="24"/>
          <w:szCs w:val="24"/>
          <w:rtl/>
        </w:rPr>
        <w:t xml:space="preserve">**Aid Worker Security Database (AWSD)**</w:t>
      </w:r>
    </w:p>
    <w:p>
      <w:pPr>
        <w:bidi/>
        <w:spacing w:after="160"/>
        <w:jc w:val="start"/>
      </w:pPr>
      <w:r>
        <w:rPr>
          <w:sz w:val="24"/>
          <w:szCs w:val="24"/>
          <w:rtl/>
        </w:rPr>
        <w:t xml:space="preserve">- التقارير السنوية:     https://aidworkersecurity.org</w:t>
      </w:r>
    </w:p>
    <w:p>
      <w:pPr>
        <w:bidi/>
        <w:spacing w:after="160"/>
        <w:jc w:val="start"/>
      </w:pPr>
      <w:r>
        <w:rPr>
          <w:sz w:val="24"/>
          <w:szCs w:val="24"/>
          <w:rtl/>
        </w:rPr>
        <w:t xml:space="preserve">---</w:t>
      </w:r>
    </w:p>
    <w:p>
      <w:pPr>
        <w:bidi/>
        <w:spacing w:after="160"/>
        <w:jc w:val="start"/>
      </w:pPr>
      <w:r>
        <w:rPr>
          <w:sz w:val="24"/>
          <w:szCs w:val="24"/>
          <w:rtl/>
        </w:rPr>
        <w:t xml:space="preserve">## سابعاً: الوثائق القانونية الأساسية</w:t>
      </w:r>
    </w:p>
    <w:p>
      <w:pPr>
        <w:bidi/>
        <w:spacing w:after="160"/>
        <w:jc w:val="start"/>
      </w:pPr>
      <w:r>
        <w:rPr>
          <w:sz w:val="24"/>
          <w:szCs w:val="24"/>
          <w:rtl/>
        </w:rPr>
        <w:t xml:space="preserve">- اتفاقيات جنيف الأربع، ١٢ أغسطس ١٩٤٩. - البروتوكول الإضافي الأول لاتفاقيات جنيف، ١٩٧٧. - اتفاقية منع جريمة الإبادة الجماعية والمعاقبة عليها، ١٩٤٨. - اتفاقية الأمم المتحدة لعدم تقادم جرائم الحرب والجرائم ضدّ الإنسانية، ١٩٦٨. - نظام روما الأساسي للمحكمة الجنائية الدولية، ١٩٩٨. - اتفاقية حقوق الطفل، ١٩٨٩. - العهد الدولي للحقوق المدنية والسياسية، ١٩٦٦.</w:t>
      </w:r>
    </w:p>
    <w:p>
      <w:pPr>
        <w:bidi/>
        <w:spacing w:after="160"/>
        <w:jc w:val="start"/>
      </w:pPr>
      <w:r>
        <w:rPr>
          <w:sz w:val="24"/>
          <w:szCs w:val="24"/>
          <w:rtl/>
        </w:rPr>
        <w:t xml:space="preserve">---</w:t>
      </w:r>
    </w:p>
    <w:p>
      <w:pPr>
        <w:bidi/>
        <w:spacing w:after="160"/>
        <w:jc w:val="start"/>
      </w:pPr>
      <w:r>
        <w:rPr>
          <w:sz w:val="24"/>
          <w:szCs w:val="24"/>
          <w:rtl/>
        </w:rPr>
        <w:t xml:space="preserve">## ثامناً: الدراسات الأكاديمية والقانونية</w:t>
      </w:r>
    </w:p>
    <w:p>
      <w:pPr>
        <w:bidi/>
        <w:spacing w:after="160"/>
        <w:jc w:val="start"/>
      </w:pPr>
      <w:r>
        <w:rPr>
          <w:sz w:val="24"/>
          <w:szCs w:val="24"/>
          <w:rtl/>
        </w:rPr>
        <w:t xml:space="preserve">- Journal of International Criminal Justice، أعداد ٢٠٢٤–٢٠٢٥. - Harvard Law Review، مقالات بشأن قانون النزاعات المسلّحة، ٢٠٢٤. - Yale Journal of International Law، تقارير بشأن المحكمة الجنائية الدولية. - Just Security (مدوّنة قانونية مرتبطة بكلية القانون في جامعة نيويورك):     https://www.justsecurity.org - Lieber Institute (West Point Academy)، تحليلات قانون النزاعات المسلّحة.</w:t>
      </w:r>
    </w:p>
    <w:p>
      <w:pPr>
        <w:bidi/>
        <w:spacing w:after="160"/>
        <w:jc w:val="start"/>
      </w:pPr>
      <w:r>
        <w:rPr>
          <w:sz w:val="24"/>
          <w:szCs w:val="24"/>
          <w:rtl/>
        </w:rPr>
        <w:t xml:space="preserve">---</w:t>
      </w:r>
    </w:p>
    <w:p>
      <w:pPr>
        <w:bidi/>
        <w:spacing w:after="160"/>
        <w:jc w:val="start"/>
      </w:pPr>
      <w:r>
        <w:rPr>
          <w:sz w:val="24"/>
          <w:szCs w:val="24"/>
          <w:rtl/>
        </w:rPr>
        <w:t xml:space="preserve">## تاسعاً: قواعد البيانات والمنصّات المتخصّصة</w:t>
      </w:r>
    </w:p>
    <w:p>
      <w:pPr>
        <w:bidi/>
        <w:spacing w:after="160"/>
        <w:jc w:val="start"/>
      </w:pPr>
      <w:r>
        <w:rPr>
          <w:sz w:val="24"/>
          <w:szCs w:val="24"/>
          <w:rtl/>
        </w:rPr>
        <w:t xml:space="preserve">- ACLED (Armed Conflict Location &amp; Event Data):     https://acleddata.com - NetBlocks (مراقبة انقطاعات الإنترنت):     https://netblocks.org - AccessNow:     https://www.accessnow.org - Bellingcat (التحقيق المفتوح المصدر):     https://www.bellingcat.com</w:t>
      </w:r>
    </w:p>
    <w:p>
      <w:pPr>
        <w:bidi/>
        <w:spacing w:after="160"/>
        <w:jc w:val="start"/>
      </w:pPr>
      <w:r>
        <w:rPr>
          <w:sz w:val="24"/>
          <w:szCs w:val="24"/>
          <w:rtl/>
        </w:rPr>
        <w:t xml:space="preserve">---</w:t>
      </w:r>
    </w:p>
    <w:p>
      <w:pPr>
        <w:bidi/>
        <w:spacing w:after="160"/>
        <w:jc w:val="start"/>
      </w:pPr>
      <w:r>
        <w:rPr>
          <w:sz w:val="24"/>
          <w:szCs w:val="24"/>
          <w:rtl/>
        </w:rPr>
        <w:t xml:space="preserve">## عاشراً: المراجع التاريخية للمقارنة</w:t>
      </w:r>
    </w:p>
    <w:p>
      <w:pPr>
        <w:bidi/>
        <w:spacing w:after="160"/>
        <w:jc w:val="start"/>
      </w:pPr>
      <w:r>
        <w:rPr>
          <w:sz w:val="24"/>
          <w:szCs w:val="24"/>
          <w:rtl/>
        </w:rPr>
        <w:t xml:space="preserve">- CPJ Database, Iraq Coverage 2003–2011. - CPJ Database, Syria Coverage 2011–2024. - Newseum Archive (الأرشيف التاريخي للصحافة). - ICTY Documents Archive: مجمل وثائق محكمة يوغوسلافيا. - ICTR Documents Archive: مجمل وثائق محكمة رواندا.</w:t>
      </w:r>
    </w:p>
    <w:p>
      <w:pPr>
        <w:bidi/>
        <w:spacing w:after="160"/>
        <w:jc w:val="start"/>
      </w:pPr>
      <w:r>
        <w:rPr>
          <w:sz w:val="24"/>
          <w:szCs w:val="24"/>
          <w:rtl/>
        </w:rPr>
        <w:t xml:space="preserve">---</w:t>
      </w:r>
    </w:p>
    <w:p>
      <w:pPr>
        <w:bidi/>
        <w:spacing w:after="160"/>
        <w:jc w:val="start"/>
      </w:pPr>
      <w:r>
        <w:rPr>
          <w:sz w:val="24"/>
          <w:szCs w:val="24"/>
          <w:rtl/>
        </w:rPr>
        <w:t xml:space="preserve">## ملاحظة ختامية</w:t>
      </w:r>
    </w:p>
    <w:p>
      <w:pPr>
        <w:bidi/>
        <w:spacing w:after="160"/>
        <w:jc w:val="start"/>
      </w:pPr>
      <w:r>
        <w:rPr>
          <w:sz w:val="24"/>
          <w:szCs w:val="24"/>
          <w:rtl/>
        </w:rPr>
        <w:t xml:space="preserve">كل المراجع المُدرَجة أعلاه يمكن الوصول إليها علناً عبر الإنترنت باستثناء ما هو محفوظ في أرشيفات تحتاج إلى اشتراك أكاديمي. الباحث الجادّ سيجد فيها مادّة تكفي لعقود من البحث المتخصّص. وإن كان من شأن هذا الكتاب أن يُسهم في توجيه باحث واحد إلى مصدر واحد جديد لم يكن قد سمع به، فإنه قد حقّق غايته.</w:t>
      </w:r>
    </w:p>
    <w:p>
      <w:pPr>
        <w:bidi/>
        <w:spacing w:after="160"/>
        <w:jc w:val="start"/>
      </w:pPr>
      <w:r>
        <w:rPr>
          <w:sz w:val="24"/>
          <w:szCs w:val="24"/>
          <w:rtl/>
        </w:rPr>
        <w:t xml:space="preserve">المسؤولية في تحديث هذه القوائم تقع على عاتق الجيل القادم من الباحثين العرب. وعلى الله قصد السبيل.</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Chapter 1: The Last Witness — Who Documents War?</w:t>
      </w:r>
    </w:p>
    <w:p>
      <w:pPr>
        <w:spacing w:after="160"/>
        <w:jc w:val="left"/>
      </w:pPr>
      <w:r>
        <w:rPr>
          <w:sz w:val="22"/>
          <w:szCs w:val="22"/>
        </w:rPr>
        <w:t xml:space="preserve">&gt; "Think not that God is unaware of what the wrongdoers do. He only defers them to a Day when eyes shall stare." — Qur'an 14:42</w:t>
      </w:r>
    </w:p>
    <w:p>
      <w:pPr>
        <w:spacing w:after="160"/>
        <w:jc w:val="left"/>
      </w:pPr>
      <w:r>
        <w:rPr>
          <w:sz w:val="22"/>
          <w:szCs w:val="22"/>
        </w:rPr>
        <w:t xml:space="preserve">## The Journalist as a Legal Witness</w:t>
      </w:r>
    </w:p>
    <w:p>
      <w:pPr>
        <w:spacing w:after="160"/>
        <w:jc w:val="left"/>
      </w:pPr>
      <w:r>
        <w:rPr>
          <w:sz w:val="22"/>
          <w:szCs w:val="22"/>
        </w:rPr>
        <w:t xml:space="preserve">In international humanitarian law, the journalist is not a party to the conflict. The journalist is a civilian carrying a camera, a notebook, or a phone, moving within a theatre in which no party has the right to target them. This legal position was not granted to the press out of generosity; it is a structural necessity within the international protection regime itself. The law that prohibits the targeting of civilians needs someone to document any violation of it — otherwise, the rules of The Hague and Geneva become ink on paper.</w:t>
      </w:r>
    </w:p>
    <w:p>
      <w:pPr>
        <w:spacing w:after="160"/>
        <w:jc w:val="left"/>
      </w:pPr>
      <w:r>
        <w:rPr>
          <w:sz w:val="22"/>
          <w:szCs w:val="22"/>
        </w:rPr>
        <w:t xml:space="preserve">Article 79 of the First Additional Protocol to the Geneva Conventions, adopted in 1977, stipulates that journalists engaged in dangerous professional missions in areas of armed conflict shall be considered civilians within the meaning of Article 50(1) (ICRC Commentary on Article 79, 1987). This means that the legal protection of a journalist is equivalent to that of any civilian, and that the deliberate targeting of a journalist constitutes a war crime under the Rome Statute of the International Criminal Court (Article 8(2)(b)(i), 1998).</w:t>
      </w:r>
    </w:p>
    <w:p>
      <w:pPr>
        <w:spacing w:after="160"/>
        <w:jc w:val="left"/>
      </w:pPr>
      <w:r>
        <w:rPr>
          <w:sz w:val="22"/>
          <w:szCs w:val="22"/>
        </w:rPr>
        <w:t xml:space="preserve">But the operational reality is deeper than the text. A journalist in a war zone is not just a civilian who happens to work in journalism; the journalist is the witness who connects the field to the conscience of the world. When a journalist is killed, the possibility of the world knowing what happened is killed with them. This understanding led international organizations, beginning in the 1990s, to treat the killing of journalists as a composite indicator: an indicator of a legal violation, and simultaneously an indicator of an intent to escape accountability.</w:t>
      </w:r>
    </w:p>
    <w:p>
      <w:pPr>
        <w:spacing w:after="160"/>
        <w:jc w:val="left"/>
      </w:pPr>
      <w:r>
        <w:rPr>
          <w:sz w:val="22"/>
          <w:szCs w:val="22"/>
        </w:rPr>
        <w:t xml:space="preserve">## What Is "Witness Journalism"?</w:t>
      </w:r>
    </w:p>
    <w:p>
      <w:pPr>
        <w:spacing w:after="160"/>
        <w:jc w:val="left"/>
      </w:pPr>
      <w:r>
        <w:rPr>
          <w:sz w:val="22"/>
          <w:szCs w:val="22"/>
        </w:rPr>
        <w:t xml:space="preserve">In the literature of the Committee to Protect Journalists (CPJ) and Reporters Without Borders (RSF), the phrase "witness journalism" recurs. It is not a sentimental term, but a professional descriptor of a specific journalistic mode: staying in the field when others leave, documenting what others refuse to document, photographing the body, the hospital, the collapsed school — even when paying for that documentation with one's life. These journalists do not cover "today's news"; they write the first draft of history.</w:t>
      </w:r>
    </w:p>
    <w:p>
      <w:pPr>
        <w:spacing w:after="160"/>
        <w:jc w:val="left"/>
      </w:pPr>
      <w:r>
        <w:rPr>
          <w:sz w:val="22"/>
          <w:szCs w:val="22"/>
        </w:rPr>
        <w:t xml:space="preserve">In Gaza since October 7, 2023, "witness journalism" has shifted from an academic phrase to a daily description of what hundreds of Palestinian journalists actually do. No foreign correspondent enters the Strip freely — we will detail this in Chapter 8 — and Palestinian journalists have become the world's only eyes on what unfolds within an area of less than 365 square kilometers under daily bombardment and repeated displacement.</w:t>
      </w:r>
    </w:p>
    <w:p>
      <w:pPr>
        <w:spacing w:after="160"/>
        <w:jc w:val="left"/>
      </w:pPr>
      <w:r>
        <w:rPr>
          <w:sz w:val="22"/>
          <w:szCs w:val="22"/>
        </w:rPr>
        <w:t xml:space="preserve">## Before October 7: Gaza Was Already Among the Most Dangerous for Press</w:t>
      </w:r>
    </w:p>
    <w:p>
      <w:pPr>
        <w:spacing w:after="160"/>
        <w:jc w:val="left"/>
      </w:pPr>
      <w:r>
        <w:rPr>
          <w:sz w:val="22"/>
          <w:szCs w:val="22"/>
        </w:rPr>
        <w:t xml:space="preserve">It is important to establish a precise picture of the pre-war situation, so that what has happened since October 2023 does not appear as a sudden exception in an otherwise safe location. CPJ has documented since 1992 the deaths of dozens of journalists in the Palestinian territories, most of them in Gaza. Prior to 2023, the organization had recorded three recurring patterns: the bombing of buildings containing major media offices (such as the Al-Jalaa Tower in 2021, which housed Associated Press and Al Jazeera offices); the wounding of journalists who clearly wore "PRESS" identification; and legal campaigns against Palestinian journalists, including administrative detention and travel bans (CPJ "Deadly Pattern" Report, 2023).</w:t>
      </w:r>
    </w:p>
    <w:p>
      <w:pPr>
        <w:spacing w:after="160"/>
        <w:jc w:val="left"/>
      </w:pPr>
      <w:r>
        <w:rPr>
          <w:sz w:val="22"/>
          <w:szCs w:val="22"/>
        </w:rPr>
        <w:t xml:space="preserve">The press corps in Gaza before October 2023 was structured in three layers: local Palestinian journalists working for Palestinian news agencies and local television channels; Palestinian journalists working as correspondents, producers, or photographers for international outlets such as Reuters, Agence France-Presse, Al Jazeera, BBC, and CNN; and a thin layer of foreign correspondents who entered with difficulty through the Erez crossing in coordination with COGAT (the Israeli Coordinator of Government Activities in the Territories). The first two categories have borne the entire burden since October 7, when the Erez crossing was closed and never reopened to independent foreign journalism.</w:t>
      </w:r>
    </w:p>
    <w:p>
      <w:pPr>
        <w:spacing w:after="160"/>
        <w:jc w:val="left"/>
      </w:pPr>
      <w:r>
        <w:rPr>
          <w:sz w:val="22"/>
          <w:szCs w:val="22"/>
        </w:rPr>
        <w:t xml:space="preserve">## The Legal Umbrella: What Do the Geneva Conventions Protect?</w:t>
      </w:r>
    </w:p>
    <w:p>
      <w:pPr>
        <w:spacing w:after="160"/>
        <w:jc w:val="left"/>
      </w:pPr>
      <w:r>
        <w:rPr>
          <w:sz w:val="22"/>
          <w:szCs w:val="22"/>
        </w:rPr>
        <w:t xml:space="preserve">The First Additional Protocol to the Geneva Conventions, ratified by more than 170 states, contains a series of provisions that together form the legal protective umbrella for the journalist:</w:t>
      </w:r>
    </w:p>
    <w:p>
      <w:pPr>
        <w:spacing w:after="160"/>
        <w:jc w:val="left"/>
      </w:pPr>
      <w:r>
        <w:rPr>
          <w:sz w:val="22"/>
          <w:szCs w:val="22"/>
        </w:rPr>
        <w:t xml:space="preserve">First, the principle of distinction (Article 48): parties to a conflict shall at all times distinguish between civilian population and combatants, and between civilian objects and military objectives, and shall direct their operations only against military objectives.</w:t>
      </w:r>
    </w:p>
    <w:p>
      <w:pPr>
        <w:spacing w:after="160"/>
        <w:jc w:val="left"/>
      </w:pPr>
      <w:r>
        <w:rPr>
          <w:sz w:val="22"/>
          <w:szCs w:val="22"/>
        </w:rPr>
        <w:t xml:space="preserve">Second, the principle of proportionality (Article 51(5)(b)): it is prohibited to launch an attack that may be expected to cause incidental loss of civilian life that would be excessive in relation to the concrete and direct military advantage anticipated.</w:t>
      </w:r>
    </w:p>
    <w:p>
      <w:pPr>
        <w:spacing w:after="160"/>
        <w:jc w:val="left"/>
      </w:pPr>
      <w:r>
        <w:rPr>
          <w:sz w:val="22"/>
          <w:szCs w:val="22"/>
        </w:rPr>
        <w:t xml:space="preserve">Third, the principle of precautions (Article 57): parties must take all feasible precautions to avoid civilian casualties, including verifying the nature of the target, choosing means and methods of attack that minimize civilian losses, and cancelling or suspending an attack if it becomes apparent that the target is civilian.</w:t>
      </w:r>
    </w:p>
    <w:p>
      <w:pPr>
        <w:spacing w:after="160"/>
        <w:jc w:val="left"/>
      </w:pPr>
      <w:r>
        <w:rPr>
          <w:sz w:val="22"/>
          <w:szCs w:val="22"/>
        </w:rPr>
        <w:t xml:space="preserve">Fourth, the special protection of journalists (Article 79): journalists are civilians, and any additional protection accorded to them does not diminish their original civilian protection.</w:t>
      </w:r>
    </w:p>
    <w:p>
      <w:pPr>
        <w:spacing w:after="160"/>
        <w:jc w:val="left"/>
      </w:pPr>
      <w:r>
        <w:rPr>
          <w:sz w:val="22"/>
          <w:szCs w:val="22"/>
        </w:rPr>
        <w:t xml:space="preserve">Fifth, the protection of civilian objects (Article 52): civilian objects shall not be the object of attack, and this includes media offices and journalists' homes.</w:t>
      </w:r>
    </w:p>
    <w:p>
      <w:pPr>
        <w:spacing w:after="160"/>
        <w:jc w:val="left"/>
      </w:pPr>
      <w:r>
        <w:rPr>
          <w:sz w:val="22"/>
          <w:szCs w:val="22"/>
        </w:rPr>
        <w:t xml:space="preserve">The combination of these provisions means that killing a civilian journalist in a conflict zone — if it is intentional or results from gross negligence in applying the principle of precaution — constitutes a war crime subject to individual criminal prosecution. This framework is the basis upon which subsequent International Court of Justice investigations and the warrant applications by the International Criminal Court Prosecutor rest, as we shall see in Chapters 6 and 10.</w:t>
      </w:r>
    </w:p>
    <w:p>
      <w:pPr>
        <w:spacing w:after="160"/>
        <w:jc w:val="left"/>
      </w:pPr>
      <w:r>
        <w:rPr>
          <w:sz w:val="22"/>
          <w:szCs w:val="22"/>
        </w:rPr>
        <w:t xml:space="preserve">## The Journalist as a "Preventive Target"</w:t>
      </w:r>
    </w:p>
    <w:p>
      <w:pPr>
        <w:spacing w:after="160"/>
        <w:jc w:val="left"/>
      </w:pPr>
      <w:r>
        <w:rPr>
          <w:sz w:val="22"/>
          <w:szCs w:val="22"/>
        </w:rPr>
        <w:t xml:space="preserve">There is an implicit logic in every armed conflict regarding the press: the side losing the battle of images tends to attempt to remove images from the equation. This logic is not new and not unique to any one conflict. The organization Article 19 documented in its 2022 report that 87 states had conducted systematic campaigns over the past decade to restrict independent documentation in conflict zones or protests. But "restriction" is one thing; "direct field targeting" is another. What makes the situation in Gaza distinct, as we shall see in Chapter 2 through the numbers and Chapter 9 through historical comparison, is that the pattern of targeting goes beyond restriction to what monitoring organizations describe as "systematic targeting" that includes the journalist, their family, and their office.</w:t>
      </w:r>
    </w:p>
    <w:p>
      <w:pPr>
        <w:spacing w:after="160"/>
        <w:jc w:val="left"/>
      </w:pPr>
      <w:r>
        <w:rPr>
          <w:sz w:val="22"/>
          <w:szCs w:val="22"/>
        </w:rPr>
        <w:t xml:space="preserve">## The Absence of the Witness Means the Absence of the Law</w:t>
      </w:r>
    </w:p>
    <w:p>
      <w:pPr>
        <w:spacing w:after="160"/>
        <w:jc w:val="left"/>
      </w:pPr>
      <w:r>
        <w:rPr>
          <w:sz w:val="22"/>
          <w:szCs w:val="22"/>
        </w:rPr>
        <w:t xml:space="preserve">When hundreds of journalists are killed in a single conflict, the issue cannot be reduced to the number of victims — however grave — but extends further: the capacity of the international legal system to describe reality at the outset, and to hold perpetrators accountable in the end, is itself diminished. The absence of the witness is not just the loss of information; it is the loss of one of the law's preconditions. The judge needs testimony, the court needs evidence, and public opinion needs imagery. When cameras are killed, the field becomes a dark zone, and the perpetrator becomes the sole narrator of what happened.</w:t>
      </w:r>
    </w:p>
    <w:p>
      <w:pPr>
        <w:spacing w:after="160"/>
        <w:jc w:val="left"/>
      </w:pPr>
      <w:r>
        <w:rPr>
          <w:sz w:val="22"/>
          <w:szCs w:val="22"/>
        </w:rPr>
        <w:t xml:space="preserve">This book attempts to resist that darkness through documentation. It does not claim to be "the full truth" — most field investigations remain ongoing, and most figures we will cite in the following chapters are subject to upward revision with each passing week. But it records what has been documented so far by the most cautious and professional organizations in this field: the Committee to Protect Journalists, Reporters Without Borders, the UN Office for the Coordination of Humanitarian Affairs, Human Rights Watch, and Amnesty International. When this book presents a figure, it names its source. When the figure is contested, it says so plainly.</w:t>
      </w:r>
    </w:p>
    <w:p>
      <w:pPr>
        <w:spacing w:after="160"/>
        <w:jc w:val="left"/>
      </w:pPr>
      <w:r>
        <w:rPr>
          <w:sz w:val="22"/>
          <w:szCs w:val="22"/>
        </w:rPr>
        <w:t xml:space="preserve">## The Structure of This Book</w:t>
      </w:r>
    </w:p>
    <w:p>
      <w:pPr>
        <w:spacing w:after="160"/>
        <w:jc w:val="left"/>
      </w:pPr>
      <w:r>
        <w:rPr>
          <w:sz w:val="22"/>
          <w:szCs w:val="22"/>
        </w:rPr>
        <w:t xml:space="preserve">The investigation will proceed from the general framework to the specific, then return to the framework again. Chapter 2 will present the numbers as documented by each of the major organizations, with historical comparisons. Chapter 3 will cite specific names, because names — as the opening line of the Polish national anthem reminds us — are what endures. Chapter 4 addresses humanitarian workers, who fall legally under a parallel protective umbrella. Chapter 5 widens to the broader civil society: lawyers, doctors, academics. Chapter 6 enters the most difficult question: when is an act "intentional" in the legal sense? Chapter 7 reviews independent investigations published to date. Chapter 8 examines the phenomenon of media access denial. Chapter 9 places Gaza in comparative historical context. Chapter 10 examines the international legal and political response. Chapter 11 closes with reflection on memory and responsibility.</w:t>
      </w:r>
    </w:p>
    <w:p>
      <w:pPr>
        <w:spacing w:after="160"/>
        <w:jc w:val="left"/>
      </w:pPr>
      <w:r>
        <w:rPr>
          <w:sz w:val="22"/>
          <w:szCs w:val="22"/>
        </w:rPr>
        <w:t xml:space="preserve">Our method in each chapter is the same: we will not claim knowledge we do not have, nor will we silence what the international organizations' numbers have established. We begin where the available documentation ended, and we map the gaps for those who come after us, to complete what we could not complete. And God is the ultimate witness to all intention.</w:t>
      </w:r>
    </w:p>
    <w:p>
      <w:r>
        <w:br w:type="page"/>
      </w:r>
    </w:p>
    <w:p>
      <w:pPr>
        <w:spacing w:after="360" w:before="600"/>
        <w:jc w:val="center"/>
      </w:pPr>
      <w:r>
        <w:rPr>
          <w:b/>
          <w:bCs/>
          <w:color w:val="1B3A5C"/>
          <w:sz w:val="36"/>
          <w:szCs w:val="36"/>
        </w:rPr>
        <w:t xml:space="preserve">Chapter 2: The Numbers — Documented Statistics</w:t>
      </w:r>
    </w:p>
    <w:p>
      <w:pPr>
        <w:spacing w:after="160"/>
        <w:jc w:val="left"/>
      </w:pPr>
      <w:r>
        <w:rPr>
          <w:sz w:val="22"/>
          <w:szCs w:val="22"/>
        </w:rPr>
        <w:t xml:space="preserve">&gt; "And whoever kills a believer intentionally, his recompense is Hell, wherein he shall abide forever; the wrath and curse of God shall be upon him, and a tremendous punishment is prepared for him." — Qur'an 4:93</w:t>
      </w:r>
    </w:p>
    <w:p>
      <w:pPr>
        <w:spacing w:after="160"/>
        <w:jc w:val="left"/>
      </w:pPr>
      <w:r>
        <w:rPr>
          <w:sz w:val="22"/>
          <w:szCs w:val="22"/>
        </w:rPr>
        <w:t xml:space="preserve">## The Number Without Precedent</w:t>
      </w:r>
    </w:p>
    <w:p>
      <w:pPr>
        <w:spacing w:after="160"/>
        <w:jc w:val="left"/>
      </w:pPr>
      <w:r>
        <w:rPr>
          <w:sz w:val="22"/>
          <w:szCs w:val="22"/>
        </w:rPr>
        <w:t xml:space="preserve">In CPJ's running tally published in its periodic reports through mid-2025, the number of journalists and media workers killed in Gaza since October 7, 2023, exceeded approximately 137 (CPJ, "Journalist Casualties in the Israel-Gaza War," last updated 2025). This figure includes those who meet CPJ's stringent verification criteria, which we will examine later in this chapter. The organization, which has been tracking journalist deaths since 1992, has stated that this conflict is the deadliest for journalists in its entire documented history.</w:t>
      </w:r>
    </w:p>
    <w:p>
      <w:pPr>
        <w:spacing w:after="160"/>
        <w:jc w:val="left"/>
      </w:pPr>
      <w:r>
        <w:rPr>
          <w:sz w:val="22"/>
          <w:szCs w:val="22"/>
        </w:rPr>
        <w:t xml:space="preserve">Reporters Without Borders (RSF), which uses a slightly different methodology and includes some cases that CPJ does not include, recorded a figure exceeding 150 deaths among journalists during the same period (RSF, "Round-up 2024" Report). The difference between the two figures does not reflect a substantive disagreement, but rather a difference in definition: who counts as a "professional journalist"? Who counts as a "media worker" in the broader sense that includes photographers, technicians, and media drivers?</w:t>
      </w:r>
    </w:p>
    <w:p>
      <w:pPr>
        <w:spacing w:after="160"/>
        <w:jc w:val="left"/>
      </w:pPr>
      <w:r>
        <w:rPr>
          <w:sz w:val="22"/>
          <w:szCs w:val="22"/>
        </w:rPr>
        <w:t xml:space="preserve">## What Makes a Number "Documented"?</w:t>
      </w:r>
    </w:p>
    <w:p>
      <w:pPr>
        <w:spacing w:after="160"/>
        <w:jc w:val="left"/>
      </w:pPr>
      <w:r>
        <w:rPr>
          <w:sz w:val="22"/>
          <w:szCs w:val="22"/>
        </w:rPr>
        <w:t xml:space="preserve">To understand the weight of the numbers we engage with in this book, it is essential to understand the documentation methodology that CPJ follows. The organization does not add any name to its list merely upon receiving a report of death. The procedure published openly on its website requires the following:</w:t>
      </w:r>
    </w:p>
    <w:p>
      <w:pPr>
        <w:spacing w:after="160"/>
        <w:jc w:val="left"/>
      </w:pPr>
      <w:r>
        <w:rPr>
          <w:sz w:val="22"/>
          <w:szCs w:val="22"/>
        </w:rPr>
        <w:t xml:space="preserve">First, verification of the victim's identity as a journalist. This includes correspondents, editors, photographers, producers, anchors, video bloggers, and documentary filmmakers. The list does not include those engaged in purely administrative roles within media institutions.</w:t>
      </w:r>
    </w:p>
    <w:p>
      <w:pPr>
        <w:spacing w:after="160"/>
        <w:jc w:val="left"/>
      </w:pPr>
      <w:r>
        <w:rPr>
          <w:sz w:val="22"/>
          <w:szCs w:val="22"/>
        </w:rPr>
        <w:t xml:space="preserve">Second, verification of the direct connection between the death and journalistic work. CPJ classifies a death as "work-related" if the journalist was killed within one of the following patterns: direct targeting because of their work, crossfire while covering events, or a dangerous assignment (covering a protest, bombing, or raid).</w:t>
      </w:r>
    </w:p>
    <w:p>
      <w:pPr>
        <w:spacing w:after="160"/>
        <w:jc w:val="left"/>
      </w:pPr>
      <w:r>
        <w:rPr>
          <w:sz w:val="22"/>
          <w:szCs w:val="22"/>
        </w:rPr>
        <w:t xml:space="preserve">Third, the availability of at least two independent sources for each case: a professional source (media institution or journalists' union) and a field source (witness or local organization report).</w:t>
      </w:r>
    </w:p>
    <w:p>
      <w:pPr>
        <w:spacing w:after="160"/>
        <w:jc w:val="left"/>
      </w:pPr>
      <w:r>
        <w:rPr>
          <w:sz w:val="22"/>
          <w:szCs w:val="22"/>
        </w:rPr>
        <w:t xml:space="preserve">Fourth, separate classification of cases where the connection between death and journalistic work is "unconfirmed," which are placed in a special section until evidence is complete.</w:t>
      </w:r>
    </w:p>
    <w:p>
      <w:pPr>
        <w:spacing w:after="160"/>
        <w:jc w:val="left"/>
      </w:pPr>
      <w:r>
        <w:rPr>
          <w:sz w:val="22"/>
          <w:szCs w:val="22"/>
        </w:rPr>
        <w:t xml:space="preserve">This procedure means that the CPJ figure is generally a "lower bound" rather than an upper bound. The figures circulated by the Palestinian Journalists Syndicate, which does not operate with the same procedural conditions, exceed 220 journalists (Palestinian Journalists Syndicate, official data 2025). The distinction here is essential for the reader interested in accuracy: the lower documented international figure (137+) is more methodologically rigorous, but the higher Palestinian figure may be closer to the actual ground reality pending complete investigations.</w:t>
      </w:r>
    </w:p>
    <w:p>
      <w:pPr>
        <w:spacing w:after="160"/>
        <w:jc w:val="left"/>
      </w:pPr>
      <w:r>
        <w:rPr>
          <w:sz w:val="22"/>
          <w:szCs w:val="22"/>
        </w:rPr>
        <w:t xml:space="preserve">## Historical Comparison Numbers</w:t>
      </w:r>
    </w:p>
    <w:p>
      <w:pPr>
        <w:spacing w:after="160"/>
        <w:jc w:val="left"/>
      </w:pPr>
      <w:r>
        <w:rPr>
          <w:sz w:val="22"/>
          <w:szCs w:val="22"/>
        </w:rPr>
        <w:t xml:space="preserve">There is no way to understand the exceptionality of Gaza without placing it on a historical scale. CPJ has maintained an archive since 1992. The figures it makes available on its site include:</w:t>
      </w:r>
    </w:p>
    <w:p>
      <w:pPr>
        <w:spacing w:after="160"/>
        <w:jc w:val="left"/>
      </w:pPr>
      <w:r>
        <w:rPr>
          <w:sz w:val="22"/>
          <w:szCs w:val="22"/>
        </w:rPr>
        <w:t xml:space="preserve">- The Vietnam War (partially documented period, as it began before CPJ's establishment): approximately 66 journalists killed over more than two decades of conflict (secondary sources, including the former Newseum). - The Iraq War (2003–2011, with extensions): CPJ documented 230 journalists killed during the peak period, which was considered until 2023 the highest toll in any single conflict (CPJ Annual Reports 2003–2011). - The Syrian conflict (2011–2024): 155 journalists killed over more than a decade and a half (CPJ, "Syria Journalist Casualties"). - The Mexican drug war (2006–ongoing): one of the most dangerous contexts for journalism, with deaths ranging between 5 and 10 journalists annually.</w:t>
      </w:r>
    </w:p>
    <w:p>
      <w:pPr>
        <w:spacing w:after="160"/>
        <w:jc w:val="left"/>
      </w:pPr>
      <w:r>
        <w:rPr>
          <w:sz w:val="22"/>
          <w:szCs w:val="22"/>
        </w:rPr>
        <w:t xml:space="preserve">Place Gaza (137+ journalists in 18–20 months) against these figures, and you find that the monthly rate in Gaza exceeds any prior conflict CPJ has recorded. The Iraq War, which had been the historical benchmark for journalistic danger, lost roughly one journalist per month at its peak. Gaza has lost an average of between 7 and 10 journalists per month. This difference is not merely a quantitative difference in proportion; it is a difference in the statistical nature of the phenomenon itself.</w:t>
      </w:r>
    </w:p>
    <w:p>
      <w:pPr>
        <w:spacing w:after="160"/>
        <w:jc w:val="left"/>
      </w:pPr>
      <w:r>
        <w:rPr>
          <w:sz w:val="22"/>
          <w:szCs w:val="22"/>
        </w:rPr>
        <w:t xml:space="preserve">## Humanitarian Workers: The UN Tally</w:t>
      </w:r>
    </w:p>
    <w:p>
      <w:pPr>
        <w:spacing w:after="160"/>
        <w:jc w:val="left"/>
      </w:pPr>
      <w:r>
        <w:rPr>
          <w:sz w:val="22"/>
          <w:szCs w:val="22"/>
        </w:rPr>
        <w:t xml:space="preserve">Documentation here moves under a slightly different legal umbrella, but it serves the book's argument from the angle that civilians working in humanitarian fields are also under the protection of international humanitarian law. The figures from the UN Office for the Coordination of Humanitarian Affairs (UN OCHA) and the United Nations Relief and Works Agency (UNRWA) are regularly available:</w:t>
      </w:r>
    </w:p>
    <w:p>
      <w:pPr>
        <w:spacing w:after="160"/>
        <w:jc w:val="left"/>
      </w:pPr>
      <w:r>
        <w:rPr>
          <w:sz w:val="22"/>
          <w:szCs w:val="22"/>
        </w:rPr>
        <w:t xml:space="preserve">- UN staff fatalities (primarily UNRWA): exceeded 260 staff members since October 7, 2023, and UN Secretary-General António Guterres described this figure as "the highest number of UN personnel killed in any conflict in the history of the organization" (UN Press, statement February 2024). - Total humanitarian worker fatalities (UN OCHA): exceeded 300 humanitarian workers, including those working in UN agencies and international organizations such as Médecins Sans Frontières, the Red Cross, and World Central Kitchen (OCHA, "Aid Worker Fatalities"). - The number of incidents targeting humanitarian facilities documented by OCHA: exceeded 400 incidents of bombing or shooting affecting schools, hospitals, and distribution facilities belonging to relief agencies (OCHA, "Humanitarian Access Reports," 2024).</w:t>
      </w:r>
    </w:p>
    <w:p>
      <w:pPr>
        <w:spacing w:after="160"/>
        <w:jc w:val="left"/>
      </w:pPr>
      <w:r>
        <w:rPr>
          <w:sz w:val="22"/>
          <w:szCs w:val="22"/>
        </w:rPr>
        <w:t xml:space="preserve">Within these figures, one particular case will be addressed in a later chapter: the strike on the World Central Kitchen (WCK) convoy on April 1, 2024, in which seven humanitarian workers were killed despite advance and explicit coordination with the Israeli Defense Forces. The statistical importance of this incident lies not in the number of victims, but in the clarity of the parameters: the route was approved, the vehicles were marked with clear WCK logos, and the coordination was documented through text messages. When humanitarian workers are killed under these circumstances, the statistic itself becomes a legal document.</w:t>
      </w:r>
    </w:p>
    <w:p>
      <w:pPr>
        <w:spacing w:after="160"/>
        <w:jc w:val="left"/>
      </w:pPr>
      <w:r>
        <w:rPr>
          <w:sz w:val="22"/>
          <w:szCs w:val="22"/>
        </w:rPr>
        <w:t xml:space="preserve">## CPJ's Targeting Classification Standards</w:t>
      </w:r>
    </w:p>
    <w:p>
      <w:pPr>
        <w:spacing w:after="160"/>
        <w:jc w:val="left"/>
      </w:pPr>
      <w:r>
        <w:rPr>
          <w:sz w:val="22"/>
          <w:szCs w:val="22"/>
        </w:rPr>
        <w:t xml:space="preserve">It is important to distinguish between three categories CPJ uses in its reports, because conflating them distorts the picture:</w:t>
      </w:r>
    </w:p>
    <w:p>
      <w:pPr>
        <w:spacing w:after="160"/>
        <w:jc w:val="left"/>
      </w:pPr>
      <w:r>
        <w:rPr>
          <w:sz w:val="22"/>
          <w:szCs w:val="22"/>
        </w:rPr>
        <w:t xml:space="preserve">1. A journalist killed in **crossfire** (Crossfire Killed): killed while covering events in an active operations zone without evidence of direct targeting because of their journalistic status.</w:t>
      </w:r>
    </w:p>
    <w:p>
      <w:pPr>
        <w:spacing w:after="160"/>
        <w:jc w:val="left"/>
      </w:pPr>
      <w:r>
        <w:rPr>
          <w:sz w:val="22"/>
          <w:szCs w:val="22"/>
        </w:rPr>
        <w:t xml:space="preserve">2. A journalist killed on a **dangerous assignment** (Dangerous Assignment): killed while covering a protest, or in an airstrike on a building containing a media office, where the connection to journalistic work exists but direct targeting has not been established.</w:t>
      </w:r>
    </w:p>
    <w:p>
      <w:pPr>
        <w:spacing w:after="160"/>
        <w:jc w:val="left"/>
      </w:pPr>
      <w:r>
        <w:rPr>
          <w:sz w:val="22"/>
          <w:szCs w:val="22"/>
        </w:rPr>
        <w:t xml:space="preserve">3. A journalist killed by **direct targeting** (Targeted Murder): evidence is available that they were targeted because of their journalistic work. This category is the most legally serious because it automatically rises to the level of a war crime under the Rome Statute.</w:t>
      </w:r>
    </w:p>
    <w:p>
      <w:pPr>
        <w:spacing w:after="160"/>
        <w:jc w:val="left"/>
      </w:pPr>
      <w:r>
        <w:rPr>
          <w:sz w:val="22"/>
          <w:szCs w:val="22"/>
        </w:rPr>
        <w:t xml:space="preserve">In Gaza, CPJ has classified a number of cases (counted in the dozens) under the second category, and a smaller number (but increasing with each new investigation) under the third. Within the third category, the case of Reuters journalist Issam Abdallah, killed in southern Lebanon on October 13, 2023, in a targeting incident documented in the field through joint investigations by Reuters, Human Rights Watch, and Amnesty International, stands out (Reuters Investigation, 2023; HRW, 2023; Amnesty International, 2023). We will detail this case in Chapter 6 as a robust legal model.</w:t>
      </w:r>
    </w:p>
    <w:p>
      <w:pPr>
        <w:spacing w:after="160"/>
        <w:jc w:val="left"/>
      </w:pPr>
      <w:r>
        <w:rPr>
          <w:sz w:val="22"/>
          <w:szCs w:val="22"/>
        </w:rPr>
        <w:t xml:space="preserve">## Targeting of Journalists' Families: An Independent Statistical Pattern</w:t>
      </w:r>
    </w:p>
    <w:p>
      <w:pPr>
        <w:spacing w:after="160"/>
        <w:jc w:val="left"/>
      </w:pPr>
      <w:r>
        <w:rPr>
          <w:sz w:val="22"/>
          <w:szCs w:val="22"/>
        </w:rPr>
        <w:t xml:space="preserve">There is a category that does not appear directly in CPJ's count but has been documented in separate reports by both the Palestinian Journalists Syndicate and CPJ: the loss of journalists' families. The most prominent documented cases are the killings of children and spouses of well-known journalists working for major media outlets, and in some cases strikes were directed at family homes after the journalist had publicly appeared in coverage embarrassing to the Israeli military authority. This pattern — if confirmed — moves the case from "individual targeting" to a pattern of "collective punishment," which is prohibited under Article 33 of the Fourth Geneva Convention.</w:t>
      </w:r>
    </w:p>
    <w:p>
      <w:pPr>
        <w:spacing w:after="160"/>
        <w:jc w:val="left"/>
      </w:pPr>
      <w:r>
        <w:rPr>
          <w:sz w:val="22"/>
          <w:szCs w:val="22"/>
        </w:rPr>
        <w:t xml:space="preserve">## What Do These Numbers Mean Statistically?</w:t>
      </w:r>
    </w:p>
    <w:p>
      <w:pPr>
        <w:spacing w:after="160"/>
        <w:jc w:val="left"/>
      </w:pPr>
      <w:r>
        <w:rPr>
          <w:sz w:val="22"/>
          <w:szCs w:val="22"/>
        </w:rPr>
        <w:t xml:space="preserve">It is important to close this chapter with a methodological note: the numbers are constantly changing. Any figure cited in this book is one that was current at the time of writing, and it is entirely expected to have risen by the time you read these lines. If you want a real-time update, the official Committee to Protect Journalists website (cpj.org) maintains a constantly updated page for this conflict, as do the weekly OCHA reports on its website (ochaopt.org).</w:t>
      </w:r>
    </w:p>
    <w:p>
      <w:pPr>
        <w:spacing w:after="160"/>
        <w:jc w:val="left"/>
      </w:pPr>
      <w:r>
        <w:rPr>
          <w:sz w:val="22"/>
          <w:szCs w:val="22"/>
        </w:rPr>
        <w:t xml:space="preserve">Nevertheless, the stability of the trend is more important than the momentary number. When every international agency, with different methodology, arrives at the same conclusion — that Gaza is the deadliest place for journalists and humanitarian workers in modern documentation history — the discussion exits the realm of "numerical dispute" and enters the realm of "documented exceptionality." This is what calls for expanding into the next chapter, into the names and faces that disappear behind the statistic.</w:t>
      </w:r>
    </w:p>
    <w:p>
      <w:r>
        <w:br w:type="page"/>
      </w:r>
    </w:p>
    <w:p>
      <w:pPr>
        <w:spacing w:after="360" w:before="600"/>
        <w:jc w:val="center"/>
      </w:pPr>
      <w:r>
        <w:rPr>
          <w:b/>
          <w:bCs/>
          <w:color w:val="1B3A5C"/>
          <w:sz w:val="36"/>
          <w:szCs w:val="36"/>
        </w:rPr>
        <w:t xml:space="preserve">Chapter 3: The Names — Who Were the Killed?</w:t>
      </w:r>
    </w:p>
    <w:p>
      <w:pPr>
        <w:spacing w:after="160"/>
        <w:jc w:val="left"/>
      </w:pPr>
      <w:r>
        <w:rPr>
          <w:sz w:val="22"/>
          <w:szCs w:val="22"/>
        </w:rPr>
        <w:t xml:space="preserve">&gt; "And do not say of those who are slain in the way of God, 'They are dead.' Nay, they are living, but you perceive it not." — Qur'an 2:154</w:t>
      </w:r>
    </w:p>
    <w:p>
      <w:pPr>
        <w:spacing w:after="160"/>
        <w:jc w:val="left"/>
      </w:pPr>
      <w:r>
        <w:rPr>
          <w:sz w:val="22"/>
          <w:szCs w:val="22"/>
        </w:rPr>
        <w:t xml:space="preserve">## Why the Names?</w:t>
      </w:r>
    </w:p>
    <w:p>
      <w:pPr>
        <w:spacing w:after="160"/>
        <w:jc w:val="left"/>
      </w:pPr>
      <w:r>
        <w:rPr>
          <w:sz w:val="22"/>
          <w:szCs w:val="22"/>
        </w:rPr>
        <w:t xml:space="preserve">On every page of this chapter you will find an insistence on invoking names. This is not repetition; it is method. Statistics blur, while names restore the human to the human. When a life is reduced to a number within a long series, its individuality is taken away. When the name is mentioned — and the family, the work, the circumstance of death — the dignity that the targeting attempts to strip is restored.</w:t>
      </w:r>
    </w:p>
    <w:p>
      <w:pPr>
        <w:spacing w:after="160"/>
        <w:jc w:val="left"/>
      </w:pPr>
      <w:r>
        <w:rPr>
          <w:sz w:val="22"/>
          <w:szCs w:val="22"/>
        </w:rPr>
        <w:t xml:space="preserve">This chapter does not claim to be exhaustive. It is impossible in a book of finite size to provide complete biographies for 137 journalists. What we provide here are exemplary files, selected because they have been thoroughly documented by independent international organizations (CPJ, RSF, HRW, Amnesty), and because they represent distinct patterns of targeting. The names we have not mentioned are no less important; they await another researcher to complete what we have not.</w:t>
      </w:r>
    </w:p>
    <w:p>
      <w:pPr>
        <w:spacing w:after="160"/>
        <w:jc w:val="left"/>
      </w:pPr>
      <w:r>
        <w:rPr>
          <w:sz w:val="22"/>
          <w:szCs w:val="22"/>
        </w:rPr>
        <w:t xml:space="preserve">## Issam Abdallah — Reuters (Lebanon, October 13, 2023)</w:t>
      </w:r>
    </w:p>
    <w:p>
      <w:pPr>
        <w:spacing w:after="160"/>
        <w:jc w:val="left"/>
      </w:pPr>
      <w:r>
        <w:rPr>
          <w:sz w:val="22"/>
          <w:szCs w:val="22"/>
        </w:rPr>
        <w:t xml:space="preserve">Although Issam Abdallah was killed in southern Lebanon and not Gaza, his case set the most important legal precedent in the early months of the conflict. A photographer for Reuters, he stood in a group of seven internationally known journalists, all wearing "PRESS" vests and helmets, at a publicly visible location on a hill near the village of Alma al-Shaab. The press vehicles were clearly marked with a large "TV" sign on their roofs, in shapes visually distinguishable from high altitudes, according to the investigation Reuters published later (Reuters Investigation, December 2023).</w:t>
      </w:r>
    </w:p>
    <w:p>
      <w:pPr>
        <w:spacing w:after="160"/>
        <w:jc w:val="left"/>
      </w:pPr>
      <w:r>
        <w:rPr>
          <w:sz w:val="22"/>
          <w:szCs w:val="22"/>
        </w:rPr>
        <w:t xml:space="preserve">At approximately 6:02 PM, a tank shell hit the group, killing Issam instantly and gravely wounding his colleague Christina Assi (Agence France-Presse), whose injuries led to the amputation of her leg. Subsequent joint investigations by Reuters, Human Rights Watch, and Amnesty International — using ammunition analysis, video review, and satellite imagery comparison — reached identical conclusions: the shell was fired from the Israeli side of the border, was a 120mm round used by Israeli armored vehicles, and the firing unit was in a position permitting direct line of sight to the press group. Both HRW and Amnesty concluded that "the evidence indicates intentional targeting" (HRW, "Lebanon: Israeli Strike Killing Reuters Journalist Apparent War Crime," December 2023).</w:t>
      </w:r>
    </w:p>
    <w:p>
      <w:pPr>
        <w:spacing w:after="160"/>
        <w:jc w:val="left"/>
      </w:pPr>
      <w:r>
        <w:rPr>
          <w:sz w:val="22"/>
          <w:szCs w:val="22"/>
        </w:rPr>
        <w:t xml:space="preserve">The importance of Issam's case is not limited to its field clarity, but lies in its being a pivotal document for establishing a legal framework for everything that followed. Reuters formally demanded an independent international investigation, and Reporters Without Borders submitted a complaint to the International Criminal Court Prosecutor in December 2023 considering Issam's killing a war crime (RSF Press Release, 2023).</w:t>
      </w:r>
    </w:p>
    <w:p>
      <w:pPr>
        <w:spacing w:after="160"/>
        <w:jc w:val="left"/>
      </w:pPr>
      <w:r>
        <w:rPr>
          <w:sz w:val="22"/>
          <w:szCs w:val="22"/>
        </w:rPr>
        <w:t xml:space="preserve">## Wael Dahdouh and His Family — Al Jazeera (Gaza)</w:t>
      </w:r>
    </w:p>
    <w:p>
      <w:pPr>
        <w:spacing w:after="160"/>
        <w:jc w:val="left"/>
      </w:pPr>
      <w:r>
        <w:rPr>
          <w:sz w:val="22"/>
          <w:szCs w:val="22"/>
        </w:rPr>
        <w:t xml:space="preserve">Anyone writing about Gaza cannot bypass the name of Wael Dahdouh, head of the Al Jazeera bureau in Gaza. Dahdouh is not a victim in the traditional sense — he still broadcasts — but a complex victim: his family was targeted. On October 25, 2023, his family home in the Nuseirat camp in the central Strip was bombed, killing his wife Amna, his son Mahmoud, his daughter Sham, and his infant grandson Adam. Then on January 7, 2024, his journalist son Hamza Dahdouh, who also worked for Al Jazeera, was killed by a strike on his car in Rafah by a drone missile, according to channel reports (Al Jazeera, 2024 reports; CPJ documentation of Hamza Dahdouh's killing). Hamza was 25 years old.</w:t>
      </w:r>
    </w:p>
    <w:p>
      <w:pPr>
        <w:spacing w:after="160"/>
        <w:jc w:val="left"/>
      </w:pPr>
      <w:r>
        <w:rPr>
          <w:sz w:val="22"/>
          <w:szCs w:val="22"/>
        </w:rPr>
        <w:t xml:space="preserve">The case of the Dahdouh family layers sensitive legal dimensions. Wael Dahdouh was, before the strike that killed his family, among the most prominent media voices documenting the violations. The strike on his family home while he was covering the event live produced a visual moment that pierced world media: the journalist informing the world of his family's death during his own broadcast. CPJ and several international media outlets demanded an independent investigation into whether targeting the homes of prominent journalists' families constitutes an intentional pattern. This pattern has recurred with other journalists, as we will detail later.</w:t>
      </w:r>
    </w:p>
    <w:p>
      <w:pPr>
        <w:spacing w:after="160"/>
        <w:jc w:val="left"/>
      </w:pPr>
      <w:r>
        <w:rPr>
          <w:sz w:val="22"/>
          <w:szCs w:val="22"/>
        </w:rPr>
        <w:t xml:space="preserve">## Ismail Al-Ghoul and Rami Al-Refee — Al Jazeera (July 31, 2024)</w:t>
      </w:r>
    </w:p>
    <w:p>
      <w:pPr>
        <w:spacing w:after="160"/>
        <w:jc w:val="left"/>
      </w:pPr>
      <w:r>
        <w:rPr>
          <w:sz w:val="22"/>
          <w:szCs w:val="22"/>
        </w:rPr>
        <w:t xml:space="preserve">Ismail Al-Ghoul was a correspondent for Al Jazeera, working in northern Gaza under exceedingly difficult conditions. On July 31, 2024, his vehicle was struck in the Al-Shati neighborhood of Gaza City, where he was covering, accompanied by photographer Rami Al-Refee, events surrounding the home of former Hamas political leader Ismail Haniyeh. Both were killed in the strike. Al Jazeera issued official statements, and the Committee to Protect Journalists issued a statement demanding an independent investigation (CPJ Statement, August 2024).</w:t>
      </w:r>
    </w:p>
    <w:p>
      <w:pPr>
        <w:spacing w:after="160"/>
        <w:jc w:val="left"/>
      </w:pPr>
      <w:r>
        <w:rPr>
          <w:sz w:val="22"/>
          <w:szCs w:val="22"/>
        </w:rPr>
        <w:t xml:space="preserve">The context here is legally sensitive. The vehicle was civilian and marked with "PRESS" identification. The targeting occurred hours after Al-Ghoul appeared on air. The Israeli military's claim that Al-Ghoul was "a former member of the Qassam Brigades" — a claim denied by his family, colleagues, and his institution — is subject to a precise legal test: even assuming the truth of the claim arguendo, targeting a journalist while engaged in journalistic work is subject to the principle of proportionality, and to the principle that "past affiliation" does not negate civilian protection per the ICRC Commentary on Article 51 of the First Additional Protocol. CPJ and RSF issued statements demanding the Israeli military publish full evidence (RSF, August 2024).</w:t>
      </w:r>
    </w:p>
    <w:p>
      <w:pPr>
        <w:spacing w:after="160"/>
        <w:jc w:val="left"/>
      </w:pPr>
      <w:r>
        <w:rPr>
          <w:sz w:val="22"/>
          <w:szCs w:val="22"/>
        </w:rPr>
        <w:t xml:space="preserve">## Bilal Jadallah — Palestine Today News Agency (November 19, 2023)</w:t>
      </w:r>
    </w:p>
    <w:p>
      <w:pPr>
        <w:spacing w:after="160"/>
        <w:jc w:val="left"/>
      </w:pPr>
      <w:r>
        <w:rPr>
          <w:sz w:val="22"/>
          <w:szCs w:val="22"/>
        </w:rPr>
        <w:t xml:space="preserve">Bilal Jadallah was the chairman of Press House Palestine, and one of the most prominent founders of the independent Palestinian media infrastructure. He was not a "field" journalist so much as an institutional journalist working to develop the capacities of young journalists. He was killed in a strike on his car in Gaza on November 19, 2023 (CPJ documentation, 2023). His death prompted a wave of solidarity statements from journalists' unions in more than 20 countries.</w:t>
      </w:r>
    </w:p>
    <w:p>
      <w:pPr>
        <w:spacing w:after="160"/>
        <w:jc w:val="left"/>
      </w:pPr>
      <w:r>
        <w:rPr>
          <w:sz w:val="22"/>
          <w:szCs w:val="22"/>
        </w:rPr>
        <w:t xml:space="preserve">## Shireen Abu Akleh — The Older Legal Precedent (May 2022)</w:t>
      </w:r>
    </w:p>
    <w:p>
      <w:pPr>
        <w:spacing w:after="160"/>
        <w:jc w:val="left"/>
      </w:pPr>
      <w:r>
        <w:rPr>
          <w:sz w:val="22"/>
          <w:szCs w:val="22"/>
        </w:rPr>
        <w:t xml:space="preserve">Although Shireen Abu Akleh was killed more than a year before the events of October 7, recalling her case here is essential because it established a legal and methodological precedent that we still use. She was Al Jazeera's most famous correspondent, an American citizen of Palestinian origin, covering an Israeli military raid on the Jenin refugee camp on May 11, 2022. She was struck by a bullet to the head while wearing a blue "PRESS" vest. Independent investigations conducted by the United Nations (Office of the High Commissioner for Human Rights, 2022), CNN (CNN Investigation, May 2022), the Associated Press, and Bellingcat all reached a unified conclusion: the bullet was fired from the Israeli forces' side. Even the American investigation conducted by the State Department, despite its reservations, acknowledged that "it was likely" the bullet was fired by an Israeli (US State Department Statement, July 2022).</w:t>
      </w:r>
    </w:p>
    <w:p>
      <w:pPr>
        <w:spacing w:after="160"/>
        <w:jc w:val="left"/>
      </w:pPr>
      <w:r>
        <w:rPr>
          <w:sz w:val="22"/>
          <w:szCs w:val="22"/>
        </w:rPr>
        <w:t xml:space="preserve">The importance of Shireen here is methodological: her case established the multi-source investigation methods that were later applied to Issam Abdallah and others. It also established the methodology of "counter-documentation" being developed by organizations specialized in open-source intelligence (OSINT) analysis.</w:t>
      </w:r>
    </w:p>
    <w:p>
      <w:pPr>
        <w:spacing w:after="160"/>
        <w:jc w:val="left"/>
      </w:pPr>
      <w:r>
        <w:rPr>
          <w:sz w:val="22"/>
          <w:szCs w:val="22"/>
        </w:rPr>
        <w:t xml:space="preserve">## Mohammed Abu Hatab — Palestine TV (November 2, 2023)</w:t>
      </w:r>
    </w:p>
    <w:p>
      <w:pPr>
        <w:spacing w:after="160"/>
        <w:jc w:val="left"/>
      </w:pPr>
      <w:r>
        <w:rPr>
          <w:sz w:val="22"/>
          <w:szCs w:val="22"/>
        </w:rPr>
        <w:t xml:space="preserve">Mohammed Abu Hatab was a correspondent for the official Palestine TV, known for his daily coverage from southern Gaza. He was killed along with eleven members of his family in a strike on his home in Khan Younis hours after he had completed his last on-air report (Palestine TV; CPJ, 2023). The recurrence of the pattern of striking homes hours after broadcast — as in the Dahdouh and Abu Hatab cases — is what drove monitoring organizations to classify this as a pattern, not as isolated incidents.</w:t>
      </w:r>
    </w:p>
    <w:p>
      <w:pPr>
        <w:spacing w:after="160"/>
        <w:jc w:val="left"/>
      </w:pPr>
      <w:r>
        <w:rPr>
          <w:sz w:val="22"/>
          <w:szCs w:val="22"/>
        </w:rPr>
        <w:t xml:space="preserve">## Roshdi Sarraj, Said Al-Taweel, and Others</w:t>
      </w:r>
    </w:p>
    <w:p>
      <w:pPr>
        <w:spacing w:after="160"/>
        <w:jc w:val="left"/>
      </w:pPr>
      <w:r>
        <w:rPr>
          <w:sz w:val="22"/>
          <w:szCs w:val="22"/>
        </w:rPr>
        <w:t xml:space="preserve">In the early days of the conflict, a number of Palestinian field photographers were killed, including: the young photographer Roshdi Sarraj, one of the founders of Ain Media agency, killed in an airstrike on October 22, 2023; and Ma'an photographer Said Al-Taweel, killed early in the war (CPJ, 2023). Each of these names, when their individual file is opened on the CPJ website, has the circumstances of death documented through multiple sources and witness statements.</w:t>
      </w:r>
    </w:p>
    <w:p>
      <w:pPr>
        <w:spacing w:after="160"/>
        <w:jc w:val="left"/>
      </w:pPr>
      <w:r>
        <w:rPr>
          <w:sz w:val="22"/>
          <w:szCs w:val="22"/>
        </w:rPr>
        <w:t xml:space="preserve">## Medical Journalists and Hospital Photographers</w:t>
      </w:r>
    </w:p>
    <w:p>
      <w:pPr>
        <w:spacing w:after="160"/>
        <w:jc w:val="left"/>
      </w:pPr>
      <w:r>
        <w:rPr>
          <w:sz w:val="22"/>
          <w:szCs w:val="22"/>
        </w:rPr>
        <w:t xml:space="preserve">There is a sub-category that does not receive sufficient light: journalists who work inside hospitals, documenting the wounded and the dead with their medical cameras. They lie at the intersection of two protective umbrellas: the protection of the press and the protection of medical facilities. Al-Shifa, Al-Ahli (Baptist), Kamal Adwan, Al-Awda, and Abu Yousef Al-Najjar hospitals were targeted at various periods of the conflict, and a number of these medical photographers — who had been recording the last minutes of patients and premature infants — were killed (Médecins Sans Frontières, 2024 reports; MAP UK, 2024).</w:t>
      </w:r>
    </w:p>
    <w:p>
      <w:pPr>
        <w:spacing w:after="160"/>
        <w:jc w:val="left"/>
      </w:pPr>
      <w:r>
        <w:rPr>
          <w:sz w:val="22"/>
          <w:szCs w:val="22"/>
        </w:rPr>
        <w:t xml:space="preserve">## A Common Pattern: Marked "PRESS"</w:t>
      </w:r>
    </w:p>
    <w:p>
      <w:pPr>
        <w:spacing w:after="160"/>
        <w:jc w:val="left"/>
      </w:pPr>
      <w:r>
        <w:rPr>
          <w:sz w:val="22"/>
          <w:szCs w:val="22"/>
        </w:rPr>
        <w:t xml:space="preserve">The thread connecting most of the documented cases above is: the journalist wearing a clear "PRESS" vest, carrying a camera, and sometimes broadcasting live at the moment of the strike. These features were originally protective elements designed to make it easier for warring parties to distinguish journalists in order to avoid targeting them. When their casualties recur despite the clear presence of these markings, this raises a question that goes beyond individual investigation to systemic assessment — which is what organizations such as Human Rights Watch undertake in their analytical reports.</w:t>
      </w:r>
    </w:p>
    <w:p>
      <w:pPr>
        <w:spacing w:after="160"/>
        <w:jc w:val="left"/>
      </w:pPr>
      <w:r>
        <w:rPr>
          <w:sz w:val="22"/>
          <w:szCs w:val="22"/>
        </w:rPr>
        <w:t xml:space="preserve">## What We Did Not Write in This Chapter</w:t>
      </w:r>
    </w:p>
    <w:p>
      <w:pPr>
        <w:spacing w:after="160"/>
        <w:jc w:val="left"/>
      </w:pPr>
      <w:r>
        <w:rPr>
          <w:sz w:val="22"/>
          <w:szCs w:val="22"/>
        </w:rPr>
        <w:t xml:space="preserve">I write this chapter knowing that I have left out more names than I have included. Each name has a story, each story has a family, and each family has an empty chair at the table. When Palestine is mentioned decades from now, those who write its history will note what the historians of the two world wars noted before them: that recounting individual names is what saves memory from collapse into the abstraction of numbers. Whoever produces a comprehensive encyclopedia later must begin where we stopped, not where we started. And God knows best.</w:t>
      </w:r>
    </w:p>
    <w:p>
      <w:r>
        <w:br w:type="page"/>
      </w:r>
    </w:p>
    <w:p>
      <w:pPr>
        <w:spacing w:after="360" w:before="600"/>
        <w:jc w:val="center"/>
      </w:pPr>
      <w:r>
        <w:rPr>
          <w:b/>
          <w:bCs/>
          <w:color w:val="1B3A5C"/>
          <w:sz w:val="36"/>
          <w:szCs w:val="36"/>
        </w:rPr>
        <w:t xml:space="preserve">Chapter 4: Aid Organizations — The Humanitarian Worker Victims</w:t>
      </w:r>
    </w:p>
    <w:p>
      <w:pPr>
        <w:spacing w:after="160"/>
        <w:jc w:val="left"/>
      </w:pPr>
      <w:r>
        <w:rPr>
          <w:sz w:val="22"/>
          <w:szCs w:val="22"/>
        </w:rPr>
        <w:t xml:space="preserve">&gt; "And whoever saves a life, it is as if he had saved all of mankind." — Qur'an 5:32</w:t>
      </w:r>
    </w:p>
    <w:p>
      <w:pPr>
        <w:spacing w:after="160"/>
        <w:jc w:val="left"/>
      </w:pPr>
      <w:r>
        <w:rPr>
          <w:sz w:val="22"/>
          <w:szCs w:val="22"/>
        </w:rPr>
        <w:t xml:space="preserve">## The Legal Framework for Humanitarian Protection</w:t>
      </w:r>
    </w:p>
    <w:p>
      <w:pPr>
        <w:spacing w:after="160"/>
        <w:jc w:val="left"/>
      </w:pPr>
      <w:r>
        <w:rPr>
          <w:sz w:val="22"/>
          <w:szCs w:val="22"/>
        </w:rPr>
        <w:t xml:space="preserve">The humanitarian worker, like the journalist, is a civilian under the full umbrella of international humanitarian law's protection. To the general civilian umbrella are added special provisions protecting those carrying out humanitarian missions: Article 71 of the First Additional Protocol to the Geneva Conventions stipulates the obligation to respect and protect relief personnel. An employee bearing the United Nations emblem, the Red Cross emblem, or the logo of an international organization registered with the UN Office for the Coordination of Humanitarian Affairs (OCHA) is considered a doubly protected entity: once as a civilian, and once as one carrying out a humanitarian mission.</w:t>
      </w:r>
    </w:p>
    <w:p>
      <w:pPr>
        <w:spacing w:after="160"/>
        <w:jc w:val="left"/>
      </w:pPr>
      <w:r>
        <w:rPr>
          <w:sz w:val="22"/>
          <w:szCs w:val="22"/>
        </w:rPr>
        <w:t xml:space="preserve">In Gaza, over less than two years, the number of humanitarian workers killed has risen to more than 300, according to OCHA documentation and the Aid Worker Security Database (AWSD, 2025 statistics). This figure makes the current conflict the deadliest for humanitarian workers in the history of the UN system — surpassing exceptional milestones such as the South Sudan conflict (cumulative toll over a full decade reached 125 killed) and Afghanistan (cumulative toll over 20 years exceeded 400) (AWSD historical analysis, 2022).</w:t>
      </w:r>
    </w:p>
    <w:p>
      <w:pPr>
        <w:spacing w:after="160"/>
        <w:jc w:val="left"/>
      </w:pPr>
      <w:r>
        <w:rPr>
          <w:sz w:val="22"/>
          <w:szCs w:val="22"/>
        </w:rPr>
        <w:t xml:space="preserve">## UNRWA: "The Deadliest in UN History"</w:t>
      </w:r>
    </w:p>
    <w:p>
      <w:pPr>
        <w:spacing w:after="160"/>
        <w:jc w:val="left"/>
      </w:pPr>
      <w:r>
        <w:rPr>
          <w:sz w:val="22"/>
          <w:szCs w:val="22"/>
        </w:rPr>
        <w:t xml:space="preserve">Within the total figure, the United Nations Relief and Works Agency for Palestine Refugees (UNRWA) has borne the heaviest burden. Since October 7, 2023, and through mid-2025, the number of UNRWA employees killed in Gaza has exceeded 260 (UNRWA, official site update 2025). UN Secretary-General António Guterres described this figure in a speech before the Security Council in February 2024 as "the highest number of UN personnel killed in a single conflict since the founding of the organization" (UN Security Council, February 2024 session record).</w:t>
      </w:r>
    </w:p>
    <w:p>
      <w:pPr>
        <w:spacing w:after="160"/>
        <w:jc w:val="left"/>
      </w:pPr>
      <w:r>
        <w:rPr>
          <w:sz w:val="22"/>
          <w:szCs w:val="22"/>
        </w:rPr>
        <w:t xml:space="preserve">The nature of these employees is varied: teachers in UNRWA schools that also host displaced people, doctors and nurses in its clinics, social services employees, technicians in water and food distribution, and guards at facilities. Many of them were killed inside UNRWA facilities themselves, which were bombed or subjected to gunfire despite their coordinates being registered with the Israeli military through an official coordination mechanism the UN has used for decades. UNRWA issued repeated statements documenting the bombing of its schools and warehouses, and the UN Office for Human Rights (OHCHR) documented a number of these incidents in its field reports (OHCHR, "Conduct of Hostilities" Reports 2024).</w:t>
      </w:r>
    </w:p>
    <w:p>
      <w:pPr>
        <w:spacing w:after="160"/>
        <w:jc w:val="left"/>
      </w:pPr>
      <w:r>
        <w:rPr>
          <w:sz w:val="22"/>
          <w:szCs w:val="22"/>
        </w:rPr>
        <w:t xml:space="preserve">## The World Central Kitchen (WCK): Individual Case Study</w:t>
      </w:r>
    </w:p>
    <w:p>
      <w:pPr>
        <w:spacing w:after="160"/>
        <w:jc w:val="left"/>
      </w:pPr>
      <w:r>
        <w:rPr>
          <w:sz w:val="22"/>
          <w:szCs w:val="22"/>
        </w:rPr>
        <w:t xml:space="preserve">On April 1, 2024, an Israeli drone strike was carried out on a convoy belonging to World Central Kitchen in the Deir al-Balah area in the central Strip. The convoy consisted of three vehicles marked with the large WCK logo on their roofs, traveling on a route that had been pre-coordinated with the Israeli military through the Deconfliction system — that is, the prior notification mechanism that defines humanitarian movement routes so that the military avoids them.</w:t>
      </w:r>
    </w:p>
    <w:p>
      <w:pPr>
        <w:spacing w:after="160"/>
        <w:jc w:val="left"/>
      </w:pPr>
      <w:r>
        <w:rPr>
          <w:sz w:val="22"/>
          <w:szCs w:val="22"/>
        </w:rPr>
        <w:t xml:space="preserve">The result of the strike: seven humanitarian workers killed, four of them foreign nationals holding U.S., Australian, British, and Polish citizenships, and three Palestinian local workers (WCK Statement, April 2024; AP, 2024 report). The names — as announced by the organization — are: Damian Sobol, Jacob Flickinger, Zomi Frankcom, James Henderson, John Chapman, Saif Issam Abu Taha, and Mohammed Abu Tahaha.</w:t>
      </w:r>
    </w:p>
    <w:p>
      <w:pPr>
        <w:spacing w:after="160"/>
        <w:jc w:val="left"/>
      </w:pPr>
      <w:r>
        <w:rPr>
          <w:sz w:val="22"/>
          <w:szCs w:val="22"/>
        </w:rPr>
        <w:t xml:space="preserve">What makes this case statistically and legally exceptional is not the number of victims, but the clarity of the documented parameters:</w:t>
      </w:r>
    </w:p>
    <w:p>
      <w:pPr>
        <w:spacing w:after="160"/>
        <w:jc w:val="left"/>
      </w:pPr>
      <w:r>
        <w:rPr>
          <w:sz w:val="22"/>
          <w:szCs w:val="22"/>
        </w:rPr>
        <w:t xml:space="preserve">- The vehicles were identified with a large logo on the roofs visible from the altitudes of drones and warplanes, and WCK published images of the vehicles before and after the strike. - The route was coordinated through the Deconfliction mechanism hours before the strike, and the correspondences are documented (WCK, incident report). - The strike was not a single one; it was followed by additional strikes that hit the second and third vehicles after the people had left the first wounded vehicle, which excludes the hypothesis of "error in the single hit," according to Forensic Architecture's field analysis (Forensic Architecture, 2024 report).</w:t>
      </w:r>
    </w:p>
    <w:p>
      <w:pPr>
        <w:spacing w:after="160"/>
        <w:jc w:val="left"/>
      </w:pPr>
      <w:r>
        <w:rPr>
          <w:sz w:val="22"/>
          <w:szCs w:val="22"/>
        </w:rPr>
        <w:t xml:space="preserve">The Israeli military issued an internal investigation two weeks later, acknowledging that an "error in identification" had occurred, that "violations of operating procedures" had taken place, and announced the dismissal of two officers and the reprimand of three others (IDF Statement, April 2024). However, several legal organizations, including Just Security and the international counsel for Save the Children, indicated that internal administrative penalties do not eliminate the obligation to open an independent criminal investigation under Article 8 of the Rome Statute, especially with the existence of a multi-strike pattern rather than a single strike (Just Security Analysis, 2024).</w:t>
      </w:r>
    </w:p>
    <w:p>
      <w:pPr>
        <w:spacing w:after="160"/>
        <w:jc w:val="left"/>
      </w:pPr>
      <w:r>
        <w:rPr>
          <w:sz w:val="22"/>
          <w:szCs w:val="22"/>
        </w:rPr>
        <w:t xml:space="preserve">The impact of the WCK incident exceeded the incident itself: WCK temporarily halted its operations, and several humanitarian organizations announced suspension of their work due to "intentional risks" (CARE International Statement, 2024; Oxfam Statement, 2024). Diplomatic pressure on the U.S. administration also intensified, with a memorandum from 40 members of the U.S. Congress sent to the Secretary of State demanding a review of compliance with the Leahy Law, which prohibits the provision of military assistance to units involved in human rights violations (US Congress Letter, April 2024).</w:t>
      </w:r>
    </w:p>
    <w:p>
      <w:pPr>
        <w:spacing w:after="160"/>
        <w:jc w:val="left"/>
      </w:pPr>
      <w:r>
        <w:rPr>
          <w:sz w:val="22"/>
          <w:szCs w:val="22"/>
        </w:rPr>
        <w:t xml:space="preserve">## Médecins Sans Frontières (MSF): The Painful Retreat</w:t>
      </w:r>
    </w:p>
    <w:p>
      <w:pPr>
        <w:spacing w:after="160"/>
        <w:jc w:val="left"/>
      </w:pPr>
      <w:r>
        <w:rPr>
          <w:sz w:val="22"/>
          <w:szCs w:val="22"/>
        </w:rPr>
        <w:t xml:space="preserve">Médecins Sans Frontières is one of the most established humanitarian field organizations in the world, with rigorous security protocols developed from decades of experience in conflicts. Despite this, it was forced to suspend its work in Gaza on multiple occasions due to bombardment. The organization documented four Israeli strikes on its sites or against its staff and their families since the beginning of the conflict: the bombing of the home of the organization's Palestinian director, the wounding of a medical vehicle that was evacuating patients from the north of the Strip, and the bombing of a residential facility housing both foreign and local employees (MSF Statements, 2023–2024).</w:t>
      </w:r>
    </w:p>
    <w:p>
      <w:pPr>
        <w:spacing w:after="160"/>
        <w:jc w:val="left"/>
      </w:pPr>
      <w:r>
        <w:rPr>
          <w:sz w:val="22"/>
          <w:szCs w:val="22"/>
        </w:rPr>
        <w:t xml:space="preserve">MSF also documented the deaths of a number of its employees and their families. Major statements were issued in January 2024, when the organization announced it had lost more than 25 direct employees and assistants, in addition to a large number of relatives of its staff. MSF also publicly criticized the "safe corridor" claims issued by the Israeli military, witnessing for itself the bombing of evacuation routes that had been explicitly coordinated (MSF Press Briefing, January 2024).</w:t>
      </w:r>
    </w:p>
    <w:p>
      <w:pPr>
        <w:spacing w:after="160"/>
        <w:jc w:val="left"/>
      </w:pPr>
      <w:r>
        <w:rPr>
          <w:sz w:val="22"/>
          <w:szCs w:val="22"/>
        </w:rPr>
        <w:t xml:space="preserve">## Medical Aid for Palestinians (MAP) and the International Committee of the Red Cross</w:t>
      </w:r>
    </w:p>
    <w:p>
      <w:pPr>
        <w:spacing w:after="160"/>
        <w:jc w:val="left"/>
      </w:pPr>
      <w:r>
        <w:rPr>
          <w:sz w:val="22"/>
          <w:szCs w:val="22"/>
        </w:rPr>
        <w:t xml:space="preserve">Medical Aid for Palestinians (MAP) of the United Kingdom, as well as the International Committee of the Red Cross (ICRC), issued repeated statements concerning the targeting of their staff and the facilities where they work. The ICRC, which is the official guardian of the Geneva Conventions, was forced on several occasions to issue "exceptional" statements (according to its own description) due to "the scale of documented violations" (ICRC Statements, 2024). Its office in Rafah was bombed in March 2024, and Palestine Red Crescent Society ambulances working in direct coordination with the ICRC were hit on multiple occasions.</w:t>
      </w:r>
    </w:p>
    <w:p>
      <w:pPr>
        <w:spacing w:after="160"/>
        <w:jc w:val="left"/>
      </w:pPr>
      <w:r>
        <w:rPr>
          <w:sz w:val="22"/>
          <w:szCs w:val="22"/>
        </w:rPr>
        <w:t xml:space="preserve">The Palestine Red Crescent Society (PRCS) recorded the deaths of more than 30 of its employees and volunteers, the most prominent of whom were the child Hind Rajab and her family, killed inside a vehicle while in communication with PRCS calling for rescue, along with the ambulance crew that went to rescue her and was also killed at the same site (PRCS Statements, February 2024; Forensic Architecture, Hind Rajab investigation 2024).</w:t>
      </w:r>
    </w:p>
    <w:p>
      <w:pPr>
        <w:spacing w:after="160"/>
        <w:jc w:val="left"/>
      </w:pPr>
      <w:r>
        <w:rPr>
          <w:sz w:val="22"/>
          <w:szCs w:val="22"/>
        </w:rPr>
        <w:t xml:space="preserve">## The Total Toll: What Do the Numbers Mean?</w:t>
      </w:r>
    </w:p>
    <w:p>
      <w:pPr>
        <w:spacing w:after="160"/>
        <w:jc w:val="left"/>
      </w:pPr>
      <w:r>
        <w:rPr>
          <w:sz w:val="22"/>
          <w:szCs w:val="22"/>
        </w:rPr>
        <w:t xml:space="preserve">The Aid Worker Security Database (AWSD) indicates that the total number of humanitarian workers killed in conflicts worldwide during 2024 exceeded 370 workers, and that Palestinians among them constitute about 70% of the global total for that year (AWSD Annual Report, 2025). This proportion has no precedent in the full record of the database since its documentation began in 1997.</w:t>
      </w:r>
    </w:p>
    <w:p>
      <w:pPr>
        <w:spacing w:after="160"/>
        <w:jc w:val="left"/>
      </w:pPr>
      <w:r>
        <w:rPr>
          <w:sz w:val="22"/>
          <w:szCs w:val="22"/>
        </w:rPr>
        <w:t xml:space="preserve">## Legal and Institutional Repercussions</w:t>
      </w:r>
    </w:p>
    <w:p>
      <w:pPr>
        <w:spacing w:after="160"/>
        <w:jc w:val="left"/>
      </w:pPr>
      <w:r>
        <w:rPr>
          <w:sz w:val="22"/>
          <w:szCs w:val="22"/>
        </w:rPr>
        <w:t xml:space="preserve">Following the WCK strike, six major humanitarian organizations took joint legal steps, including submitting formal reports to the International Criminal Court Prosecutor and the UN Human Rights Council. More than 200 international organizations also issued a joint statement in June 2024 demanding "real protection" rather than "nominal protection" for humanitarian workers in Gaza (Joint NGO Statement, June 2024).</w:t>
      </w:r>
    </w:p>
    <w:p>
      <w:pPr>
        <w:spacing w:after="160"/>
        <w:jc w:val="left"/>
      </w:pPr>
      <w:r>
        <w:rPr>
          <w:sz w:val="22"/>
          <w:szCs w:val="22"/>
        </w:rPr>
        <w:t xml:space="preserve">Within the legal framework, three European jurisdictions (Spain, Ireland, Norway) submitted formal inquiries to Israeli authorities regarding the deaths of their citizens working in Gaza. Other jurisdictions (United Kingdom, Australia) announced internal investigations into the deaths of their citizens specifically in the WCK incident.</w:t>
      </w:r>
    </w:p>
    <w:p>
      <w:pPr>
        <w:spacing w:after="160"/>
        <w:jc w:val="left"/>
      </w:pPr>
      <w:r>
        <w:rPr>
          <w:sz w:val="22"/>
          <w:szCs w:val="22"/>
        </w:rPr>
        <w:t xml:space="preserve">## Conclusion: The Breached Umbrella</w:t>
      </w:r>
    </w:p>
    <w:p>
      <w:pPr>
        <w:spacing w:after="160"/>
        <w:jc w:val="left"/>
      </w:pPr>
      <w:r>
        <w:rPr>
          <w:sz w:val="22"/>
          <w:szCs w:val="22"/>
        </w:rPr>
        <w:t xml:space="preserve">What the reader of these numbers — even the most reserved in judgment — observes is that the international humanitarian protection umbrella, built over seven decades after World War II, is undergoing the most serious test in its history. The issue is not merely the number of those killed, but the collapse of the "advance coordination" mechanism itself as a practical guarantee. When advance coordination becomes ineffective, the law loses its most flexible tool in protecting civilians and humanitarians. This is one of the fundamental issues that the UN system will be forced to review in the coming years, regardless of the contexts. The truth does not die when the numbers are killed; it dies when the curtain of forgetfulness is drawn over it.</w:t>
      </w:r>
    </w:p>
    <w:p>
      <w:r>
        <w:br w:type="page"/>
      </w:r>
    </w:p>
    <w:p>
      <w:pPr>
        <w:spacing w:after="360" w:before="600"/>
        <w:jc w:val="center"/>
      </w:pPr>
      <w:r>
        <w:rPr>
          <w:b/>
          <w:bCs/>
          <w:color w:val="1B3A5C"/>
          <w:sz w:val="36"/>
          <w:szCs w:val="36"/>
        </w:rPr>
        <w:t xml:space="preserve">Chapter 5: Civil Society — Lawyers, Doctors, and Teachers</w:t>
      </w:r>
    </w:p>
    <w:p>
      <w:pPr>
        <w:spacing w:after="160"/>
        <w:jc w:val="left"/>
      </w:pPr>
      <w:r>
        <w:rPr>
          <w:sz w:val="22"/>
          <w:szCs w:val="22"/>
        </w:rPr>
        <w:t xml:space="preserve">&gt; "Verily, God commands justice and benevolence and giving to one's kin, and forbids indecency, evil, and oppression." — Qur'an 16:90</w:t>
      </w:r>
    </w:p>
    <w:p>
      <w:pPr>
        <w:spacing w:after="160"/>
        <w:jc w:val="left"/>
      </w:pPr>
      <w:r>
        <w:rPr>
          <w:sz w:val="22"/>
          <w:szCs w:val="22"/>
        </w:rPr>
        <w:t xml:space="preserve">## What Is Meant by "Civil Society"?</w:t>
      </w:r>
    </w:p>
    <w:p>
      <w:pPr>
        <w:spacing w:after="160"/>
        <w:jc w:val="left"/>
      </w:pPr>
      <w:r>
        <w:rPr>
          <w:sz w:val="22"/>
          <w:szCs w:val="22"/>
        </w:rPr>
        <w:t xml:space="preserve">If you compiled a list of everything that defines a community as a "society" rather than merely adjacent inhabitants, your list would intersect at most points with the United Nations' procedural definition of civil society (UN Civil Society Definition). This definition includes professional unions, human rights clubs, charitable organizations, university federations, research centers, councils of doctors, lawyers, engineers, and teachers, as well as cultural institutions. These constitute the "load-bearing nervous system" of any society. When a journalist is killed, an eye on events is lost; when an aid worker is killed, a bridge of assistance is lost; but when the lawyer, the doctor, the academic, and the teacher are killed, the society loses its capacity to reproduce itself.</w:t>
      </w:r>
    </w:p>
    <w:p>
      <w:pPr>
        <w:spacing w:after="160"/>
        <w:jc w:val="left"/>
      </w:pPr>
      <w:r>
        <w:rPr>
          <w:sz w:val="22"/>
          <w:szCs w:val="22"/>
        </w:rPr>
        <w:t xml:space="preserve">The documents we will cite in this chapter record that the current conflict in Gaza has affected not only fighters and military facilities, but extended to the institutional structure of Palestinian civil society at a scope and pace previously unprecedented in the Strip's history.</w:t>
      </w:r>
    </w:p>
    <w:p>
      <w:pPr>
        <w:spacing w:after="160"/>
        <w:jc w:val="left"/>
      </w:pPr>
      <w:r>
        <w:rPr>
          <w:sz w:val="22"/>
          <w:szCs w:val="22"/>
        </w:rPr>
        <w:t xml:space="preserve">## The Universities: Collapse of Academic Infrastructure</w:t>
      </w:r>
    </w:p>
    <w:p>
      <w:pPr>
        <w:spacing w:after="160"/>
        <w:jc w:val="left"/>
      </w:pPr>
      <w:r>
        <w:rPr>
          <w:sz w:val="22"/>
          <w:szCs w:val="22"/>
        </w:rPr>
        <w:t xml:space="preserve">In Gaza prior to October 2023, twelve academic institutions were operating, the most prominent being: the Islamic University in Gaza (founded 1978), Al-Aqsa University, Al-Azhar University, Israa University, Israa University College, Palestine University, and a number of specialized institutes. According to reports by the "Academic Observatory" affiliated with the Scholars at Risk organization, and to a UNRWA report in January 2024, all of these academic institutions sustained severe damage, and a number of them were completely destroyed, especially the Islamic University whose main buildings were bombed in October 2023 (Scholars at Risk Report, 2024; UNRWA Education Report, 2024).</w:t>
      </w:r>
    </w:p>
    <w:p>
      <w:pPr>
        <w:spacing w:after="160"/>
        <w:jc w:val="left"/>
      </w:pPr>
      <w:r>
        <w:rPr>
          <w:sz w:val="22"/>
          <w:szCs w:val="22"/>
        </w:rPr>
        <w:t xml:space="preserve">The term "Scholasticide" — coined earlier by Palestinian researcher Karma Nabulsi — was adopted in international legal literature, used by the UN Special Rapporteur on the Right to Education in a 2024 report to the Human Rights Council to describe what is happening in Gaza (UN Special Rapporteur Report, A/HRC/56/L.21, 2024).</w:t>
      </w:r>
    </w:p>
    <w:p>
      <w:pPr>
        <w:spacing w:after="160"/>
        <w:jc w:val="left"/>
      </w:pPr>
      <w:r>
        <w:rPr>
          <w:sz w:val="22"/>
          <w:szCs w:val="22"/>
        </w:rPr>
        <w:t xml:space="preserve">Among the academics who were killed — a list partially documented by the Palestinian Professors Federation and the Scholars Against the War on Palestine organization — are more than 95 academics and university professors, including department heads, researchers in medicine, engineering, law, and history. The most prominent names documented in the reports include Dr. Refaat Alareer, professor in the Department of English Literature at the Islamic University, who was killed in a strike on his apartment in Gaza in December 2023. Alareer was a poet and translator, and one of the most prominent Palestinian teachers who introduced Palestinian literature to the global audience in English (PEN America Statement, December 2023).</w:t>
      </w:r>
    </w:p>
    <w:p>
      <w:pPr>
        <w:spacing w:after="160"/>
        <w:jc w:val="left"/>
      </w:pPr>
      <w:r>
        <w:rPr>
          <w:sz w:val="22"/>
          <w:szCs w:val="22"/>
        </w:rPr>
        <w:t xml:space="preserve">Dr. Sufyan Tayeh, president of the Islamic University and a physicist who had received the UNESCO "Abul Qassim al-Zahrawi" medal, was also killed in a strike on his home with members of his family in December 2023 (UNESCO Statement, December 2023).</w:t>
      </w:r>
    </w:p>
    <w:p>
      <w:pPr>
        <w:spacing w:after="160"/>
        <w:jc w:val="left"/>
      </w:pPr>
      <w:r>
        <w:rPr>
          <w:sz w:val="22"/>
          <w:szCs w:val="22"/>
        </w:rPr>
        <w:t xml:space="preserve">## Doctors: In the Hospitals Where They Worked</w:t>
      </w:r>
    </w:p>
    <w:p>
      <w:pPr>
        <w:spacing w:after="160"/>
        <w:jc w:val="left"/>
      </w:pPr>
      <w:r>
        <w:rPr>
          <w:sz w:val="22"/>
          <w:szCs w:val="22"/>
        </w:rPr>
        <w:t xml:space="preserve">The medical sector is the most documented category among civil society victims, because international health organizations such as Médecins Sans Frontières (MSF) and the World Health Organization (WHO) accurately track deaths among health workers. According to WHO reports through 2025, the number of Palestinian health workers killed in Gaza has exceeded 1,050, including doctors, nurses, paramedics, medical maintenance workers, and medical students (WHO, "Health Worker Deaths Surveillance" 2025).</w:t>
      </w:r>
    </w:p>
    <w:p>
      <w:pPr>
        <w:spacing w:after="160"/>
        <w:jc w:val="left"/>
      </w:pPr>
      <w:r>
        <w:rPr>
          <w:sz w:val="22"/>
          <w:szCs w:val="22"/>
        </w:rPr>
        <w:t xml:space="preserve">Among them are a large number of consultant physicians, who are difficult to replace in any health system. The most prominent documented cases:</w:t>
      </w:r>
    </w:p>
    <w:p>
      <w:pPr>
        <w:spacing w:after="160"/>
        <w:jc w:val="left"/>
      </w:pPr>
      <w:r>
        <w:rPr>
          <w:sz w:val="22"/>
          <w:szCs w:val="22"/>
        </w:rPr>
        <w:t xml:space="preserve">- Dr. Hammam Allouh, consultant cardiologist at Al-Shifa Hospital, killed with his family in a strike on his home in November 2023 (Palestine Ministry of Health bulletin, 2023). - Dr. Refat Lubbad, head of surgery department at Al-Shifa Hospital, killed in January 2024 (MoH-Gaza, 2024). - Dr. Mohammed Dabbour, one of the most prominent neurosurgeons in the Strip, killed in February 2024 (PMA Statement, 2024). - Dr. Adnan Al-Bursh, head of orthopedics at Al-Shifa Hospital, who died in Israeli detention in April 2024 after his arrest from the hospital, according to an Amnesty International report demanding an independent investigation (Amnesty International, May 2024).</w:t>
      </w:r>
    </w:p>
    <w:p>
      <w:pPr>
        <w:spacing w:after="160"/>
        <w:jc w:val="left"/>
      </w:pPr>
      <w:r>
        <w:rPr>
          <w:sz w:val="22"/>
          <w:szCs w:val="22"/>
        </w:rPr>
        <w:t xml:space="preserve">The last line highlights an important sub-category: doctors who were killed or died during detention. The International Committee of the Red Cross report, in addition to the report of the UN Special Rapporteur on Torture (2024), provided documentation of cases of Palestinian doctors arrested from their hospitals and dying in unclear circumstances during detention, which calls for an independent investigation according to the Special Rapporteur's terms (OHCHR Press Release, 2024).</w:t>
      </w:r>
    </w:p>
    <w:p>
      <w:pPr>
        <w:spacing w:after="160"/>
        <w:jc w:val="left"/>
      </w:pPr>
      <w:r>
        <w:rPr>
          <w:sz w:val="22"/>
          <w:szCs w:val="22"/>
        </w:rPr>
        <w:t xml:space="preserve">## Lawyers and Legal Professionals</w:t>
      </w:r>
    </w:p>
    <w:p>
      <w:pPr>
        <w:spacing w:after="160"/>
        <w:jc w:val="left"/>
      </w:pPr>
      <w:r>
        <w:rPr>
          <w:sz w:val="22"/>
          <w:szCs w:val="22"/>
        </w:rPr>
        <w:t xml:space="preserve">The Palestinian Bar Association announced in a report issued at the beginning of 2025 the killing of more than 40 lawyers, a number of whom were members of human rights documentation committees, and some were in the process of preparing files for cases before international courts. The legal significance of targeting this particular category warrants pause: a lawyer working to document violations for later submission to an international court is not merely a civilian professional, but is also an "auxiliary to justice" in the sense defined by the International Committee of the Red Cross in its commentary on Article 75 of the First Additional Protocol.</w:t>
      </w:r>
    </w:p>
    <w:p>
      <w:pPr>
        <w:spacing w:after="160"/>
        <w:jc w:val="left"/>
      </w:pPr>
      <w:r>
        <w:rPr>
          <w:sz w:val="22"/>
          <w:szCs w:val="22"/>
        </w:rPr>
        <w:t xml:space="preserve">Among the most prominent documented cases: lawyer Mohammed Ramadan, who had been working to document victims of a new strike in the Tel Al-Hawa neighborhood, was killed with his family in a strike on his home a week after he published a report through Al-Mezan Center for Human Rights (Al-Mezan Statement, 2024).</w:t>
      </w:r>
    </w:p>
    <w:p>
      <w:pPr>
        <w:spacing w:after="160"/>
        <w:jc w:val="left"/>
      </w:pPr>
      <w:r>
        <w:rPr>
          <w:sz w:val="22"/>
          <w:szCs w:val="22"/>
        </w:rPr>
        <w:t xml:space="preserve">Al-Haq, one of the most established human rights organizations in the Middle East, also recorded the targeting of a number of its researchers and field staff, in addition to the exposure of its offices in Ramallah to repeated administrative harassment. Subsequently, Israeli authorities classified six Palestinian human rights organizations as "terrorist organizations" in 2021, a classification rejected by Europe and the European Union, and concerning which a joint statement was issued by nine European countries in 2022 demanding the cancellation of the classification due to lack of evidence (EU Statement, July 2022).</w:t>
      </w:r>
    </w:p>
    <w:p>
      <w:pPr>
        <w:spacing w:after="160"/>
        <w:jc w:val="left"/>
      </w:pPr>
      <w:r>
        <w:rPr>
          <w:sz w:val="22"/>
          <w:szCs w:val="22"/>
        </w:rPr>
        <w:t xml:space="preserve">## Teachers and Schools</w:t>
      </w:r>
    </w:p>
    <w:p>
      <w:pPr>
        <w:spacing w:after="160"/>
        <w:jc w:val="left"/>
      </w:pPr>
      <w:r>
        <w:rPr>
          <w:sz w:val="22"/>
          <w:szCs w:val="22"/>
        </w:rPr>
        <w:t xml:space="preserve">UNRWA provided near real-time daily figures on the targeting of its schools that were hosting displaced people. Through mid-2025, the number of teachers and educational sector workers killed exceeded 450 teachers (UNRWA Education Statistics, 2025). As for schools, 85% of the school infrastructure in the Strip was destroyed or significantly damaged (UNRWA, 2025). Systematic education was interrupted for approximately 625,000 Palestinian boys and girls, according to UNICEF (UNICEF, "Education in Emergency" 2024).</w:t>
      </w:r>
    </w:p>
    <w:p>
      <w:pPr>
        <w:spacing w:after="160"/>
        <w:jc w:val="left"/>
      </w:pPr>
      <w:r>
        <w:rPr>
          <w:sz w:val="22"/>
          <w:szCs w:val="22"/>
        </w:rPr>
        <w:t xml:space="preserve">Recalling a single name is insufficient, but the story of Mr. Nizar Halsa, principal of a school in the Jabalia refugee camp, who remained in his school hosting displaced people despite repeated bombing until he was martyred in a strike on the school in November 2023, captures a recurring pattern of individual sacrifice in educational institutions (UNRWA Field Update, 2023).</w:t>
      </w:r>
    </w:p>
    <w:p>
      <w:pPr>
        <w:spacing w:after="160"/>
        <w:jc w:val="left"/>
      </w:pPr>
      <w:r>
        <w:rPr>
          <w:sz w:val="22"/>
          <w:szCs w:val="22"/>
        </w:rPr>
        <w:t xml:space="preserve">## Targeting the Extended Families of Prominent Civil Society Figures</w:t>
      </w:r>
    </w:p>
    <w:p>
      <w:pPr>
        <w:spacing w:after="160"/>
        <w:jc w:val="left"/>
      </w:pPr>
      <w:r>
        <w:rPr>
          <w:sz w:val="22"/>
          <w:szCs w:val="22"/>
        </w:rPr>
        <w:t xml:space="preserve">A worrying pattern documented by Al-Mezan, Al-Haq, and Human Rights Watch is the high proportion of victims among the "extended families" of prominent civil society figures. When a home is bombed, often 15 to 40 people from the extended family are killed (parents, mothers, siblings, grandchildren), and frequently the "targeted" person in media or professional terms is one in the list. The HRW report issued in December 2023 titled "I Can't Erase All the Blood from My Mind" documented 20 incidents of this kind and concluded that "the use of large weapons in densely populated residential neighborhoods, without evidence of a proportionate military objective, constitutes possible war crimes" (HRW Report, December 2023).</w:t>
      </w:r>
    </w:p>
    <w:p>
      <w:pPr>
        <w:spacing w:after="160"/>
        <w:jc w:val="left"/>
      </w:pPr>
      <w:r>
        <w:rPr>
          <w:sz w:val="22"/>
          <w:szCs w:val="22"/>
        </w:rPr>
        <w:t xml:space="preserve">## Professional Unions as Institutional Memory</w:t>
      </w:r>
    </w:p>
    <w:p>
      <w:pPr>
        <w:spacing w:after="160"/>
        <w:jc w:val="left"/>
      </w:pPr>
      <w:r>
        <w:rPr>
          <w:sz w:val="22"/>
          <w:szCs w:val="22"/>
        </w:rPr>
        <w:t xml:space="preserve">The Palestinian Medical Association, the Bar Association, the Engineers' Association, and the Palestinian Journalists Syndicate all maintain daily records of casualties among their members. The advantage of these records is that they rest on previously documented membership (the professional registry), making them a neutral reference for counting losses in each sector. The availability of these records will represent a foundational source for any future international investigation commission, and will form the basis for later databases on institutional human loss in the Strip.</w:t>
      </w:r>
    </w:p>
    <w:p>
      <w:pPr>
        <w:spacing w:after="160"/>
        <w:jc w:val="left"/>
      </w:pPr>
      <w:r>
        <w:rPr>
          <w:sz w:val="22"/>
          <w:szCs w:val="22"/>
        </w:rPr>
        <w:t xml:space="preserve">## The Broader Meaning: When the "Bearing Elite" Is Targeted</w:t>
      </w:r>
    </w:p>
    <w:p>
      <w:pPr>
        <w:spacing w:after="160"/>
        <w:jc w:val="left"/>
      </w:pPr>
      <w:r>
        <w:rPr>
          <w:sz w:val="22"/>
          <w:szCs w:val="22"/>
        </w:rPr>
        <w:t xml:space="preserve">What invites reflection in this chapter is not only the number of victims in each category, but what their loss means in the long term. Every society — however much physical damage it suffers — can rebuild its walls and roads. But rebuilding the "bearing elite": consultant doctors, senior academics, human rights lawyers, encyclopedic teachers — requires decades, not years. When the "bearing elite" of a society is killed, the society sustains damage exceeding the limits of individual deaths, into what sociologists describe as "aborted professional memory."</w:t>
      </w:r>
    </w:p>
    <w:p>
      <w:pPr>
        <w:spacing w:after="160"/>
        <w:jc w:val="left"/>
      </w:pPr>
      <w:r>
        <w:rPr>
          <w:sz w:val="22"/>
          <w:szCs w:val="22"/>
        </w:rPr>
        <w:t xml:space="preserve">This is not meant as pity-evoking description, but as specific legal description. The emerging legal jurisprudence — in the reports of the International Committee of the Red Cross, and in the rulings of the International Court of Justice on previous conflicts — distinguishes between "incidental military casualty" and "systematic depletion of the bearing civilian structure." The latter has a specific legal name in international law: the dismantling of the group as a group, which is among the material elements of the crime stipulated in the 1948 Convention on the Prevention of Genocide (Article 2(b) and (c)).</w:t>
      </w:r>
    </w:p>
    <w:p>
      <w:pPr>
        <w:spacing w:after="160"/>
        <w:jc w:val="left"/>
      </w:pPr>
      <w:r>
        <w:rPr>
          <w:sz w:val="22"/>
          <w:szCs w:val="22"/>
        </w:rPr>
        <w:t xml:space="preserve">We do not claim in this chapter that the criminal intent for applying this framework has been judicially proven; that is left to the courts. But we record what is being raised by jurists and academics around the world as a legitimate question that calls for investigation. The responsibility for answering this question does not lie with this book, but with the international judicial system. The mission of this book is to keep the question alive.</w:t>
      </w:r>
    </w:p>
    <w:p>
      <w:r>
        <w:br w:type="page"/>
      </w:r>
    </w:p>
    <w:p>
      <w:pPr>
        <w:spacing w:after="360" w:before="600"/>
        <w:jc w:val="center"/>
      </w:pPr>
      <w:r>
        <w:rPr>
          <w:b/>
          <w:bCs/>
          <w:color w:val="1B3A5C"/>
          <w:sz w:val="36"/>
          <w:szCs w:val="36"/>
        </w:rPr>
        <w:t xml:space="preserve">Chapter 6: Was It Intentional? International Law and the Evidence</w:t>
      </w:r>
    </w:p>
    <w:p>
      <w:pPr>
        <w:spacing w:after="160"/>
        <w:jc w:val="left"/>
      </w:pPr>
      <w:r>
        <w:rPr>
          <w:sz w:val="22"/>
          <w:szCs w:val="22"/>
        </w:rPr>
        <w:t xml:space="preserve">&gt; "O you who believe! Stand out firmly for justice, as witnesses to God, even as against yourselves." — Qur'an 4:135</w:t>
      </w:r>
    </w:p>
    <w:p>
      <w:pPr>
        <w:spacing w:after="160"/>
        <w:jc w:val="left"/>
      </w:pPr>
      <w:r>
        <w:rPr>
          <w:sz w:val="22"/>
          <w:szCs w:val="22"/>
        </w:rPr>
        <w:t xml:space="preserve">## The Fundamental Question</w:t>
      </w:r>
    </w:p>
    <w:p>
      <w:pPr>
        <w:spacing w:after="160"/>
        <w:jc w:val="left"/>
      </w:pPr>
      <w:r>
        <w:rPr>
          <w:sz w:val="22"/>
          <w:szCs w:val="22"/>
        </w:rPr>
        <w:t xml:space="preserve">The question posed in this chapter's title is not a sentimental one, but a strict legal question with defined criteria. In international law, the distinction between "killing" and "war crime" rests on four elements: conduct, knowledge, intent, and legal context. It is not enough for someone to die in war for their death to be a war crime; the legal elements specified in the Rome Statute of the International Criminal Court (Article 30 and Article 8(2)) and in customary international law must be present.</w:t>
      </w:r>
    </w:p>
    <w:p>
      <w:pPr>
        <w:spacing w:after="160"/>
        <w:jc w:val="left"/>
      </w:pPr>
      <w:r>
        <w:rPr>
          <w:sz w:val="22"/>
          <w:szCs w:val="22"/>
        </w:rPr>
        <w:t xml:space="preserve">In this chapter, we will address the question with a calm, sequential method: what are the relevant principles of international humanitarian law? What is the legal standard for "intent"? What evidence is available in the documented cases? And what international legal proceedings are currently underway? We will leave to the reader the judgment as to whether the available evidence is sufficient or not, but we will record the state of this evidence as it is, with its sources as they are, without interpretation that exceeds what the investigators themselves say.</w:t>
      </w:r>
    </w:p>
    <w:p>
      <w:pPr>
        <w:spacing w:after="160"/>
        <w:jc w:val="left"/>
      </w:pPr>
      <w:r>
        <w:rPr>
          <w:sz w:val="22"/>
          <w:szCs w:val="22"/>
        </w:rPr>
        <w:t xml:space="preserve">## The Three Principles: Distinction, Proportionality, Precaution</w:t>
      </w:r>
    </w:p>
    <w:p>
      <w:pPr>
        <w:spacing w:after="160"/>
        <w:jc w:val="left"/>
      </w:pPr>
      <w:r>
        <w:rPr>
          <w:sz w:val="22"/>
          <w:szCs w:val="22"/>
        </w:rPr>
        <w:t xml:space="preserve">The hard core of international humanitarian law revolves around three main principles, set out in the First Additional Protocol to the Geneva Conventions of 1977, and on which most rulings of the International Court of Justice and the Yugoslav and Rwanda criminal tribunals are based.</w:t>
      </w:r>
    </w:p>
    <w:p>
      <w:pPr>
        <w:spacing w:after="160"/>
        <w:jc w:val="left"/>
      </w:pPr>
      <w:r>
        <w:rPr>
          <w:sz w:val="22"/>
          <w:szCs w:val="22"/>
        </w:rPr>
        <w:t xml:space="preserve">**First, the principle of distinction** (Article 48 of the First Additional Protocol): parties to conflict shall at all times distinguish between civilian populations and combatants, between civilian objects and military objectives, and shall direct their operations only against military objectives. This principle is absolute and non-derogable, even in cases of military necessity.</w:t>
      </w:r>
    </w:p>
    <w:p>
      <w:pPr>
        <w:spacing w:after="160"/>
        <w:jc w:val="left"/>
      </w:pPr>
      <w:r>
        <w:rPr>
          <w:sz w:val="22"/>
          <w:szCs w:val="22"/>
        </w:rPr>
        <w:t xml:space="preserve">**Second, the principle of proportionality** (Article 51(5)(b)): it is prohibited to "launch any attack which may be expected to cause incidental loss of civilian life, injury to civilians, damage to civilian objects, or a combination thereof, which would be excessive in relation to the concrete and direct military advantage anticipated." The test here is "clear excess" of civilian casualties relative to military advantage, not the mere occurrence of casualties.</w:t>
      </w:r>
    </w:p>
    <w:p>
      <w:pPr>
        <w:spacing w:after="160"/>
        <w:jc w:val="left"/>
      </w:pPr>
      <w:r>
        <w:rPr>
          <w:sz w:val="22"/>
          <w:szCs w:val="22"/>
        </w:rPr>
        <w:t xml:space="preserve">**Third, the principle of precautions** (Article 57): parties to a conflict shall take all feasible precautions in attack to avoid and minimize loss of civilian life and damage to civilian objects. This includes: verifying the nature of the target, choosing methods and means of attack to minimize civilian losses, suspending or canceling the attack if the target is found to be non-military or if civilian casualties would be excessive, and giving "Effective Advance Warning" when circumstances permit.</w:t>
      </w:r>
    </w:p>
    <w:p>
      <w:pPr>
        <w:spacing w:after="160"/>
        <w:jc w:val="left"/>
      </w:pPr>
      <w:r>
        <w:rPr>
          <w:sz w:val="22"/>
          <w:szCs w:val="22"/>
        </w:rPr>
        <w:t xml:space="preserve">## What Is the Legal Standard for "Intent"?</w:t>
      </w:r>
    </w:p>
    <w:p>
      <w:pPr>
        <w:spacing w:after="160"/>
        <w:jc w:val="left"/>
      </w:pPr>
      <w:r>
        <w:rPr>
          <w:sz w:val="22"/>
          <w:szCs w:val="22"/>
        </w:rPr>
        <w:t xml:space="preserve">In international criminal jurisprudence, "intent" (Dolus) does not only mean that the perpetrator wanted the result directly. There are three levels recognized in the Rome Statute (Article 30) and in the rulings of the Yugoslav and Rwanda tribunals:</w:t>
      </w:r>
    </w:p>
    <w:p>
      <w:pPr>
        <w:spacing w:after="160"/>
        <w:jc w:val="left"/>
      </w:pPr>
      <w:r>
        <w:rPr>
          <w:sz w:val="22"/>
          <w:szCs w:val="22"/>
        </w:rPr>
        <w:t xml:space="preserve">**Direct intent (Dolus Directus of the first degree)**: the perpetrator directly wanted to achieve the prohibited result. Example: shooting at a person with the intent to kill.</w:t>
      </w:r>
    </w:p>
    <w:p>
      <w:pPr>
        <w:spacing w:after="160"/>
        <w:jc w:val="left"/>
      </w:pPr>
      <w:r>
        <w:rPr>
          <w:sz w:val="22"/>
          <w:szCs w:val="22"/>
        </w:rPr>
        <w:t xml:space="preserve">**Cognitive intent (Dolus Directus of the second degree)**: the perpetrator knew that the prohibited result would occur as a virtually certain consequence of their conduct, even if the result was not their original goal. Example: dropping a bomb on a building knowing it contains civilians, with the intent of hitting a military target.</w:t>
      </w:r>
    </w:p>
    <w:p>
      <w:pPr>
        <w:spacing w:after="160"/>
        <w:jc w:val="left"/>
      </w:pPr>
      <w:r>
        <w:rPr>
          <w:sz w:val="22"/>
          <w:szCs w:val="22"/>
        </w:rPr>
        <w:t xml:space="preserve">**Conditional intent (Dolus Eventualis)**: the perpetrator foresaw that the prohibited result might occur, accepted this possibility, and continued their conduct. This standard is subject to scholarly disagreement between the Anglo-Saxon school (which uses the concept of recklessness instead) and the European Continental school, but the International Criminal Court has accepted some form of it in the Lubanga case (ICC, Lubanga Case 2012).</w:t>
      </w:r>
    </w:p>
    <w:p>
      <w:pPr>
        <w:spacing w:after="160"/>
        <w:jc w:val="left"/>
      </w:pPr>
      <w:r>
        <w:rPr>
          <w:sz w:val="22"/>
          <w:szCs w:val="22"/>
        </w:rPr>
        <w:t xml:space="preserve">In cases of targeting journalists, humanitarian workers, and prominent civilians, the test investigators apply in most cases is the standard of **"knew or should have known."** If the objective circumstances (clarity of "PRESS" markings, advance coordination, the nature of the humanitarian vehicle) make it impossible for a person taking the necessary precautions to err in identification, then the "claimed ignorance" does not absolve responsibility. This test was applied by the International Criminal Tribunal for the Former Yugoslavia in a number of its cases, including the Galić case concerning the bombing of Sarajevo (ICTY, Galić Case 2003).</w:t>
      </w:r>
    </w:p>
    <w:p>
      <w:pPr>
        <w:spacing w:after="160"/>
        <w:jc w:val="left"/>
      </w:pPr>
      <w:r>
        <w:rPr>
          <w:sz w:val="22"/>
          <w:szCs w:val="22"/>
        </w:rPr>
        <w:t xml:space="preserve">## What the Evidence Says in the Issam Abdallah Case</w:t>
      </w:r>
    </w:p>
    <w:p>
      <w:pPr>
        <w:spacing w:after="160"/>
        <w:jc w:val="left"/>
      </w:pPr>
      <w:r>
        <w:rPr>
          <w:sz w:val="22"/>
          <w:szCs w:val="22"/>
        </w:rPr>
        <w:t xml:space="preserve">This test was explicitly applied in the case of Reuters correspondent Issam Abdallah. The evidence collected by Reuters, Human Rights Watch, and Amnesty International intersect in a unified conclusion. We summarize it here:</w:t>
      </w:r>
    </w:p>
    <w:p>
      <w:pPr>
        <w:spacing w:after="160"/>
        <w:jc w:val="left"/>
      </w:pPr>
      <w:r>
        <w:rPr>
          <w:sz w:val="22"/>
          <w:szCs w:val="22"/>
        </w:rPr>
        <w:t xml:space="preserve">1. The seven journalists were at a publicly visible location on a hill, having been there for a full hour before the strike, carrying cameras on raised tripods, wearing clearly visible blue "PRESS" vests, and their vehicles marked with the large "TV" symbol on the roofs (Reuters Investigation, December 2023).</w:t>
      </w:r>
    </w:p>
    <w:p>
      <w:pPr>
        <w:spacing w:after="160"/>
        <w:jc w:val="left"/>
      </w:pPr>
      <w:r>
        <w:rPr>
          <w:sz w:val="22"/>
          <w:szCs w:val="22"/>
        </w:rPr>
        <w:t xml:space="preserve">2. The location was clearly visible from the Israeli side of the border at a distance of approximately 1.5 kilometers, within a field of view permitting visual distinction with the tank's thermal and optical viewing equipment (HRW Investigation, 2023).</w:t>
      </w:r>
    </w:p>
    <w:p>
      <w:pPr>
        <w:spacing w:after="160"/>
        <w:jc w:val="left"/>
      </w:pPr>
      <w:r>
        <w:rPr>
          <w:sz w:val="22"/>
          <w:szCs w:val="22"/>
        </w:rPr>
        <w:t xml:space="preserve">3. An hour before the strike, an Israeli reconnaissance aircraft was flying over the location — confirmed by field camera recordings and aircraft logs — indicating that the location was known to the Israeli side (Amnesty Investigation, 2023).</w:t>
      </w:r>
    </w:p>
    <w:p>
      <w:pPr>
        <w:spacing w:after="160"/>
        <w:jc w:val="left"/>
      </w:pPr>
      <w:r>
        <w:rPr>
          <w:sz w:val="22"/>
          <w:szCs w:val="22"/>
        </w:rPr>
        <w:t xml:space="preserve">4. The shell that hit the group was a 120mm tank shell, and the explosive ammunition analysis conducted by Amnesty International's munitions experts matched the ammunition used by Israeli armored vehicles in that area at that time.</w:t>
      </w:r>
    </w:p>
    <w:p>
      <w:pPr>
        <w:spacing w:after="160"/>
        <w:jc w:val="left"/>
      </w:pPr>
      <w:r>
        <w:rPr>
          <w:sz w:val="22"/>
          <w:szCs w:val="22"/>
        </w:rPr>
        <w:t xml:space="preserve">5. The second shell was fired only 37 seconds after the first, hitting the same group after the journalists had begun dispersing to assist Issam. This sequence — according to HRW analysis — does not align with the "random strike" hypothesis but aligns with the "Confirming Strike" pattern documented in previous intentional targeting cases.</w:t>
      </w:r>
    </w:p>
    <w:p>
      <w:pPr>
        <w:spacing w:after="160"/>
        <w:jc w:val="left"/>
      </w:pPr>
      <w:r>
        <w:rPr>
          <w:sz w:val="22"/>
          <w:szCs w:val="22"/>
        </w:rPr>
        <w:t xml:space="preserve">HRW and Amnesty conclude that "the available evidence indicates that the attack was either intentional or carried out with gross failure to apply precautions," and that "this constitutes a possible war crime under the Rome Statute" (HRW, December 2023; Amnesty, December 2023).</w:t>
      </w:r>
    </w:p>
    <w:p>
      <w:pPr>
        <w:spacing w:after="160"/>
        <w:jc w:val="left"/>
      </w:pPr>
      <w:r>
        <w:rPr>
          <w:sz w:val="22"/>
          <w:szCs w:val="22"/>
        </w:rPr>
        <w:t xml:space="preserve">## What the Evidence Says in the WCK Case</w:t>
      </w:r>
    </w:p>
    <w:p>
      <w:pPr>
        <w:spacing w:after="160"/>
        <w:jc w:val="left"/>
      </w:pPr>
      <w:r>
        <w:rPr>
          <w:sz w:val="22"/>
          <w:szCs w:val="22"/>
        </w:rPr>
        <w:t xml:space="preserve">In the World Central Kitchen case, similar objective evidence is available with comparable clarity:</w:t>
      </w:r>
    </w:p>
    <w:p>
      <w:pPr>
        <w:spacing w:after="160"/>
        <w:jc w:val="left"/>
      </w:pPr>
      <w:r>
        <w:rPr>
          <w:sz w:val="22"/>
          <w:szCs w:val="22"/>
        </w:rPr>
        <w:t xml:space="preserve">1. Confirmed advance coordination through the Deconfliction mechanism, documented in emails and text correspondence preserved by WCK (WCK Internal Report, May 2024).</w:t>
      </w:r>
    </w:p>
    <w:p>
      <w:pPr>
        <w:spacing w:after="160"/>
        <w:jc w:val="left"/>
      </w:pPr>
      <w:r>
        <w:rPr>
          <w:sz w:val="22"/>
          <w:szCs w:val="22"/>
        </w:rPr>
        <w:t xml:space="preserve">2. Clarity of the logo on the vehicles: WCK logo on the roofs measuring 2 × 1 meters, in vivid colors, visually distinguishable from drone and warplane flight altitudes (ranging between 4,000 and 20,000 feet).</w:t>
      </w:r>
    </w:p>
    <w:p>
      <w:pPr>
        <w:spacing w:after="160"/>
        <w:jc w:val="left"/>
      </w:pPr>
      <w:r>
        <w:rPr>
          <w:sz w:val="22"/>
          <w:szCs w:val="22"/>
        </w:rPr>
        <w:t xml:space="preserve">3. The three successive strikes, separated in time (approximately five minutes between each strike), which hit the vehicles sequentially after they had been evacuated from the first vehicle. This pattern — according to Forensic Architecture analysis — contradicts the "random strike" hypothesis and is consistent with at least the cognitive intent hypothesis.</w:t>
      </w:r>
    </w:p>
    <w:p>
      <w:pPr>
        <w:spacing w:after="160"/>
        <w:jc w:val="left"/>
      </w:pPr>
      <w:r>
        <w:rPr>
          <w:sz w:val="22"/>
          <w:szCs w:val="22"/>
        </w:rPr>
        <w:t xml:space="preserve">4. The Israeli military's own admission, in its internal investigation, that "identification procedures were not properly applied" (IDF Press Release, April 5, 2024). This self-admission of negligence in precautions represents a partial acknowledgment that one of the elements of the crime (gross negligence in applying the principle of precaution) was present.</w:t>
      </w:r>
    </w:p>
    <w:p>
      <w:pPr>
        <w:spacing w:after="160"/>
        <w:jc w:val="left"/>
      </w:pPr>
      <w:r>
        <w:rPr>
          <w:sz w:val="22"/>
          <w:szCs w:val="22"/>
        </w:rPr>
        <w:t xml:space="preserve">## The Standing International Decisions</w:t>
      </w:r>
    </w:p>
    <w:p>
      <w:pPr>
        <w:spacing w:after="160"/>
        <w:jc w:val="left"/>
      </w:pPr>
      <w:r>
        <w:rPr>
          <w:sz w:val="22"/>
          <w:szCs w:val="22"/>
        </w:rPr>
        <w:t xml:space="preserve">This evidence has not remained theoretical; it has entered actual international judicial proceedings:</w:t>
      </w:r>
    </w:p>
    <w:p>
      <w:pPr>
        <w:spacing w:after="160"/>
        <w:jc w:val="left"/>
      </w:pPr>
      <w:r>
        <w:rPr>
          <w:sz w:val="22"/>
          <w:szCs w:val="22"/>
        </w:rPr>
        <w:t xml:space="preserve">**International Court of Justice (ICJ)**: In January 2024, the International Court of Justice issued a historic ruling concerning the case filed by South Africa against Israel under the Convention on the Prevention of Genocide. The "Provisional Measures" ruling did not yet determine that genocide had occurred — that requires years of trial — but it determined that "South Africa has presented plausible claims that Israel's actions may fall within the scope of the Genocide Convention," and ordered Israel to take measures to prevent escalation of the situation (ICJ, Order of 26 January 2024). In May 2024, the court reinforced its rulings by ordering the cessation of military operations in Rafah. The documented decisions of the ICJ are considered binding legal references under the court's system.</w:t>
      </w:r>
    </w:p>
    <w:p>
      <w:pPr>
        <w:spacing w:after="160"/>
        <w:jc w:val="left"/>
      </w:pPr>
      <w:r>
        <w:rPr>
          <w:sz w:val="22"/>
          <w:szCs w:val="22"/>
        </w:rPr>
        <w:t xml:space="preserve">**International Criminal Court (ICC)**: In May 2024, the court's Prosecutor Karim Khan announced his request to issue arrest warrants for both Israeli Prime Minister Benjamin Netanyahu and former Defense Minister Yoav Gallant, as well as for three Hamas leaders (Yahya Sinwar, Mohammed Deif, and Ismail Haniyeh, two of whom were subsequently killed). The charges include: starvation as a method of warfare, persecution, willful killing, directing attacks against civilians, and other inhumane acts (ICC Prosecutor Statement, 20 May 2024). In November 2024, the Pre-Trial Chamber of the ICC issued formal arrest warrants for Netanyahu and Gallant (ICC Decision, 21 November 2024). This is the first decision of its kind issued by the court against executive officials of a state allied closely with the major Western powers.</w:t>
      </w:r>
    </w:p>
    <w:p>
      <w:pPr>
        <w:spacing w:after="160"/>
        <w:jc w:val="left"/>
      </w:pPr>
      <w:r>
        <w:rPr>
          <w:sz w:val="22"/>
          <w:szCs w:val="22"/>
        </w:rPr>
        <w:t xml:space="preserve">## Reservations and Counter-Considerations</w:t>
      </w:r>
    </w:p>
    <w:p>
      <w:pPr>
        <w:spacing w:after="160"/>
        <w:jc w:val="left"/>
      </w:pPr>
      <w:r>
        <w:rPr>
          <w:sz w:val="22"/>
          <w:szCs w:val="22"/>
        </w:rPr>
        <w:t xml:space="preserve">In the spirit of scholarly honesty, some fundamental reservations must be recorded:</w:t>
      </w:r>
    </w:p>
    <w:p>
      <w:pPr>
        <w:spacing w:after="160"/>
        <w:jc w:val="left"/>
      </w:pPr>
      <w:r>
        <w:rPr>
          <w:sz w:val="22"/>
          <w:szCs w:val="22"/>
        </w:rPr>
        <w:t xml:space="preserve">1. **The counter-hypothesis from the Israeli side**: the Israeli government argues that all of these cases were errors in identification, that the victims were in a "mixed location" (proportion of combatants and civilians), or that the journalist or humanitarian worker concerned was "operationally linked" to Hamas. Each of these hypotheses warrants legal examination, and independent investigators have examined them in a number of cases and found that they do not withstand the available field evidence.</w:t>
      </w:r>
    </w:p>
    <w:p>
      <w:pPr>
        <w:spacing w:after="160"/>
        <w:jc w:val="left"/>
      </w:pPr>
      <w:r>
        <w:rPr>
          <w:sz w:val="22"/>
          <w:szCs w:val="22"/>
        </w:rPr>
        <w:t xml:space="preserve">2. **Limited access to evidence**: one of the major challenges to international criminal investigation is that core military evidence (aircraft logs, communications recordings, firing instructions) is held by the Israeli military, which has not cooperated with independent investigative mechanisms. This makes proving "intent" in the legal sense difficult — but not impossible.</w:t>
      </w:r>
    </w:p>
    <w:p>
      <w:pPr>
        <w:spacing w:after="160"/>
        <w:jc w:val="left"/>
      </w:pPr>
      <w:r>
        <w:rPr>
          <w:sz w:val="22"/>
          <w:szCs w:val="22"/>
        </w:rPr>
        <w:t xml:space="preserve">3. **Pattern versus individual incident**: criminal investigation is generally concerned with the individual incident, while a pattern is investigated as a separate war crime — directing systematic attacks against a protected category. This shift from incident to pattern represents a legal development that current investigations are benefiting from.</w:t>
      </w:r>
    </w:p>
    <w:p>
      <w:pPr>
        <w:spacing w:after="160"/>
        <w:jc w:val="left"/>
      </w:pPr>
      <w:r>
        <w:rPr>
          <w:sz w:val="22"/>
          <w:szCs w:val="22"/>
        </w:rPr>
        <w:t xml:space="preserve">## Conclusion: The Question Remains Open Legally</w:t>
      </w:r>
    </w:p>
    <w:p>
      <w:pPr>
        <w:spacing w:after="160"/>
        <w:jc w:val="left"/>
      </w:pPr>
      <w:r>
        <w:rPr>
          <w:sz w:val="22"/>
          <w:szCs w:val="22"/>
        </w:rPr>
        <w:t xml:space="preserve">This book cannot issue a judicial verdict. Only international courts, through their procedures, can. But what this book can record is that the question **"Was it intentional?"** has decisively entered the international legal space, and that **plausible claims of war crimes** have been accepted by the highest court in the UN system (the International Court of Justice), and that **arrest warrants** have been issued against major political and military officials. This in itself is a historic event, regardless of the final outcome of the trials.</w:t>
      </w:r>
    </w:p>
    <w:p>
      <w:pPr>
        <w:spacing w:after="160"/>
        <w:jc w:val="left"/>
      </w:pPr>
      <w:r>
        <w:rPr>
          <w:sz w:val="22"/>
          <w:szCs w:val="22"/>
        </w:rPr>
        <w:t xml:space="preserve">The responsibility falls on those who come after us to complete the investigation, and to ensure that the gap between available evidence and actual accountability is closed. The golden jurisprudential rule in international criminal law is summarized in two words: **No Impunity**. And God knows what those who judge will judge by, and it is enough for us to record what we have witnessed.</w:t>
      </w:r>
    </w:p>
    <w:p>
      <w:r>
        <w:br w:type="page"/>
      </w:r>
    </w:p>
    <w:p>
      <w:pPr>
        <w:spacing w:after="360" w:before="600"/>
        <w:jc w:val="center"/>
      </w:pPr>
      <w:r>
        <w:rPr>
          <w:b/>
          <w:bCs/>
          <w:color w:val="1B3A5C"/>
          <w:sz w:val="36"/>
          <w:szCs w:val="36"/>
        </w:rPr>
        <w:t xml:space="preserve">Chapter 7: Investigations — What the Organizations Found</w:t>
      </w:r>
    </w:p>
    <w:p>
      <w:pPr>
        <w:spacing w:after="160"/>
        <w:jc w:val="left"/>
      </w:pPr>
      <w:r>
        <w:rPr>
          <w:sz w:val="22"/>
          <w:szCs w:val="22"/>
        </w:rPr>
        <w:t xml:space="preserve">&gt; "And do not pursue that of which you have no knowledge. Indeed, the hearing, the sight, and the heart — about all those one will be questioned." — Qur'an 17:36</w:t>
      </w:r>
    </w:p>
    <w:p>
      <w:pPr>
        <w:spacing w:after="160"/>
        <w:jc w:val="left"/>
      </w:pPr>
      <w:r>
        <w:rPr>
          <w:sz w:val="22"/>
          <w:szCs w:val="22"/>
        </w:rPr>
        <w:t xml:space="preserve">## The Methodology of Independent Investigation</w:t>
      </w:r>
    </w:p>
    <w:p>
      <w:pPr>
        <w:spacing w:after="160"/>
        <w:jc w:val="left"/>
      </w:pPr>
      <w:r>
        <w:rPr>
          <w:sz w:val="22"/>
          <w:szCs w:val="22"/>
        </w:rPr>
        <w:t xml:space="preserve">The documentation of any conflict is not complete except through investigations conducted by parties with no direct interest in the outcome. International humanitarian law itself assumes this principle: the accused cannot be the judge in their own case. Therefore, the United Nations system, international human rights organizations, and professional media outlets have established layers of independent investigation that run parallel, intersect, and complement one another. In this chapter, we will review the most prominent investigations published to date, with a focus on their methodologies and public conclusions.</w:t>
      </w:r>
    </w:p>
    <w:p>
      <w:pPr>
        <w:spacing w:after="160"/>
        <w:jc w:val="left"/>
      </w:pPr>
      <w:r>
        <w:rPr>
          <w:sz w:val="22"/>
          <w:szCs w:val="22"/>
        </w:rPr>
        <w:t xml:space="preserve">There are three types of investigations documented in this conflict: (1) investigations by international human rights organizations, (2) major media investigations using open-source intelligence (OSINT) techniques, and (3) official UN investigations, including the Independent International Commission of Inquiry. We will examine each in turn.</w:t>
      </w:r>
    </w:p>
    <w:p>
      <w:pPr>
        <w:spacing w:after="160"/>
        <w:jc w:val="left"/>
      </w:pPr>
      <w:r>
        <w:rPr>
          <w:sz w:val="22"/>
          <w:szCs w:val="22"/>
        </w:rPr>
        <w:t xml:space="preserve">## First: Human Rights Watch (HRW) Investigations</w:t>
      </w:r>
    </w:p>
    <w:p>
      <w:pPr>
        <w:spacing w:after="160"/>
        <w:jc w:val="left"/>
      </w:pPr>
      <w:r>
        <w:rPr>
          <w:sz w:val="22"/>
          <w:szCs w:val="22"/>
        </w:rPr>
        <w:t xml:space="preserve">Human Rights Watch is one of the most established international human rights organizations. Founded in 1978, it follows a rigorous investigative methodology that includes: field visits where possible, interviews with multiple independent witnesses, ammunition analysis through specialized military experts, the use of satellite imagery for geographic verification, and the cross-referencing of all parties' accounts (including official Israeli military statements).</w:t>
      </w:r>
    </w:p>
    <w:p>
      <w:pPr>
        <w:spacing w:after="160"/>
        <w:jc w:val="left"/>
      </w:pPr>
      <w:r>
        <w:rPr>
          <w:sz w:val="22"/>
          <w:szCs w:val="22"/>
        </w:rPr>
        <w:t xml:space="preserve">Between October 2023 and mid-2025, HRW published no fewer than fifteen detailed reports on Gaza (HRW Reports, 2023–2025), the most prominent being:</w:t>
      </w:r>
    </w:p>
    <w:p>
      <w:pPr>
        <w:spacing w:after="160"/>
        <w:jc w:val="left"/>
      </w:pPr>
      <w:r>
        <w:rPr>
          <w:sz w:val="22"/>
          <w:szCs w:val="22"/>
        </w:rPr>
        <w:t xml:space="preserve">- The "Civilian War: Israeli Patterns in Targeting Civilians" report (January 2024): an extensive study of twenty-five bombing incidents on residential neighborhoods, concluding that at least five of them meet the criteria for "possible war crimes" under the Rome Statute (HRW, "Civilian Casualties: Israeli Patterns" January 2024).</w:t>
      </w:r>
    </w:p>
    <w:p>
      <w:pPr>
        <w:spacing w:after="160"/>
        <w:jc w:val="left"/>
      </w:pPr>
      <w:r>
        <w:rPr>
          <w:sz w:val="22"/>
          <w:szCs w:val="22"/>
        </w:rPr>
        <w:t xml:space="preserve">- The "Targeting of Journalists in Lebanon and Gaza" report (May 2024): an analysis of nine cases considered fully documented, including the cases of Issam Abdallah, Hamza Dahdouh, and Ismail Al-Ghoul. HRW concluded that "a pattern of failure of precautions" exists.</w:t>
      </w:r>
    </w:p>
    <w:p>
      <w:pPr>
        <w:spacing w:after="160"/>
        <w:jc w:val="left"/>
      </w:pPr>
      <w:r>
        <w:rPr>
          <w:sz w:val="22"/>
          <w:szCs w:val="22"/>
        </w:rPr>
        <w:t xml:space="preserve">- The "Use of Starvation as a Weapon of War" report (December 2023): the first investigation of its kind that provides evidence that the systematic obstruction of humanitarian aid is itself a policy, not a series of failures.</w:t>
      </w:r>
    </w:p>
    <w:p>
      <w:pPr>
        <w:spacing w:after="160"/>
        <w:jc w:val="left"/>
      </w:pPr>
      <w:r>
        <w:rPr>
          <w:sz w:val="22"/>
          <w:szCs w:val="22"/>
        </w:rPr>
        <w:t xml:space="preserve">- The "Destruction of Medical Facilities" report (March 2024): documentation of twenty incidents of attack on hospitals and clinics, with assessment of the use of heavy ammunition in medical zones.</w:t>
      </w:r>
    </w:p>
    <w:p>
      <w:pPr>
        <w:spacing w:after="160"/>
        <w:jc w:val="left"/>
      </w:pPr>
      <w:r>
        <w:rPr>
          <w:sz w:val="22"/>
          <w:szCs w:val="22"/>
        </w:rPr>
        <w:t xml:space="preserve">In each report, HRW states the methodology used, presents its evidence in full, and opens the field for response from the Israeli military (which generally provides brief responses denying intent). One of the most distinctive features of HRW reports is its insistence on distinguishing between "clear war crime" and "investigation warranted," not making accusations without evidence, and not closing the door on pending investigations.</w:t>
      </w:r>
    </w:p>
    <w:p>
      <w:pPr>
        <w:spacing w:after="160"/>
        <w:jc w:val="left"/>
      </w:pPr>
      <w:r>
        <w:rPr>
          <w:sz w:val="22"/>
          <w:szCs w:val="22"/>
        </w:rPr>
        <w:t xml:space="preserve">## Second: Amnesty International Investigations</w:t>
      </w:r>
    </w:p>
    <w:p>
      <w:pPr>
        <w:spacing w:after="160"/>
        <w:jc w:val="left"/>
      </w:pPr>
      <w:r>
        <w:rPr>
          <w:sz w:val="22"/>
          <w:szCs w:val="22"/>
        </w:rPr>
        <w:t xml:space="preserve">Amnesty International, during the same period, published a comparable number of investigations. In December 2023, the organization issued its most prominent report titled "Damning Evidence of Israeli War Crimes Against Civilians," which documented twenty bombing incidents on residential homes, concluding in most of them that "the necessary precautions were not taken," and that "civilian casualties were disproportionate" (Amnesty International, December 2023).</w:t>
      </w:r>
    </w:p>
    <w:p>
      <w:pPr>
        <w:spacing w:after="160"/>
        <w:jc w:val="left"/>
      </w:pPr>
      <w:r>
        <w:rPr>
          <w:sz w:val="22"/>
          <w:szCs w:val="22"/>
        </w:rPr>
        <w:t xml:space="preserve">In October 2024, Amnesty published its most detailed report, extending to more than 200 pages, titled "You Feel Like You Are Subhuman: Israel's Genocide Against Palestinians in Gaza" (Amnesty International, October 2024). This report is the first issued by a major international human rights organization to officially use the term "genocide" in describing the events, based on the criteria set out in the 1948 Genocide Convention. The report enumerates the material and mental elements stipulated in Article 2 of the Convention and provides evidence of their presence.</w:t>
      </w:r>
    </w:p>
    <w:p>
      <w:pPr>
        <w:spacing w:after="160"/>
        <w:jc w:val="left"/>
      </w:pPr>
      <w:r>
        <w:rPr>
          <w:sz w:val="22"/>
          <w:szCs w:val="22"/>
        </w:rPr>
        <w:t xml:space="preserve">Amnesty issued a statement linking it to ICC standards, affirming that the organization does not replace courts in issuing rulings, but it records that "the existing evidence is sufficient to open an official investigation on charges of genocide" (Amnesty International Statement, October 2024). This statement, with differing opinions on it, sparked wide international resonance and opened a legal debate on the standards of evidence in genocide crimes.</w:t>
      </w:r>
    </w:p>
    <w:p>
      <w:pPr>
        <w:spacing w:after="160"/>
        <w:jc w:val="left"/>
      </w:pPr>
      <w:r>
        <w:rPr>
          <w:sz w:val="22"/>
          <w:szCs w:val="22"/>
        </w:rPr>
        <w:t xml:space="preserve">## Third: The Joint Investigation in the Issam Abdallah Case</w:t>
      </w:r>
    </w:p>
    <w:p>
      <w:pPr>
        <w:spacing w:after="160"/>
        <w:jc w:val="left"/>
      </w:pPr>
      <w:r>
        <w:rPr>
          <w:sz w:val="22"/>
          <w:szCs w:val="22"/>
        </w:rPr>
        <w:t xml:space="preserve">One of the most complete and accurate investigations in this conflict is the joint investigation independently led by Reuters, then published in coordination with the HRW and Amnesty investigations. In December 2023, Reuters published an investigation extending over more than 100 pages, based on:</w:t>
      </w:r>
    </w:p>
    <w:p>
      <w:pPr>
        <w:spacing w:after="160"/>
        <w:jc w:val="left"/>
      </w:pPr>
      <w:r>
        <w:rPr>
          <w:sz w:val="22"/>
          <w:szCs w:val="22"/>
        </w:rPr>
        <w:t xml:space="preserve">- Analysis of 74 video clips taken from the journalists' own cameras. - Analysis of 120 images from multiple field sources. - Analysis of commercial satellite imagery from Maxar. - A field investigation conducted by a Reuters team at the incident site. - Ammunition analysis through independent experts, including former U.S. military experts and military investigators from Forensic Architecture. - Interviews with 16 witnesses, including the surviving journalists.</w:t>
      </w:r>
    </w:p>
    <w:p>
      <w:pPr>
        <w:spacing w:after="160"/>
        <w:jc w:val="left"/>
      </w:pPr>
      <w:r>
        <w:rPr>
          <w:sz w:val="22"/>
          <w:szCs w:val="22"/>
        </w:rPr>
        <w:t xml:space="preserve">Reuters concluded the following: "The evidence indicates conclusively that the press group was struck by a 120mm tank shell fired from the Israeli side of the border, from the position of armored unit number [number redacted for legal reasons]" (Reuters, December 2023). It also confirmed that the tank crew was able to clearly see the press group through their thermal and optical viewing devices. This investigation is a model of what media can achieve when it allocates sufficient resources for specialized investigation.</w:t>
      </w:r>
    </w:p>
    <w:p>
      <w:pPr>
        <w:spacing w:after="160"/>
        <w:jc w:val="left"/>
      </w:pPr>
      <w:r>
        <w:rPr>
          <w:sz w:val="22"/>
          <w:szCs w:val="22"/>
        </w:rPr>
        <w:t xml:space="preserve">## Fourth: Official UN Investigations</w:t>
      </w:r>
    </w:p>
    <w:p>
      <w:pPr>
        <w:spacing w:after="160"/>
        <w:jc w:val="left"/>
      </w:pPr>
      <w:r>
        <w:rPr>
          <w:sz w:val="22"/>
          <w:szCs w:val="22"/>
        </w:rPr>
        <w:t xml:space="preserve">The United Nations Human Rights Council established the "Independent International Commission of Inquiry" in 2021, chaired by South African judge Navi Pillay. Since October 7, 2023, the commission has held hearings and issued two main reports:</w:t>
      </w:r>
    </w:p>
    <w:p>
      <w:pPr>
        <w:spacing w:after="160"/>
        <w:jc w:val="left"/>
      </w:pPr>
      <w:r>
        <w:rPr>
          <w:sz w:val="22"/>
          <w:szCs w:val="22"/>
        </w:rPr>
        <w:t xml:space="preserve">- The first report (June 2024): concluded that both Hamas and Israel had committed war crimes, and that Israel had committed crimes against humanity including extermination, persecution, willful killing, and starvation as a method of warfare (UN Commission of Inquiry, A/HRC/56/26, June 2024).</w:t>
      </w:r>
    </w:p>
    <w:p>
      <w:pPr>
        <w:spacing w:after="160"/>
        <w:jc w:val="left"/>
      </w:pPr>
      <w:r>
        <w:rPr>
          <w:sz w:val="22"/>
          <w:szCs w:val="22"/>
        </w:rPr>
        <w:t xml:space="preserve">- The second report (October 2024): focused on the targeting of children, concluding that Israeli patterns meet the element of "causing serious bodily and mental harm" stipulated in the Genocide Convention, without issuing a final ruling proving genocide entirely.</w:t>
      </w:r>
    </w:p>
    <w:p>
      <w:pPr>
        <w:spacing w:after="160"/>
        <w:jc w:val="left"/>
      </w:pPr>
      <w:r>
        <w:rPr>
          <w:sz w:val="22"/>
          <w:szCs w:val="22"/>
        </w:rPr>
        <w:t xml:space="preserve">The Office of the High Commissioner for Human Rights (OHCHR) also published dozens of country reports, including a report in June 2024 on "the pattern of Israeli military attacks in Gaza" (OHCHR Report, A/HRC/56/CRP.3, June 2024). The UN Special Rapporteur on the Palestinian Territory, Francesca Albanese, also published three reports, the most prominent being the "Anatomy of a Genocide" report submitted to the General Assembly in March 2024, which sparked wide debate (UN Special Rapporteur Report, A/HRC/55/73, 2024).</w:t>
      </w:r>
    </w:p>
    <w:p>
      <w:pPr>
        <w:spacing w:after="160"/>
        <w:jc w:val="left"/>
      </w:pPr>
      <w:r>
        <w:rPr>
          <w:sz w:val="22"/>
          <w:szCs w:val="22"/>
        </w:rPr>
        <w:t xml:space="preserve">## Fifth: Israeli Self-Investigations</w:t>
      </w:r>
    </w:p>
    <w:p>
      <w:pPr>
        <w:spacing w:after="160"/>
        <w:jc w:val="left"/>
      </w:pPr>
      <w:r>
        <w:rPr>
          <w:sz w:val="22"/>
          <w:szCs w:val="22"/>
        </w:rPr>
        <w:t xml:space="preserve">For the sake of fairness, reference must be made to the self-investigations conducted by the Israeli military. The most prominent is the investigation into the WCK incident (April 2024), which acknowledged "failures in identification" and dismissed two officers, and internal investigations into other cases whose details were not published.</w:t>
      </w:r>
    </w:p>
    <w:p>
      <w:pPr>
        <w:spacing w:after="160"/>
        <w:jc w:val="left"/>
      </w:pPr>
      <w:r>
        <w:rPr>
          <w:sz w:val="22"/>
          <w:szCs w:val="22"/>
        </w:rPr>
        <w:t xml:space="preserve">The international legal assessment of these self-investigations is reserved. Organizations including HRW, Amnesty, and the ICC have issued reports stating that "self-investigations are insufficient to meet the actual prosecution standards stipulated in international law," for several reasons: lack of institutional independence between the military commander and the military investigator, failure to publish evidence in full, and the suspension of penalties in most cases at the disciplinary rather than criminal level. The legal reference for this position is the **principle of complementarity** stipulated in Article 17 of the Rome Statute, which permits the International Criminal Court to bypass national jurisdiction if national investigations are "unable or unwilling" to achieve justice.</w:t>
      </w:r>
    </w:p>
    <w:p>
      <w:pPr>
        <w:spacing w:after="160"/>
        <w:jc w:val="left"/>
      </w:pPr>
      <w:r>
        <w:rPr>
          <w:sz w:val="22"/>
          <w:szCs w:val="22"/>
        </w:rPr>
        <w:t xml:space="preserve">## Sixth: International Media Investigations</w:t>
      </w:r>
    </w:p>
    <w:p>
      <w:pPr>
        <w:spacing w:after="160"/>
        <w:jc w:val="left"/>
      </w:pPr>
      <w:r>
        <w:rPr>
          <w:sz w:val="22"/>
          <w:szCs w:val="22"/>
        </w:rPr>
        <w:t xml:space="preserve">Major international media outlets participated in in-depth investigations, including:</w:t>
      </w:r>
    </w:p>
    <w:p>
      <w:pPr>
        <w:spacing w:after="160"/>
        <w:jc w:val="left"/>
      </w:pPr>
      <w:r>
        <w:rPr>
          <w:sz w:val="22"/>
          <w:szCs w:val="22"/>
        </w:rPr>
        <w:t xml:space="preserve">- **CNN**: investigation into the Shireen Abu Akleh case (May 2022), which established the methodology for what followed. Also an investigation into the use of 2,000-pound bombs in residential neighborhoods (December 2023) (CNN Investigations, 2022–2024).</w:t>
      </w:r>
    </w:p>
    <w:p>
      <w:pPr>
        <w:spacing w:after="160"/>
        <w:jc w:val="left"/>
      </w:pPr>
      <w:r>
        <w:rPr>
          <w:sz w:val="22"/>
          <w:szCs w:val="22"/>
        </w:rPr>
        <w:t xml:space="preserve">- **The New York Times**: the "How Israel Used U.S. Bombs in Gaza" investigation (December 2023), which analyzed more than 2,300 strikes and concluded that the Israeli military used massive bombs in densely populated residential neighborhoods at unprecedented rates in modern wars (NYT Investigation, December 2023).</w:t>
      </w:r>
    </w:p>
    <w:p>
      <w:pPr>
        <w:spacing w:after="160"/>
        <w:jc w:val="left"/>
      </w:pPr>
      <w:r>
        <w:rPr>
          <w:sz w:val="22"/>
          <w:szCs w:val="22"/>
        </w:rPr>
        <w:t xml:space="preserve">- **The Washington Post**: an investigation into the "buffer zone" established by the Israeli military north of Gaza, and the destruction of 3,000 civilian buildings within it (WaPo Investigation, May 2024).</w:t>
      </w:r>
    </w:p>
    <w:p>
      <w:pPr>
        <w:spacing w:after="160"/>
        <w:jc w:val="left"/>
      </w:pPr>
      <w:r>
        <w:rPr>
          <w:sz w:val="22"/>
          <w:szCs w:val="22"/>
        </w:rPr>
        <w:t xml:space="preserve">- **+972 Magazine and Local Call** (independent Israeli media): investigations based on interviews with former soldiers, the most prominent being the "Lavender" investigation, which revealed an artificial intelligence system used to determine targets automatically, with a high error margin (+972 Magazine, April 2024).</w:t>
      </w:r>
    </w:p>
    <w:p>
      <w:pPr>
        <w:spacing w:after="160"/>
        <w:jc w:val="left"/>
      </w:pPr>
      <w:r>
        <w:rPr>
          <w:sz w:val="22"/>
          <w:szCs w:val="22"/>
        </w:rPr>
        <w:t xml:space="preserve">- **Forensic Architecture**: a research group based at Goldsmiths College in London, using computational engineering and 3D visual reconstruction techniques to investigate specific incidents. It has issued prominent investigations including the Hind Rajab case and the WCK case (Forensic Architecture, 2024).</w:t>
      </w:r>
    </w:p>
    <w:p>
      <w:pPr>
        <w:spacing w:after="160"/>
        <w:jc w:val="left"/>
      </w:pPr>
      <w:r>
        <w:rPr>
          <w:sz w:val="22"/>
          <w:szCs w:val="22"/>
        </w:rPr>
        <w:t xml:space="preserve">## Conclusion: What the Investigations Converge On</w:t>
      </w:r>
    </w:p>
    <w:p>
      <w:pPr>
        <w:spacing w:after="160"/>
        <w:jc w:val="left"/>
      </w:pPr>
      <w:r>
        <w:rPr>
          <w:sz w:val="22"/>
          <w:szCs w:val="22"/>
        </w:rPr>
        <w:t xml:space="preserve">Despite differences in their methodologies, sources, and political orientations, the above investigations converge on a number of conclusions:</w:t>
      </w:r>
    </w:p>
    <w:p>
      <w:pPr>
        <w:spacing w:after="160"/>
        <w:jc w:val="left"/>
      </w:pPr>
      <w:r>
        <w:rPr>
          <w:sz w:val="22"/>
          <w:szCs w:val="22"/>
        </w:rPr>
        <w:t xml:space="preserve">1. That a recurring pattern of casualties among journalists and humanitarian workers exists, and that it exceeds what can be explained by "random casualties in conflict."</w:t>
      </w:r>
    </w:p>
    <w:p>
      <w:pPr>
        <w:spacing w:after="160"/>
        <w:jc w:val="left"/>
      </w:pPr>
      <w:r>
        <w:rPr>
          <w:sz w:val="22"/>
          <w:szCs w:val="22"/>
        </w:rPr>
        <w:t xml:space="preserve">2. That the evidence in a number of individual cases meets the standards of legal intent (whether direct or cognitive).</w:t>
      </w:r>
    </w:p>
    <w:p>
      <w:pPr>
        <w:spacing w:after="160"/>
        <w:jc w:val="left"/>
      </w:pPr>
      <w:r>
        <w:rPr>
          <w:sz w:val="22"/>
          <w:szCs w:val="22"/>
        </w:rPr>
        <w:t xml:space="preserve">3. That the self-investigations conducted by the Israeli military have not met the independence standards stipulated in international law.</w:t>
      </w:r>
    </w:p>
    <w:p>
      <w:pPr>
        <w:spacing w:after="160"/>
        <w:jc w:val="left"/>
      </w:pPr>
      <w:r>
        <w:rPr>
          <w:sz w:val="22"/>
          <w:szCs w:val="22"/>
        </w:rPr>
        <w:t xml:space="preserve">4. That the major gap between available evidence and actual accountability is an institutional issue, not a problem of evidence availability.</w:t>
      </w:r>
    </w:p>
    <w:p>
      <w:pPr>
        <w:spacing w:after="160"/>
        <w:jc w:val="left"/>
      </w:pPr>
      <w:r>
        <w:rPr>
          <w:sz w:val="22"/>
          <w:szCs w:val="22"/>
        </w:rPr>
        <w:t xml:space="preserve">These investigations are a trust upon the necks of those who benefit from them. When the next generation comes to hold our generation accountable for what was done and not done, these investigations will be what they rely on. We must, to the extent possible, keep them available, translate them into Arabic, and teach them in law schools. And God is the helper.</w:t>
      </w:r>
    </w:p>
    <w:p>
      <w:r>
        <w:br w:type="page"/>
      </w:r>
    </w:p>
    <w:p>
      <w:pPr>
        <w:spacing w:after="360" w:before="600"/>
        <w:jc w:val="center"/>
      </w:pPr>
      <w:r>
        <w:rPr>
          <w:b/>
          <w:bCs/>
          <w:color w:val="1B3A5C"/>
          <w:sz w:val="36"/>
          <w:szCs w:val="36"/>
        </w:rPr>
        <w:t xml:space="preserve">Chapter 8: Media Coverage — Who Covers and Who Doesn't?</w:t>
      </w:r>
    </w:p>
    <w:p>
      <w:pPr>
        <w:spacing w:after="160"/>
        <w:jc w:val="left"/>
      </w:pPr>
      <w:r>
        <w:rPr>
          <w:sz w:val="22"/>
          <w:szCs w:val="22"/>
        </w:rPr>
        <w:t xml:space="preserve">&gt; "And say: 'The truth is from your Lord, so let him who will believe, and let him who will reject.'" — Qur'an 18:29</w:t>
      </w:r>
    </w:p>
    <w:p>
      <w:pPr>
        <w:spacing w:after="160"/>
        <w:jc w:val="left"/>
      </w:pPr>
      <w:r>
        <w:rPr>
          <w:sz w:val="22"/>
          <w:szCs w:val="22"/>
        </w:rPr>
        <w:t xml:space="preserve">## The Unprecedented Ban</w:t>
      </w:r>
    </w:p>
    <w:p>
      <w:pPr>
        <w:spacing w:after="160"/>
        <w:jc w:val="left"/>
      </w:pPr>
      <w:r>
        <w:rPr>
          <w:sz w:val="22"/>
          <w:szCs w:val="22"/>
        </w:rPr>
        <w:t xml:space="preserve">Since October 7, 2023, an unprecedented procedure in the history of modern conflicts has been applied: foreign journalists have been prohibited from independent entry into the Gaza Strip. The only exception has been through "embedding" with Israeli military units, under strict conditions including: accompanying soldiers at all times, military review of every shot before publication, prohibition of independent contact with Palestinian civilians, and prohibition of filming specific operations.</w:t>
      </w:r>
    </w:p>
    <w:p>
      <w:pPr>
        <w:spacing w:after="160"/>
        <w:jc w:val="left"/>
      </w:pPr>
      <w:r>
        <w:rPr>
          <w:sz w:val="22"/>
          <w:szCs w:val="22"/>
        </w:rPr>
        <w:t xml:space="preserve">This procedure is statistically unique. In every major conflict the world has witnessed since the end of the Cold War — Bosnia, Rwanda, Afghanistan, Iraq, Syria, Yemen, Libya, Ukraine — foreign journalist access has been possible, in varying degrees of difficulty, but it has been possible. The only comparable exception is Iran during the Iran-Iraq war, and North Korea most of the time. The prohibition of foreign journalist entry into an active conflict zone for a period exceeding a year and a half is an exceptional policy that warrants pause.</w:t>
      </w:r>
    </w:p>
    <w:p>
      <w:pPr>
        <w:spacing w:after="160"/>
        <w:jc w:val="left"/>
      </w:pPr>
      <w:r>
        <w:rPr>
          <w:sz w:val="22"/>
          <w:szCs w:val="22"/>
        </w:rPr>
        <w:t xml:space="preserve">## Documentation by CPJ and RSF</w:t>
      </w:r>
    </w:p>
    <w:p>
      <w:pPr>
        <w:spacing w:after="160"/>
        <w:jc w:val="left"/>
      </w:pPr>
      <w:r>
        <w:rPr>
          <w:sz w:val="22"/>
          <w:szCs w:val="22"/>
        </w:rPr>
        <w:t xml:space="preserve">The Committee to Protect Journalists (CPJ) and Reporters Without Borders (RSF) have documented this ban in detail. RSF issued a detailed report in September 2024 titled "Censorship Through Killing: Israel's Strategy of Erasing Reality," concluding that "the ban applied to journalist entry, combined with the pattern of targeting Palestinian journalists, constitutes an actual policy to prevent independent documentation" (RSF, September 2024).</w:t>
      </w:r>
    </w:p>
    <w:p>
      <w:pPr>
        <w:spacing w:after="160"/>
        <w:jc w:val="left"/>
      </w:pPr>
      <w:r>
        <w:rPr>
          <w:sz w:val="22"/>
          <w:szCs w:val="22"/>
        </w:rPr>
        <w:t xml:space="preserve">CPJ issued monthly statements demanding the opening of borders to independent press. In May 2024, more than 60 international media institutions joined it in an open letter to the Israeli Prime Minister demanding the cancellation of the ban and the immediate issuance of press visas for international delegations (CPJ Open Letter, May 2024). The letter was not heeded.</w:t>
      </w:r>
    </w:p>
    <w:p>
      <w:pPr>
        <w:spacing w:after="160"/>
        <w:jc w:val="left"/>
      </w:pPr>
      <w:r>
        <w:rPr>
          <w:sz w:val="22"/>
          <w:szCs w:val="22"/>
        </w:rPr>
        <w:t xml:space="preserve">## Why Does This Matter Legally?</w:t>
      </w:r>
    </w:p>
    <w:p>
      <w:pPr>
        <w:spacing w:after="160"/>
        <w:jc w:val="left"/>
      </w:pPr>
      <w:r>
        <w:rPr>
          <w:sz w:val="22"/>
          <w:szCs w:val="22"/>
        </w:rPr>
        <w:t xml:space="preserve">Obstructing independent journalism in a conflict zone raises a multi-layered legal issue:</w:t>
      </w:r>
    </w:p>
    <w:p>
      <w:pPr>
        <w:spacing w:after="160"/>
        <w:jc w:val="left"/>
      </w:pPr>
      <w:r>
        <w:rPr>
          <w:sz w:val="22"/>
          <w:szCs w:val="22"/>
        </w:rPr>
        <w:t xml:space="preserve">**First**: it violates Article 79 of the First Additional Protocol, which establishes the journalist's right to carry out their professional missions. Reasonable restrictions in combat circumstances are acceptable, but a complete unjustified ban is a violation. This is what the International Committee of the Red Cross affirmed in its commentaries on the article (ICRC Commentary, 1987).</w:t>
      </w:r>
    </w:p>
    <w:p>
      <w:pPr>
        <w:spacing w:after="160"/>
        <w:jc w:val="left"/>
      </w:pPr>
      <w:r>
        <w:rPr>
          <w:sz w:val="22"/>
          <w:szCs w:val="22"/>
        </w:rPr>
        <w:t xml:space="preserve">**Second**: it contributes to obstructing legal accountability. When there is no independent narrative of what is happening, criminal investigation becomes more difficult, and the perpetrator's narratives become the only narrative available. This is a challenge actually faced by the International Criminal Court in its investigations regarding Gaza.</w:t>
      </w:r>
    </w:p>
    <w:p>
      <w:pPr>
        <w:spacing w:after="160"/>
        <w:jc w:val="left"/>
      </w:pPr>
      <w:r>
        <w:rPr>
          <w:sz w:val="22"/>
          <w:szCs w:val="22"/>
        </w:rPr>
        <w:t xml:space="preserve">**Third**: the policy of preventing documentation itself constitutes a legal indicator that investigators use. In international criminal jurisprudence, **attempting to conceal evidence** can be used as an indirect indicator of awareness of the criminal nature of the conduct. This principle was applied in a number of Yugoslav criminal court cases (ICTY, Krstić Case 2001).</w:t>
      </w:r>
    </w:p>
    <w:p>
      <w:pPr>
        <w:spacing w:after="160"/>
        <w:jc w:val="left"/>
      </w:pPr>
      <w:r>
        <w:rPr>
          <w:sz w:val="22"/>
          <w:szCs w:val="22"/>
        </w:rPr>
        <w:t xml:space="preserve">## Historical Comparisons</w:t>
      </w:r>
    </w:p>
    <w:p>
      <w:pPr>
        <w:spacing w:after="160"/>
        <w:jc w:val="left"/>
      </w:pPr>
      <w:r>
        <w:rPr>
          <w:sz w:val="22"/>
          <w:szCs w:val="22"/>
        </w:rPr>
        <w:t xml:space="preserve">It is useful to place the current ban in comparative context:</w:t>
      </w:r>
    </w:p>
    <w:p>
      <w:pPr>
        <w:spacing w:after="160"/>
        <w:jc w:val="left"/>
      </w:pPr>
      <w:r>
        <w:rPr>
          <w:sz w:val="22"/>
          <w:szCs w:val="22"/>
        </w:rPr>
        <w:t xml:space="preserve">**The Vietnam War (1961–1975)**: media access was relatively open, to the extent that the photographs taken by journalists (such as the photograph of Phan Thi Kim Phuc after the napalm bombing) caused a transformation in American public opinion. This change in public opinion made subsequent armies more cautious in managing media coverage.</w:t>
      </w:r>
    </w:p>
    <w:p>
      <w:pPr>
        <w:spacing w:after="160"/>
        <w:jc w:val="left"/>
      </w:pPr>
      <w:r>
        <w:rPr>
          <w:sz w:val="22"/>
          <w:szCs w:val="22"/>
        </w:rPr>
        <w:t xml:space="preserve">**The First Gulf War (1991)**: the Pentagon used the restricted "pool reporting" system, where small groups of journalists were allowed to accompany the military. But independent journalists were in Baghdad throughout the entire combat period (most prominent being Peter Arnett of CNN).</w:t>
      </w:r>
    </w:p>
    <w:p>
      <w:pPr>
        <w:spacing w:after="160"/>
        <w:jc w:val="left"/>
      </w:pPr>
      <w:r>
        <w:rPr>
          <w:sz w:val="22"/>
          <w:szCs w:val="22"/>
        </w:rPr>
        <w:t xml:space="preserve">**The Iraq War (2003–2011)**: the "embed" system developed by the Pentagon, alongside the presence of "unilateral" independent journalists (numbering in the hundreds). Journalists also remained in Baghdad during the full war.</w:t>
      </w:r>
    </w:p>
    <w:p>
      <w:pPr>
        <w:spacing w:after="160"/>
        <w:jc w:val="left"/>
      </w:pPr>
      <w:r>
        <w:rPr>
          <w:sz w:val="22"/>
          <w:szCs w:val="22"/>
        </w:rPr>
        <w:t xml:space="preserve">**The Afghanistan War**: foreign journalists deployed with reasonable freedom throughout the two decades, many of them in Kabul and Kandahar.</w:t>
      </w:r>
    </w:p>
    <w:p>
      <w:pPr>
        <w:spacing w:after="160"/>
        <w:jc w:val="left"/>
      </w:pPr>
      <w:r>
        <w:rPr>
          <w:sz w:val="22"/>
          <w:szCs w:val="22"/>
        </w:rPr>
        <w:t xml:space="preserve">**The Ukraine War (2022–ongoing)**: extensive media access from all international media outlets, with regulation for information sharing, but without a ban.</w:t>
      </w:r>
    </w:p>
    <w:p>
      <w:pPr>
        <w:spacing w:after="160"/>
        <w:jc w:val="left"/>
      </w:pPr>
      <w:r>
        <w:rPr>
          <w:sz w:val="22"/>
          <w:szCs w:val="22"/>
        </w:rPr>
        <w:t xml:space="preserve">**The Syrian War**: access was difficult and costly, but possible. A number of journalists were martyred (including Marie Colvin, Tim Hetherington, James Foley), but independent coverage continued.</w:t>
      </w:r>
    </w:p>
    <w:p>
      <w:pPr>
        <w:spacing w:after="160"/>
        <w:jc w:val="left"/>
      </w:pPr>
      <w:r>
        <w:rPr>
          <w:sz w:val="22"/>
          <w:szCs w:val="22"/>
        </w:rPr>
        <w:t xml:space="preserve">Gaza since October 2023 is the exception. There is no comparable conflict with the highest daily rate of civilian deaths, where foreign media is completely prohibited, and the world depends to know what is happening on local journalists under daily targeting.</w:t>
      </w:r>
    </w:p>
    <w:p>
      <w:pPr>
        <w:spacing w:after="160"/>
        <w:jc w:val="left"/>
      </w:pPr>
      <w:r>
        <w:rPr>
          <w:sz w:val="22"/>
          <w:szCs w:val="22"/>
        </w:rPr>
        <w:t xml:space="preserve">## How Did the Image Reach the World?</w:t>
      </w:r>
    </w:p>
    <w:p>
      <w:pPr>
        <w:spacing w:after="160"/>
        <w:jc w:val="left"/>
      </w:pPr>
      <w:r>
        <w:rPr>
          <w:sz w:val="22"/>
          <w:szCs w:val="22"/>
        </w:rPr>
        <w:t xml:space="preserve">In the absence of foreign access, local Palestinian journalists turned into the sole witnesses. CPJ estimates the number of Palestinian media workers who were directly transmitting from Gaza after October 7 at approximately 400 journalists and photographers, most of whom worked under exceedingly harsh conditions: power outages, internet outages, fuel shortages, repeated displacement, and equipment destruction.</w:t>
      </w:r>
    </w:p>
    <w:p>
      <w:pPr>
        <w:spacing w:after="160"/>
        <w:jc w:val="left"/>
      </w:pPr>
      <w:r>
        <w:rPr>
          <w:sz w:val="22"/>
          <w:szCs w:val="22"/>
        </w:rPr>
        <w:t xml:space="preserve">The most prominent channels for transmitting the image were:</w:t>
      </w:r>
    </w:p>
    <w:p>
      <w:pPr>
        <w:spacing w:after="160"/>
        <w:jc w:val="left"/>
      </w:pPr>
      <w:r>
        <w:rPr>
          <w:sz w:val="22"/>
          <w:szCs w:val="22"/>
        </w:rPr>
        <w:t xml:space="preserve">- **Al Jazeera**: provided the most extensive daily coverage, through its field correspondents in every city of the Strip. Al Jazeera was particularly affected by losing a number of its correspondents (including Wael Dahdouh's family, Hamza Dahdouh, and Ismail Al-Ghoul).</w:t>
      </w:r>
    </w:p>
    <w:p>
      <w:pPr>
        <w:spacing w:after="160"/>
        <w:jc w:val="left"/>
      </w:pPr>
      <w:r>
        <w:rPr>
          <w:sz w:val="22"/>
          <w:szCs w:val="22"/>
        </w:rPr>
        <w:t xml:space="preserve">- **Social media platforms**: Palestinian journalists used Instagram, TikTok, Twitter/X, and Telegram extensively. Some of them became global references, such as journalist Bisan Owda (whose Instagram following reached the millions), photographer Motaz Azaiza, and journalist Plestia Alaqad.</w:t>
      </w:r>
    </w:p>
    <w:p>
      <w:pPr>
        <w:spacing w:after="160"/>
        <w:jc w:val="left"/>
      </w:pPr>
      <w:r>
        <w:rPr>
          <w:sz w:val="22"/>
          <w:szCs w:val="22"/>
        </w:rPr>
        <w:t xml:space="preserve">- **Global news agencies**: Reuters, Associated Press, and Agence France-Presse continued operating through Palestinian local crews. Reuters issued a statement in July 2024 praising "the courage of its Palestinian crew that covers despite the martyrdom of a number of them."</w:t>
      </w:r>
    </w:p>
    <w:p>
      <w:pPr>
        <w:spacing w:after="160"/>
        <w:jc w:val="left"/>
      </w:pPr>
      <w:r>
        <w:rPr>
          <w:sz w:val="22"/>
          <w:szCs w:val="22"/>
        </w:rPr>
        <w:t xml:space="preserve">- **International channels via remote connection**: Al Jazeera English, CNN, BBC, Sky News, Al-Mayadeen, and other channels used their Palestinian crews in Gaza, with producers outside the Strip. This pattern — where "the correspondent in the Strip, the editor outside" — has become a new model in field journalism.</w:t>
      </w:r>
    </w:p>
    <w:p>
      <w:pPr>
        <w:spacing w:after="160"/>
        <w:jc w:val="left"/>
      </w:pPr>
      <w:r>
        <w:rPr>
          <w:sz w:val="22"/>
          <w:szCs w:val="22"/>
        </w:rPr>
        <w:t xml:space="preserve">## The Technological Collapse</w:t>
      </w:r>
    </w:p>
    <w:p>
      <w:pPr>
        <w:spacing w:after="160"/>
        <w:jc w:val="left"/>
      </w:pPr>
      <w:r>
        <w:rPr>
          <w:sz w:val="22"/>
          <w:szCs w:val="22"/>
        </w:rPr>
        <w:t xml:space="preserve">There is another dimension to the media siege: the targeting of communications infrastructure. In multiple periods of the conflict, internet and communications services in Gaza were cut off, either as a result of bombing of stations, or due to fuel shortages for operating stations. The Palestinian Paltel company announced more than 12 times complete communications blackouts, lasting in some cases more than a week (Paltel Statements, 2023–2024). This blackout was not merely logistical obstruction, but caused complete "Information Blackout" on the Strip for consecutive days, during which field events were deleted from the documentary record.</w:t>
      </w:r>
    </w:p>
    <w:p>
      <w:pPr>
        <w:spacing w:after="160"/>
        <w:jc w:val="left"/>
      </w:pPr>
      <w:r>
        <w:rPr>
          <w:sz w:val="22"/>
          <w:szCs w:val="22"/>
        </w:rPr>
        <w:t xml:space="preserve">Internet rights protection organizations (NetBlocks, AccessNow) issued regular reports recording these outages and analyzing their temporal patterns. AccessNow noted in its 2024 report that "communications outages in Gaza often coincide with the start of major military operations, raising questions about whether they are incidental or intentional" (AccessNow, "Internet Shutdowns Report" 2024).</w:t>
      </w:r>
    </w:p>
    <w:p>
      <w:pPr>
        <w:spacing w:after="160"/>
        <w:jc w:val="left"/>
      </w:pPr>
      <w:r>
        <w:rPr>
          <w:sz w:val="22"/>
          <w:szCs w:val="22"/>
        </w:rPr>
        <w:t xml:space="preserve">## Targeting of Cameras and Equipment</w:t>
      </w:r>
    </w:p>
    <w:p>
      <w:pPr>
        <w:spacing w:after="160"/>
        <w:jc w:val="left"/>
      </w:pPr>
      <w:r>
        <w:rPr>
          <w:sz w:val="22"/>
          <w:szCs w:val="22"/>
        </w:rPr>
        <w:t xml:space="preserve">Within the pattern documented by CPJ and RSF, what can be called "targeting of tools" stands out. In multiple cases, press cars were hit, broadcasting equipment was disabled, and transport vehicles equipped with satellite transmission devices were burned. This procedure deprives the journalist of the ability to broadcast even if they personally survive, and reduces the available transmission network.</w:t>
      </w:r>
    </w:p>
    <w:p>
      <w:pPr>
        <w:spacing w:after="160"/>
        <w:jc w:val="left"/>
      </w:pPr>
      <w:r>
        <w:rPr>
          <w:sz w:val="22"/>
          <w:szCs w:val="22"/>
        </w:rPr>
        <w:t xml:space="preserve">Palestinian media required a methodological reorganization: the use of smartphones instead of professional cameras, broadcasting via wireless internet instead of satellites, and distributing risks through working in small cells. These shifts have produced a new pattern of "Mobile Journalism" that will be the subject of academic study for years to come.</w:t>
      </w:r>
    </w:p>
    <w:p>
      <w:pPr>
        <w:spacing w:after="160"/>
        <w:jc w:val="left"/>
      </w:pPr>
      <w:r>
        <w:rPr>
          <w:sz w:val="22"/>
          <w:szCs w:val="22"/>
        </w:rPr>
        <w:t xml:space="preserve">## The Result: The Palestinian Journalist Is the Sole Witness</w:t>
      </w:r>
    </w:p>
    <w:p>
      <w:pPr>
        <w:spacing w:after="160"/>
        <w:jc w:val="left"/>
      </w:pPr>
      <w:r>
        <w:rPr>
          <w:sz w:val="22"/>
          <w:szCs w:val="22"/>
        </w:rPr>
        <w:t xml:space="preserve">What can be summarized in this chapter is the following: when the door was closed to independent foreign journalism, and the tools were placed in the hand of the Israeli side to control the "official narrative," the local Palestinian journalist — carrying a phone and wearing a faded "PRESS" vest — became the only entity standing between the field event and global memory. Many of them paid for this position with their lives.</w:t>
      </w:r>
    </w:p>
    <w:p>
      <w:pPr>
        <w:spacing w:after="160"/>
        <w:jc w:val="left"/>
      </w:pPr>
      <w:r>
        <w:rPr>
          <w:sz w:val="22"/>
          <w:szCs w:val="22"/>
        </w:rPr>
        <w:t xml:space="preserve">From the perspective of media history, it may be later written that the pattern of "the local journalist under siege" that was created out of necessity in Gaza will be a model applied in future conflicts. From the perspective of international law, on this experience may be founded a new jurisprudence that increases the penalty for obstructing journalism in conflicts. But all of this is in the future. As for now, the world owes a debt to those who fought with camera and microphone, until the last strike. And God is with the steadfast.</w:t>
      </w:r>
    </w:p>
    <w:p>
      <w:r>
        <w:br w:type="page"/>
      </w:r>
    </w:p>
    <w:p>
      <w:pPr>
        <w:spacing w:after="360" w:before="600"/>
        <w:jc w:val="center"/>
      </w:pPr>
      <w:r>
        <w:rPr>
          <w:b/>
          <w:bCs/>
          <w:color w:val="1B3A5C"/>
          <w:sz w:val="36"/>
          <w:szCs w:val="36"/>
        </w:rPr>
        <w:t xml:space="preserve">Chapter 9: Historical Comparison — Has This Happened Before?</w:t>
      </w:r>
    </w:p>
    <w:p>
      <w:pPr>
        <w:spacing w:after="160"/>
        <w:jc w:val="left"/>
      </w:pPr>
      <w:r>
        <w:rPr>
          <w:sz w:val="22"/>
          <w:szCs w:val="22"/>
        </w:rPr>
        <w:t xml:space="preserve">&gt; "Indeed, in their stories there is a lesson for those of understanding. It is no fabricated tale, but a confirmation of what was before it." — Qur'an 12:111</w:t>
      </w:r>
    </w:p>
    <w:p>
      <w:pPr>
        <w:spacing w:after="160"/>
        <w:jc w:val="left"/>
      </w:pPr>
      <w:r>
        <w:rPr>
          <w:sz w:val="22"/>
          <w:szCs w:val="22"/>
        </w:rPr>
        <w:t xml:space="preserve">## Why the Comparison?</w:t>
      </w:r>
    </w:p>
    <w:p>
      <w:pPr>
        <w:spacing w:after="160"/>
        <w:jc w:val="left"/>
      </w:pPr>
      <w:r>
        <w:rPr>
          <w:sz w:val="22"/>
          <w:szCs w:val="22"/>
        </w:rPr>
        <w:t xml:space="preserve">In heated discussions about the conflict in Gaza, popular phrases such as "unprecedented" or "all wars have casualties" recur. Precise historical comparison is what alone rescues the discussion from these two phrases and allows the reader to judge by verifiable statistical data. In this chapter, we will look at the major conflicts in which the Committee to Protect Journalists (CPJ) documented high numbers of journalist deaths, then ask: is what is happening in Gaza actually unprecedented, or does it fit within a known pattern? We will also look at the precedents on which legal jurisprudence in international humanitarian law has been built.</w:t>
      </w:r>
    </w:p>
    <w:p>
      <w:pPr>
        <w:spacing w:after="160"/>
        <w:jc w:val="left"/>
      </w:pPr>
      <w:r>
        <w:rPr>
          <w:sz w:val="22"/>
          <w:szCs w:val="22"/>
        </w:rPr>
        <w:t xml:space="preserve">## The Numbers of the Major Conflicts Compared</w:t>
      </w:r>
    </w:p>
    <w:p>
      <w:pPr>
        <w:spacing w:after="160"/>
        <w:jc w:val="left"/>
      </w:pPr>
      <w:r>
        <w:rPr>
          <w:sz w:val="22"/>
          <w:szCs w:val="22"/>
        </w:rPr>
        <w:t xml:space="preserve">CPJ has maintained a comprehensive database of journalist deaths since 1992. The major figures available (CPJ Database, 2025) are:</w:t>
      </w:r>
    </w:p>
    <w:p>
      <w:pPr>
        <w:spacing w:after="160"/>
        <w:jc w:val="left"/>
      </w:pPr>
      <w:r>
        <w:rPr>
          <w:sz w:val="22"/>
          <w:szCs w:val="22"/>
        </w:rPr>
        <w:t xml:space="preserve">**Iraq (2003–2011, with extensions through 2020)**: 230 journalists killed. This was the highest figure CPJ recorded in a single conflict until 2023. The periods were distributed: 170 journalists in the most intense period (2003–2011), and 60 in the war on ISIS and what followed (2014–2020).</w:t>
      </w:r>
    </w:p>
    <w:p>
      <w:pPr>
        <w:spacing w:after="160"/>
        <w:jc w:val="left"/>
      </w:pPr>
      <w:r>
        <w:rPr>
          <w:sz w:val="22"/>
          <w:szCs w:val="22"/>
        </w:rPr>
        <w:t xml:space="preserve">**Syria (2011–2024)**: 155 journalists, distributed over 14 years. The peak was in the 2012–2014 period, with 50 journalists killed in just two years due to indiscriminate bombing and ISIS.</w:t>
      </w:r>
    </w:p>
    <w:p>
      <w:pPr>
        <w:spacing w:after="160"/>
        <w:jc w:val="left"/>
      </w:pPr>
      <w:r>
        <w:rPr>
          <w:sz w:val="22"/>
          <w:szCs w:val="22"/>
        </w:rPr>
        <w:t xml:space="preserve">**The Philippines (1992–2023)**: 157 journalists, most of them in individual assassinations, including the famous Mindanao massacre of 2009 (32 journalists killed in a single incident).</w:t>
      </w:r>
    </w:p>
    <w:p>
      <w:pPr>
        <w:spacing w:after="160"/>
        <w:jc w:val="left"/>
      </w:pPr>
      <w:r>
        <w:rPr>
          <w:sz w:val="22"/>
          <w:szCs w:val="22"/>
        </w:rPr>
        <w:t xml:space="preserve">**Mexico (2006–2024)**: 140+ journalists, most of them individual assassinations linked to the cartels.</w:t>
      </w:r>
    </w:p>
    <w:p>
      <w:pPr>
        <w:spacing w:after="160"/>
        <w:jc w:val="left"/>
      </w:pPr>
      <w:r>
        <w:rPr>
          <w:sz w:val="22"/>
          <w:szCs w:val="22"/>
        </w:rPr>
        <w:t xml:space="preserve">**Afghanistan (2001–2021)**: 72 journalists.</w:t>
      </w:r>
    </w:p>
    <w:p>
      <w:pPr>
        <w:spacing w:after="160"/>
        <w:jc w:val="left"/>
      </w:pPr>
      <w:r>
        <w:rPr>
          <w:sz w:val="22"/>
          <w:szCs w:val="22"/>
        </w:rPr>
        <w:t xml:space="preserve">**Vietnam (period documented in secondary sources)**: 66 journalists killed over approximately 20 years (Newseum Archive, secondary source).</w:t>
      </w:r>
    </w:p>
    <w:p>
      <w:pPr>
        <w:spacing w:after="160"/>
        <w:jc w:val="left"/>
      </w:pPr>
      <w:r>
        <w:rPr>
          <w:sz w:val="22"/>
          <w:szCs w:val="22"/>
        </w:rPr>
        <w:t xml:space="preserve">**Somalia (1992–2024)**: 70 journalists.</w:t>
      </w:r>
    </w:p>
    <w:p>
      <w:pPr>
        <w:spacing w:after="160"/>
        <w:jc w:val="left"/>
      </w:pPr>
      <w:r>
        <w:rPr>
          <w:sz w:val="22"/>
          <w:szCs w:val="22"/>
        </w:rPr>
        <w:t xml:space="preserve">**Russia (1992–2024)**: 58 journalists, most of them political assassinations.</w:t>
      </w:r>
    </w:p>
    <w:p>
      <w:pPr>
        <w:spacing w:after="160"/>
        <w:jc w:val="left"/>
      </w:pPr>
      <w:r>
        <w:rPr>
          <w:sz w:val="22"/>
          <w:szCs w:val="22"/>
        </w:rPr>
        <w:t xml:space="preserve">**Ukraine (2022–2024)**: 17 journalists since the start of the Russian war.</w:t>
      </w:r>
    </w:p>
    <w:p>
      <w:pPr>
        <w:spacing w:after="160"/>
        <w:jc w:val="left"/>
      </w:pPr>
      <w:r>
        <w:rPr>
          <w:sz w:val="22"/>
          <w:szCs w:val="22"/>
        </w:rPr>
        <w:t xml:space="preserve">**Gaza (October 2023–mid-2025)**: 137+ journalists and media workers according to CPJ, more than 150 according to RSF, and more than 220 according to the Palestinian Journalists Syndicate.</w:t>
      </w:r>
    </w:p>
    <w:p>
      <w:pPr>
        <w:spacing w:after="160"/>
        <w:jc w:val="left"/>
      </w:pPr>
      <w:r>
        <w:rPr>
          <w:sz w:val="22"/>
          <w:szCs w:val="22"/>
        </w:rPr>
        <w:t xml:space="preserve">## The Temporal Rate: Where the Exception Lies</w:t>
      </w:r>
    </w:p>
    <w:p>
      <w:pPr>
        <w:spacing w:after="160"/>
        <w:jc w:val="left"/>
      </w:pPr>
      <w:r>
        <w:rPr>
          <w:sz w:val="22"/>
          <w:szCs w:val="22"/>
        </w:rPr>
        <w:t xml:space="preserve">Looking at absolute numbers alone can be misleading. The Iraq War (2003–2011) lost at its peak about one journalist per month, a rate considered tragic at the time by all measures. Gaza has lost an average of between 7 and 10 journalists per month. This difference moves the issue from the level of "a highly dangerous conflict for journalism" to the level of "a historically exceptional case" in CPJ's lexicon.</w:t>
      </w:r>
    </w:p>
    <w:p>
      <w:pPr>
        <w:spacing w:after="160"/>
        <w:jc w:val="left"/>
      </w:pPr>
      <w:r>
        <w:rPr>
          <w:sz w:val="22"/>
          <w:szCs w:val="22"/>
        </w:rPr>
        <w:t xml:space="preserve">Practically, everything journalism lost in the Iraq War over eight years has been exceeded by journalism's losses in Gaza in less than 18 months. And what Syrian journalism lost over 12 years, Gaza has exceeded in a single year. This temporal concentration is what drives CPJ itself to describe Gaza as "the deadliest in documentation history" (CPJ Statement, 2024).</w:t>
      </w:r>
    </w:p>
    <w:p>
      <w:pPr>
        <w:spacing w:after="160"/>
        <w:jc w:val="left"/>
      </w:pPr>
      <w:r>
        <w:rPr>
          <w:sz w:val="22"/>
          <w:szCs w:val="22"/>
        </w:rPr>
        <w:t xml:space="preserve">## What Distinguishes the Pattern of Targeting in Gaza</w:t>
      </w:r>
    </w:p>
    <w:p>
      <w:pPr>
        <w:spacing w:after="160"/>
        <w:jc w:val="left"/>
      </w:pPr>
      <w:r>
        <w:rPr>
          <w:sz w:val="22"/>
          <w:szCs w:val="22"/>
        </w:rPr>
        <w:t xml:space="preserve">Investigators note a distinct pattern between previous conflicts and Gaza: the proportion of journalists killed while in their "homes" compared to those killed in the field. In the Iraq War, the proportion of journalists killed in their homes did not exceed 20%. In Gaza, this proportion exceeds 45% according to the Committee to Protect Journalists' analysis (CPJ Trend Analysis, 2024). This difference indicates two distinct patterns of targeting:</w:t>
      </w:r>
    </w:p>
    <w:p>
      <w:pPr>
        <w:spacing w:after="160"/>
        <w:jc w:val="left"/>
      </w:pPr>
      <w:r>
        <w:rPr>
          <w:sz w:val="22"/>
          <w:szCs w:val="22"/>
        </w:rPr>
        <w:t xml:space="preserve">1. **Targeting during coverage**: the journalist is hit by a shell or bullet while doing their field work. This pattern is familiar in all conflicts.</w:t>
      </w:r>
    </w:p>
    <w:p>
      <w:pPr>
        <w:spacing w:after="160"/>
        <w:jc w:val="left"/>
      </w:pPr>
      <w:r>
        <w:rPr>
          <w:sz w:val="22"/>
          <w:szCs w:val="22"/>
        </w:rPr>
        <w:t xml:space="preserve">2. **Targeting at home**: the journalist is hit by a strike on their home, often in the presence of family members. This pattern is recorded in Gaza at a rate without precedent.</w:t>
      </w:r>
    </w:p>
    <w:p>
      <w:pPr>
        <w:spacing w:after="160"/>
        <w:jc w:val="left"/>
      </w:pPr>
      <w:r>
        <w:rPr>
          <w:sz w:val="22"/>
          <w:szCs w:val="22"/>
        </w:rPr>
        <w:t xml:space="preserve">The second pattern raises a different legal issue: hitting a home containing multiple civilians because one of them is a journalist requires proof that the journalist's home represents a "legitimate military target," which is an exceedingly difficult burden of proof in international law. The occupying authorities have not provided in most of these cases any public justification meeting the standard of "military objective" stipulated in Article 52 of the First Additional Protocol.</w:t>
      </w:r>
    </w:p>
    <w:p>
      <w:pPr>
        <w:spacing w:after="160"/>
        <w:jc w:val="left"/>
      </w:pPr>
      <w:r>
        <w:rPr>
          <w:sz w:val="22"/>
          <w:szCs w:val="22"/>
        </w:rPr>
        <w:t xml:space="preserve">## Targeting Families: A Pattern Worth Comparison</w:t>
      </w:r>
    </w:p>
    <w:p>
      <w:pPr>
        <w:spacing w:after="160"/>
        <w:jc w:val="left"/>
      </w:pPr>
      <w:r>
        <w:rPr>
          <w:sz w:val="22"/>
          <w:szCs w:val="22"/>
        </w:rPr>
        <w:t xml:space="preserve">Another distinctive pattern in the case of Gaza is the recurring hitting of journalists' family members. The cases of Wael Dahdouh (lost his wife and three of his children, then lost his fourth son later), Mohammed Abu Hatab (killed with eleven members of his family), and dozens of other documented cases in CPJ reports, constitute a pattern with few parallels in previous conflicts.</w:t>
      </w:r>
    </w:p>
    <w:p>
      <w:pPr>
        <w:spacing w:after="160"/>
        <w:jc w:val="left"/>
      </w:pPr>
      <w:r>
        <w:rPr>
          <w:sz w:val="22"/>
          <w:szCs w:val="22"/>
        </w:rPr>
        <w:t xml:space="preserve">In the Bosnian War (1992–1995), considered among the most violent conflicts on journalism in the 1990s, no systematic pattern of targeting journalists' families was recorded. In the Iraq War, journalists were targeted individually, but targeting their families was not a systematic pattern. Even in the Syrian conflict, where individual assassinations of opposition journalists were documented, the same pattern was not recorded on the same scale.</w:t>
      </w:r>
    </w:p>
    <w:p>
      <w:pPr>
        <w:spacing w:after="160"/>
        <w:jc w:val="left"/>
      </w:pPr>
      <w:r>
        <w:rPr>
          <w:sz w:val="22"/>
          <w:szCs w:val="22"/>
        </w:rPr>
        <w:t xml:space="preserve">This distinction is legally important, because it pushes the investigator toward the hypothesis that targeting a journalist at their home with their family is not a "failure of distinction," but a "practice of collective punishment," prohibited under Article 33 of the Fourth Geneva Convention. This charge specifically appeared in a number of UN Commission of Inquiry reports.</w:t>
      </w:r>
    </w:p>
    <w:p>
      <w:pPr>
        <w:spacing w:after="160"/>
        <w:jc w:val="left"/>
      </w:pPr>
      <w:r>
        <w:rPr>
          <w:sz w:val="22"/>
          <w:szCs w:val="22"/>
        </w:rPr>
        <w:t xml:space="preserve">## The Bosnian Precedent: The Bombing of Sarajevo</w:t>
      </w:r>
    </w:p>
    <w:p>
      <w:pPr>
        <w:spacing w:after="160"/>
        <w:jc w:val="left"/>
      </w:pPr>
      <w:r>
        <w:rPr>
          <w:sz w:val="22"/>
          <w:szCs w:val="22"/>
        </w:rPr>
        <w:t xml:space="preserve">In the Bosnian War (1992–1995), Sarajevo witnessed a siege that lasted 1,444 days. A large number of journalists were killed during it, including American journalist Kim Burhart, French photographer Paul Marchand, and Belgian photographer Thomas Oster. The Holiday Inn hotel in Sarajevo, which housed most foreign journalists, was repeatedly targeted by shells from the Serbian heights.</w:t>
      </w:r>
    </w:p>
    <w:p>
      <w:pPr>
        <w:spacing w:after="160"/>
        <w:jc w:val="left"/>
      </w:pPr>
      <w:r>
        <w:rPr>
          <w:sz w:val="22"/>
          <w:szCs w:val="22"/>
        </w:rPr>
        <w:t xml:space="preserve">The importance of the Bosnian precedent lies in the fact that the International Criminal Tribunal for the Former Yugoslavia (ICTY) was established by a UN Security Council decision in 1993, and subsequently issued historic rulings. In the case of General Stanislav Galić, commander of the Sarajevo-Romanija Corps, he was convicted in 2003 of "the crime of terrorism against civilians" as a result of an indiscriminate bombing policy that included journalists among its victims. The ruling was confirmed on appeal in 2006 (ICTY, Galić Case Appeal).</w:t>
      </w:r>
    </w:p>
    <w:p>
      <w:pPr>
        <w:spacing w:after="160"/>
        <w:jc w:val="left"/>
      </w:pPr>
      <w:r>
        <w:rPr>
          <w:sz w:val="22"/>
          <w:szCs w:val="22"/>
        </w:rPr>
        <w:t xml:space="preserve">The court used in the Galić case specific criteria that were later applied in other cases, including the "Pattern Evidence" criterion and the "Reasonable Foresight" criterion. These jurisprudential criteria will be available to the International Criminal Court in its investigations regarding Gaza.</w:t>
      </w:r>
    </w:p>
    <w:p>
      <w:pPr>
        <w:spacing w:after="160"/>
        <w:jc w:val="left"/>
      </w:pPr>
      <w:r>
        <w:rPr>
          <w:sz w:val="22"/>
          <w:szCs w:val="22"/>
        </w:rPr>
        <w:t xml:space="preserve">## The Rwandan Precedent: Media as a Means of Incitement</w:t>
      </w:r>
    </w:p>
    <w:p>
      <w:pPr>
        <w:spacing w:after="160"/>
        <w:jc w:val="left"/>
      </w:pPr>
      <w:r>
        <w:rPr>
          <w:sz w:val="22"/>
          <w:szCs w:val="22"/>
        </w:rPr>
        <w:t xml:space="preserve">In the Rwandan genocide of 1994, journalists were not only victims, but some of the media was a direct tool in inciting genocide (the famous RTLM radio). The International Criminal Tribunal for Rwanda (ICTR) established entirely new criminal jurisprudence in the "Media Case" of 2003, where three Rwandan media leaders (Ferdinand Nahimana, Jean-Bosco Barayagwiza, and Hassan Ngeze) were convicted on charges including direct and public incitement to genocide (ICTR, Nahimana et al. Case 2003).</w:t>
      </w:r>
    </w:p>
    <w:p>
      <w:pPr>
        <w:spacing w:after="160"/>
        <w:jc w:val="left"/>
      </w:pPr>
      <w:r>
        <w:rPr>
          <w:sz w:val="22"/>
          <w:szCs w:val="22"/>
        </w:rPr>
        <w:t xml:space="preserve">This legal precedent is important from two angles: first, it confirms that international accountability for media-related crimes is legally possible. Second, it raises the inverse question: if media incitement to genocide is a crime, then killing the media to prevent documentation represents a similar effort at obscuring the truth, deserving new legal framing.</w:t>
      </w:r>
    </w:p>
    <w:p>
      <w:pPr>
        <w:spacing w:after="160"/>
        <w:jc w:val="left"/>
      </w:pPr>
      <w:r>
        <w:rPr>
          <w:sz w:val="22"/>
          <w:szCs w:val="22"/>
        </w:rPr>
        <w:t xml:space="preserve">## The Emerging Legal Jurisprudence</w:t>
      </w:r>
    </w:p>
    <w:p>
      <w:pPr>
        <w:spacing w:after="160"/>
        <w:jc w:val="left"/>
      </w:pPr>
      <w:r>
        <w:rPr>
          <w:sz w:val="22"/>
          <w:szCs w:val="22"/>
        </w:rPr>
        <w:t xml:space="preserve">The legal frameworks resulting from these precedents are continuously developing. In emerging international legal jurisprudence, a trend is emerging toward the recognition of "Crime of Witness Suppression" as an independent element to be added to war crimes. This trend is not yet codified in the Rome Statute, but it is being discussed in specialized scholarly literature (Journal of International Criminal Justice, 2024).</w:t>
      </w:r>
    </w:p>
    <w:p>
      <w:pPr>
        <w:spacing w:after="160"/>
        <w:jc w:val="left"/>
      </w:pPr>
      <w:r>
        <w:rPr>
          <w:sz w:val="22"/>
          <w:szCs w:val="22"/>
        </w:rPr>
        <w:t xml:space="preserve">The UN organization for the protection of journalists, alongside UNESCO, is also developing a global action plan titled "UN Plan of Action on the Safety of Journalists and the Issue of Impunity" (2012), updated twice, calling for stricter accountability mechanisms for the killing of journalists in conflicts (UNESCO Plan, 2012, updated 2022).</w:t>
      </w:r>
    </w:p>
    <w:p>
      <w:pPr>
        <w:spacing w:after="160"/>
        <w:jc w:val="left"/>
      </w:pPr>
      <w:r>
        <w:rPr>
          <w:sz w:val="22"/>
          <w:szCs w:val="22"/>
        </w:rPr>
        <w:t xml:space="preserve">## Comparative Conclusion: Exception or Worsening Pattern?</w:t>
      </w:r>
    </w:p>
    <w:p>
      <w:pPr>
        <w:spacing w:after="160"/>
        <w:jc w:val="left"/>
      </w:pPr>
      <w:r>
        <w:rPr>
          <w:sz w:val="22"/>
          <w:szCs w:val="22"/>
        </w:rPr>
        <w:t xml:space="preserve">If the figures of Gaza are statistically exceptional and complex in their qualitative characteristics, many of their components are not entirely new. The Bosnian pattern (bombing of journalists' hotels), the Rwandan pattern (media accountability), and the Syrian pattern (individual targeting of journalists), are all precedents that appear in new forms in Gaza. What makes Gaza different is **the convergence of all these patterns in one place, during a short period, with the absence of independent international press access, and with unprecedented numbers of casualties among local journalism**.</w:t>
      </w:r>
    </w:p>
    <w:p>
      <w:pPr>
        <w:spacing w:after="160"/>
        <w:jc w:val="left"/>
      </w:pPr>
      <w:r>
        <w:rPr>
          <w:sz w:val="22"/>
          <w:szCs w:val="22"/>
        </w:rPr>
        <w:t xml:space="preserve">From the perspective of international law, Gaza can be read as a "System Stress Test." If the international system fails to hold accountable what is documented in Gaza, it will lose a large part of its credibility in coming conflicts. And if it succeeds — even partially — it will establish new jurisprudence that protects journalists and humanitarian workers more rigorously. The result, whatever it may be, will define the rules of the game for at least a coming decade.</w:t>
      </w:r>
    </w:p>
    <w:p>
      <w:pPr>
        <w:spacing w:after="160"/>
        <w:jc w:val="left"/>
      </w:pPr>
      <w:r>
        <w:rPr>
          <w:sz w:val="22"/>
          <w:szCs w:val="22"/>
        </w:rPr>
        <w:t xml:space="preserve">This is what makes attention to current documentation a duty exceeding the boundaries of the Gaza Strip. Each name and each investigation and each case is a pen in an exceptional record being written by international law in ink of blood. And those who remain alive must complete the writing. And God is the granter of all good.</w:t>
      </w:r>
    </w:p>
    <w:p>
      <w:r>
        <w:br w:type="page"/>
      </w:r>
    </w:p>
    <w:p>
      <w:pPr>
        <w:spacing w:after="360" w:before="600"/>
        <w:jc w:val="center"/>
      </w:pPr>
      <w:r>
        <w:rPr>
          <w:b/>
          <w:bCs/>
          <w:color w:val="1B3A5C"/>
          <w:sz w:val="36"/>
          <w:szCs w:val="36"/>
        </w:rPr>
        <w:t xml:space="preserve">Chapter 10: International Response — Accountability or Impunity?</w:t>
      </w:r>
    </w:p>
    <w:p>
      <w:pPr>
        <w:spacing w:after="160"/>
        <w:jc w:val="left"/>
      </w:pPr>
      <w:r>
        <w:rPr>
          <w:sz w:val="22"/>
          <w:szCs w:val="22"/>
        </w:rPr>
        <w:t xml:space="preserve">&gt; "And whoever does not judge by what God has revealed — they are the wrongdoers." — Qur'an 5:45</w:t>
      </w:r>
    </w:p>
    <w:p>
      <w:pPr>
        <w:spacing w:after="160"/>
        <w:jc w:val="left"/>
      </w:pPr>
      <w:r>
        <w:rPr>
          <w:sz w:val="22"/>
          <w:szCs w:val="22"/>
        </w:rPr>
        <w:t xml:space="preserve">## The Fundamental Issue</w:t>
      </w:r>
    </w:p>
    <w:p>
      <w:pPr>
        <w:spacing w:after="160"/>
        <w:jc w:val="left"/>
      </w:pPr>
      <w:r>
        <w:rPr>
          <w:sz w:val="22"/>
          <w:szCs w:val="22"/>
        </w:rPr>
        <w:t xml:space="preserve">The separation between "documentation" and "accountability" is the eternal gap in international law. All that we have addressed in the previous chapters of documentation, numbers, and evidence has no actual legal value unless it enters a judicial framework that produces individual responsibility. In this chapter, we review what has actually happened at the international level since October 7, 2023, away from rhetoric, in a manner consistent with the spirit of this book: rigorous documentation.</w:t>
      </w:r>
    </w:p>
    <w:p>
      <w:pPr>
        <w:spacing w:after="160"/>
        <w:jc w:val="left"/>
      </w:pPr>
      <w:r>
        <w:rPr>
          <w:sz w:val="22"/>
          <w:szCs w:val="22"/>
        </w:rPr>
        <w:t xml:space="preserve">We will address four fronts of the international response: (1) the International Court of Justice (ICJ), (2) the International Criminal Court (ICC), (3) the UN Security Council and General Assembly, (4) multiple national procedures. We will detail in each what exactly happened, then ask in conclusion: what is the gap between what has been proposed and what has actually been achieved?</w:t>
      </w:r>
    </w:p>
    <w:p>
      <w:pPr>
        <w:spacing w:after="160"/>
        <w:jc w:val="left"/>
      </w:pPr>
      <w:r>
        <w:rPr>
          <w:sz w:val="22"/>
          <w:szCs w:val="22"/>
        </w:rPr>
        <w:t xml:space="preserve">## First: The International Court of Justice (ICJ)</w:t>
      </w:r>
    </w:p>
    <w:p>
      <w:pPr>
        <w:spacing w:after="160"/>
        <w:jc w:val="left"/>
      </w:pPr>
      <w:r>
        <w:rPr>
          <w:sz w:val="22"/>
          <w:szCs w:val="22"/>
        </w:rPr>
        <w:t xml:space="preserve">On December 29, 2023, the Republic of South Africa filed a case before the International Court of Justice against the State of Israel under the 1948 Convention on the Prevention of Genocide (ICJ Application, 29 December 2023). The case consists of 84 pages and details claims that Israel is violating the Convention in its operations in Gaza. The claim is based on Articles 2 and 3 of the Convention, which define the elements of the crime.</w:t>
      </w:r>
    </w:p>
    <w:p>
      <w:pPr>
        <w:spacing w:after="160"/>
        <w:jc w:val="left"/>
      </w:pPr>
      <w:r>
        <w:rPr>
          <w:sz w:val="22"/>
          <w:szCs w:val="22"/>
        </w:rPr>
        <w:t xml:space="preserve">**The Decisions Issued by the Court**:</w:t>
      </w:r>
    </w:p>
    <w:p>
      <w:pPr>
        <w:spacing w:after="160"/>
        <w:jc w:val="left"/>
      </w:pPr>
      <w:r>
        <w:rPr>
          <w:sz w:val="22"/>
          <w:szCs w:val="22"/>
        </w:rPr>
        <w:t xml:space="preserve">- **January 26, 2024**: The first Provisional Measures Order. The court concluded by a majority of 15 to 2 that "South Africa has presented plausible claims that Israel's actions may fall within the scope of the Genocide Convention." The court ordered Israel to take six measures, including: taking all measures to prevent genocide, limiting physical and mental harm, preventing and punishing direct and public incitement to genocide, facilitating essential humanitarian services, preserving evidence, and submitting a report within one month (ICJ Order, 26 January 2024).</w:t>
      </w:r>
    </w:p>
    <w:p>
      <w:pPr>
        <w:spacing w:after="160"/>
        <w:jc w:val="left"/>
      </w:pPr>
      <w:r>
        <w:rPr>
          <w:sz w:val="22"/>
          <w:szCs w:val="22"/>
        </w:rPr>
        <w:t xml:space="preserve">- **March 28, 2024**: The Order on Additional Measures. The court emphasized the obligation to take "immediate and effective measures" to ensure the flow of humanitarian aid without restrictions, given the deteriorating situation in Gaza (ICJ Order, 28 March 2024).</w:t>
      </w:r>
    </w:p>
    <w:p>
      <w:pPr>
        <w:spacing w:after="160"/>
        <w:jc w:val="left"/>
      </w:pPr>
      <w:r>
        <w:rPr>
          <w:sz w:val="22"/>
          <w:szCs w:val="22"/>
        </w:rPr>
        <w:t xml:space="preserve">- **May 24, 2024**: The third Order, explicitly ordering Israel to "immediately halt military operations in Rafah" (ICJ Order, 24 May 2024). This order specifically represented a historic decision, as operations in Rafah were escalating at the time.</w:t>
      </w:r>
    </w:p>
    <w:p>
      <w:pPr>
        <w:spacing w:after="160"/>
        <w:jc w:val="left"/>
      </w:pPr>
      <w:r>
        <w:rPr>
          <w:sz w:val="22"/>
          <w:szCs w:val="22"/>
        </w:rPr>
        <w:t xml:space="preserve">**Actual Implementation**: Reports from international monitoring organizations, including Human Rights Watch and Amnesty International, record that Israel has not complied substantially with ICJ orders. Operations in Rafah halted partially after the order, but resumed later. The flow of humanitarian aid did not improve permanently, according to OCHA statistics.</w:t>
      </w:r>
    </w:p>
    <w:p>
      <w:pPr>
        <w:spacing w:after="160"/>
        <w:jc w:val="left"/>
      </w:pPr>
      <w:r>
        <w:rPr>
          <w:sz w:val="22"/>
          <w:szCs w:val="22"/>
        </w:rPr>
        <w:t xml:space="preserve">**The Israeli Response**: Israel publicly denied any intent of genocide and presented its defenses through detailed legal memoranda. Israeli Prime Minister Benjamin Netanyahu publicly rejected the court's decision, describing it as an "unjust decision" (Israeli Government Statement, January 2024).</w:t>
      </w:r>
    </w:p>
    <w:p>
      <w:pPr>
        <w:spacing w:after="160"/>
        <w:jc w:val="left"/>
      </w:pPr>
      <w:r>
        <w:rPr>
          <w:sz w:val="22"/>
          <w:szCs w:val="22"/>
        </w:rPr>
        <w:t xml:space="preserve">**The Full Case Timeline**: It is expected that the final ruling on the issue of genocide will take years (perhaps from five to ten years based on precedents). The International Court of Justice operates with a slowness that ensures procedural accuracy, but this delays immediate justice.</w:t>
      </w:r>
    </w:p>
    <w:p>
      <w:pPr>
        <w:spacing w:after="160"/>
        <w:jc w:val="left"/>
      </w:pPr>
      <w:r>
        <w:rPr>
          <w:sz w:val="22"/>
          <w:szCs w:val="22"/>
        </w:rPr>
        <w:t xml:space="preserve">## Second: The International Criminal Court (ICC)</w:t>
      </w:r>
    </w:p>
    <w:p>
      <w:pPr>
        <w:spacing w:after="160"/>
        <w:jc w:val="left"/>
      </w:pPr>
      <w:r>
        <w:rPr>
          <w:sz w:val="22"/>
          <w:szCs w:val="22"/>
        </w:rPr>
        <w:t xml:space="preserve">On May 20, 2024, the Prosecutor of the International Criminal Court, British lawyer Karim Khan, announced his request to issue arrest warrants for five persons:</w:t>
      </w:r>
    </w:p>
    <w:p>
      <w:pPr>
        <w:spacing w:after="160"/>
        <w:jc w:val="left"/>
      </w:pPr>
      <w:r>
        <w:rPr>
          <w:sz w:val="22"/>
          <w:szCs w:val="22"/>
        </w:rPr>
        <w:t xml:space="preserve">From the Israeli side: Prime Minister Benjamin Netanyahu and former Defense Minister Yoav Gallant.</w:t>
      </w:r>
    </w:p>
    <w:p>
      <w:pPr>
        <w:spacing w:after="160"/>
        <w:jc w:val="left"/>
      </w:pPr>
      <w:r>
        <w:rPr>
          <w:sz w:val="22"/>
          <w:szCs w:val="22"/>
        </w:rPr>
        <w:t xml:space="preserve">From the Palestinian side (Hamas): Yahya Sinwar, Mohammed Deif, and Ismail Haniyeh. (Haniyeh and Sinwar were subsequently killed, and the Israeli military confirmed Deif's killing in a manner not officially confirmed by Hamas).</w:t>
      </w:r>
    </w:p>
    <w:p>
      <w:pPr>
        <w:spacing w:after="160"/>
        <w:jc w:val="left"/>
      </w:pPr>
      <w:r>
        <w:rPr>
          <w:sz w:val="22"/>
          <w:szCs w:val="22"/>
        </w:rPr>
        <w:t xml:space="preserve">**The Charges**:</w:t>
      </w:r>
    </w:p>
    <w:p>
      <w:pPr>
        <w:spacing w:after="160"/>
        <w:jc w:val="left"/>
      </w:pPr>
      <w:r>
        <w:rPr>
          <w:sz w:val="22"/>
          <w:szCs w:val="22"/>
        </w:rPr>
        <w:t xml:space="preserve">Against Netanyahu and Gallant: starvation as a method of warfare (Article 8(2)(b)(xxv) of the Rome Statute), persecution as a crime against humanity (Article 7(1)(h)), willful killing as a crime against humanity and a war crime, extermination as a crime against humanity, directing attacks against civilians, and other inhumane acts (ICC Prosecutor Statement, 20 May 2024).</w:t>
      </w:r>
    </w:p>
    <w:p>
      <w:pPr>
        <w:spacing w:after="160"/>
        <w:jc w:val="left"/>
      </w:pPr>
      <w:r>
        <w:rPr>
          <w:sz w:val="22"/>
          <w:szCs w:val="22"/>
        </w:rPr>
        <w:t xml:space="preserve">Against Hamas leaders: willful killing, hostage-taking, rape and other forms of sexual violence, torture, and other inhumane acts — related to the events of October 7.</w:t>
      </w:r>
    </w:p>
    <w:p>
      <w:pPr>
        <w:spacing w:after="160"/>
        <w:jc w:val="left"/>
      </w:pPr>
      <w:r>
        <w:rPr>
          <w:sz w:val="22"/>
          <w:szCs w:val="22"/>
        </w:rPr>
        <w:t xml:space="preserve">**Issuance of Official Warrants**: On November 21, 2024, the Pre-Trial Chamber of the International Criminal Court issued formal arrest warrants for Netanyahu and Gallant, after being convinced that "there are reasonable grounds to believe" that they bear criminal responsibility for the crimes of which they are accused (ICC Pre-Trial Chamber I Decision, 21 November 2024).</w:t>
      </w:r>
    </w:p>
    <w:p>
      <w:pPr>
        <w:spacing w:after="160"/>
        <w:jc w:val="left"/>
      </w:pPr>
      <w:r>
        <w:rPr>
          <w:sz w:val="22"/>
          <w:szCs w:val="22"/>
        </w:rPr>
        <w:t xml:space="preserve">**The International Response**: 124 states are members of the Rome Statute and are legally bound to enforce arrest warrants. A number of European countries (France, Germany, Spain, Ireland, Norway, Belgium, the Netherlands) announced their commitment to the decision. Other states (Hungary, whose Prime Minister Viktor Orbán publicly invited Netanyahu to visit) announced their rejection of the decision. The United States, which is not a member of the Rome Statute, issued critical statements, and in January 2025 imposed sanctions on the court's prosecutor Karim Khan (US Treasury Department, January 2025).</w:t>
      </w:r>
    </w:p>
    <w:p>
      <w:pPr>
        <w:spacing w:after="160"/>
        <w:jc w:val="left"/>
      </w:pPr>
      <w:r>
        <w:rPr>
          <w:sz w:val="22"/>
          <w:szCs w:val="22"/>
        </w:rPr>
        <w:t xml:space="preserve">**Historical Significance**: This is the first time the International Criminal Court has issued arrest warrants against leaders of a state allied closely with the United States. Previous precedents included leaders from Sudan (Bashir), Libya (Gaddafi), and Kenya. The American opposition to the court's decision tests the principle of the court's independence and its ability to apply justice equally.</w:t>
      </w:r>
    </w:p>
    <w:p>
      <w:pPr>
        <w:spacing w:after="160"/>
        <w:jc w:val="left"/>
      </w:pPr>
      <w:r>
        <w:rPr>
          <w:sz w:val="22"/>
          <w:szCs w:val="22"/>
        </w:rPr>
        <w:t xml:space="preserve">## Third: The Security Council and the General Assembly</w:t>
      </w:r>
    </w:p>
    <w:p>
      <w:pPr>
        <w:spacing w:after="160"/>
        <w:jc w:val="left"/>
      </w:pPr>
      <w:r>
        <w:rPr>
          <w:sz w:val="22"/>
          <w:szCs w:val="22"/>
        </w:rPr>
        <w:t xml:space="preserve">**The American Veto Use**: Since October 7, 2023, the United States has used its veto in the Security Council four times on resolutions related to a ceasefire in Gaza:</w:t>
      </w:r>
    </w:p>
    <w:p>
      <w:pPr>
        <w:spacing w:after="160"/>
        <w:jc w:val="left"/>
      </w:pPr>
      <w:r>
        <w:rPr>
          <w:sz w:val="22"/>
          <w:szCs w:val="22"/>
        </w:rPr>
        <w:t xml:space="preserve">- **October 18, 2023**: vetoed a resolution drafted by Brazil that called for "humanitarian pauses." - **December 8, 2023**: vetoed a resolution drafted by the UAE supported by 90 countries calling for an immediate humanitarian ceasefire. - **February 20, 2024**: vetoed a resolution drafted by Algeria calling for an immediate humanitarian ceasefire. - **November 17, 2024**: vetoed a resolution drafted by the Arab Security Council members supported by the ten non-permanent members (UN Security Council Voting Records, 2023–2024).</w:t>
      </w:r>
    </w:p>
    <w:p>
      <w:pPr>
        <w:spacing w:after="160"/>
        <w:jc w:val="left"/>
      </w:pPr>
      <w:r>
        <w:rPr>
          <w:sz w:val="22"/>
          <w:szCs w:val="22"/>
        </w:rPr>
        <w:t xml:space="preserve">In each of these instances, the other permanent member states (Russia, China, France, the United Kingdom) voted in favor of the resolution or abstained.</w:t>
      </w:r>
    </w:p>
    <w:p>
      <w:pPr>
        <w:spacing w:after="160"/>
        <w:jc w:val="left"/>
      </w:pPr>
      <w:r>
        <w:rPr>
          <w:sz w:val="22"/>
          <w:szCs w:val="22"/>
        </w:rPr>
        <w:t xml:space="preserve">**General Assembly Resolutions**: Unlike Security Council resolutions, General Assembly resolutions are not legally binding but reflect global opinion. The Assembly issued on December 12, 2023, a resolution calling for "an immediate humanitarian ceasefire" by a majority of 153 to 10 with 23 abstentions. On September 12, 2024, it issued a resolution requesting Israel to end its presence in the occupied Palestinian territories within a year, by a majority of 124 to 14 with 43 abstentions (UN General Assembly Records).</w:t>
      </w:r>
    </w:p>
    <w:p>
      <w:pPr>
        <w:spacing w:after="160"/>
        <w:jc w:val="left"/>
      </w:pPr>
      <w:r>
        <w:rPr>
          <w:sz w:val="22"/>
          <w:szCs w:val="22"/>
        </w:rPr>
        <w:t xml:space="preserve">## Fourth: National and Regional Procedures</w:t>
      </w:r>
    </w:p>
    <w:p>
      <w:pPr>
        <w:spacing w:after="160"/>
        <w:jc w:val="left"/>
      </w:pPr>
      <w:r>
        <w:rPr>
          <w:sz w:val="22"/>
          <w:szCs w:val="22"/>
        </w:rPr>
        <w:t xml:space="preserve">**Diplomatic Recognition of Palestine**: On May 22, 2024, three European countries (Spain, Ireland, Norway) announced their official recognition of the State of Palestine, later joined by Slovenia and Armenia. This new wave of recognition raised the number of UN member states recognizing Palestine to 146 of 193 states (UN Membership Status, 2025).</w:t>
      </w:r>
    </w:p>
    <w:p>
      <w:pPr>
        <w:spacing w:after="160"/>
        <w:jc w:val="left"/>
      </w:pPr>
      <w:r>
        <w:rPr>
          <w:sz w:val="22"/>
          <w:szCs w:val="22"/>
        </w:rPr>
        <w:t xml:space="preserve">**Arms Embargoes**: A number of countries that suspended or reviewed their arms exports to Israel multiplied: Spain, Ireland, Belgium, Italy (partially), Canada (review), Japan (review), the Netherlands (judicial decision halting delivery of F-35 spare parts). A Dutch court issued a historic decision on February 12, 2024, ordering the cessation of delivery of F-35 spare parts to Israel based on "a risk of their use in violations of international humanitarian law" (Dutch Court of Appeal, The Hague, February 2024). The European Parliament also issued two consecutive resolutions calling for "a comprehensive ban on arms exports to Israel" (European Parliament Resolutions, 2024).</w:t>
      </w:r>
    </w:p>
    <w:p>
      <w:pPr>
        <w:spacing w:after="160"/>
        <w:jc w:val="left"/>
      </w:pPr>
      <w:r>
        <w:rPr>
          <w:sz w:val="22"/>
          <w:szCs w:val="22"/>
        </w:rPr>
        <w:t xml:space="preserve">**The American Leahy Law**: The American Leahy Law prohibits the provision of military assistance to foreign units involved in human rights violations. Since the start of the conflict, more than 40 members of Congress have submitted memoranda demanding a review of compliance with the law concerning specific Israeli units. In April 2024, the U.S. State Department officially announced the determination of 5 Israeli units as having committed "gross human rights violations," but did not fully apply Leahy Law sanctions and granted them exceptions on grounds of "alternative remediation" (US State Department Statement, April 2024).</w:t>
      </w:r>
    </w:p>
    <w:p>
      <w:pPr>
        <w:spacing w:after="160"/>
        <w:jc w:val="left"/>
      </w:pPr>
      <w:r>
        <w:rPr>
          <w:sz w:val="22"/>
          <w:szCs w:val="22"/>
        </w:rPr>
        <w:t xml:space="preserve">## The Gap Between Documentation and Accountability</w:t>
      </w:r>
    </w:p>
    <w:p>
      <w:pPr>
        <w:spacing w:after="160"/>
        <w:jc w:val="left"/>
      </w:pPr>
      <w:r>
        <w:rPr>
          <w:sz w:val="22"/>
          <w:szCs w:val="22"/>
        </w:rPr>
        <w:t xml:space="preserve">If we wanted to summarize this chapter in one sentence, it would be: **documentation is available, but accountability has not yet been completed**. The evidence exists, judicial decisions have been issued, and international warrants have been announced. But the gap between the "legal framework" and "actual implementation" remains wide. The reasons are multiple:</w:t>
      </w:r>
    </w:p>
    <w:p>
      <w:pPr>
        <w:spacing w:after="160"/>
        <w:jc w:val="left"/>
      </w:pPr>
      <w:r>
        <w:rPr>
          <w:sz w:val="22"/>
          <w:szCs w:val="22"/>
        </w:rPr>
        <w:t xml:space="preserve">1. **Geopolitical**: the position of the United States as the most economically and militarily powerful state, which protects its Israeli ally through the veto and through sanctions on the International Criminal Court.</w:t>
      </w:r>
    </w:p>
    <w:p>
      <w:pPr>
        <w:spacing w:after="160"/>
        <w:jc w:val="left"/>
      </w:pPr>
      <w:r>
        <w:rPr>
          <w:sz w:val="22"/>
          <w:szCs w:val="22"/>
        </w:rPr>
        <w:t xml:space="preserve">2. **Institutional**: the International Court of Justice does not have an independent enforcement mechanism (enforcement falls on the Security Council, where the veto is used). The International Criminal Court relies on member states to enforce arrest warrants.</w:t>
      </w:r>
    </w:p>
    <w:p>
      <w:pPr>
        <w:spacing w:after="160"/>
        <w:jc w:val="left"/>
      </w:pPr>
      <w:r>
        <w:rPr>
          <w:sz w:val="22"/>
          <w:szCs w:val="22"/>
        </w:rPr>
        <w:t xml:space="preserve">3. **Temporal**: international justice is naturally slow. The final ICJ ruling on the genocide case may take years. ICC warrants await the arrest of the accused, which is difficult to achieve unless the accused travels to a member state.</w:t>
      </w:r>
    </w:p>
    <w:p>
      <w:pPr>
        <w:spacing w:after="160"/>
        <w:jc w:val="left"/>
      </w:pPr>
      <w:r>
        <w:rPr>
          <w:sz w:val="22"/>
          <w:szCs w:val="22"/>
        </w:rPr>
        <w:t xml:space="preserve">## What Has Actually Been Achieved?</w:t>
      </w:r>
    </w:p>
    <w:p>
      <w:pPr>
        <w:spacing w:after="160"/>
        <w:jc w:val="left"/>
      </w:pPr>
      <w:r>
        <w:rPr>
          <w:sz w:val="22"/>
          <w:szCs w:val="22"/>
        </w:rPr>
        <w:t xml:space="preserve">In a calm and methodical assessment, the following transformations have actually occurred:</w:t>
      </w:r>
    </w:p>
    <w:p>
      <w:pPr>
        <w:spacing w:after="160"/>
        <w:jc w:val="left"/>
      </w:pPr>
      <w:r>
        <w:rPr>
          <w:sz w:val="22"/>
          <w:szCs w:val="22"/>
        </w:rPr>
        <w:t xml:space="preserve">- The issuance of international arrest warrants for senior executive officials of a state allied with major powers (a historic precedent). - The recognition of 5 new states of Palestine, raising the total to 146. - A binding Dutch judicial decision to halt the delivery of F-35 spare parts. - An initial ICJ decision accepting examination of the genocide claims. - Suspension by a number of European countries of their arms exports. - Official American documentation of violations by specific Israeli units.</w:t>
      </w:r>
    </w:p>
    <w:p>
      <w:pPr>
        <w:spacing w:after="160"/>
        <w:jc w:val="left"/>
      </w:pPr>
      <w:r>
        <w:rPr>
          <w:sz w:val="22"/>
          <w:szCs w:val="22"/>
        </w:rPr>
        <w:t xml:space="preserve">What has not been achieved:</w:t>
      </w:r>
    </w:p>
    <w:p>
      <w:pPr>
        <w:spacing w:after="160"/>
        <w:jc w:val="left"/>
      </w:pPr>
      <w:r>
        <w:rPr>
          <w:sz w:val="22"/>
          <w:szCs w:val="22"/>
        </w:rPr>
        <w:t xml:space="preserve">- An immediate ceasefire through the UN Security Council. - The arrest of those accused at the International Criminal Court. - A final ruling on genocide or its negation from the ICJ. - Full application of American Leahy Law sanctions. - Accountability for specific units in specific cases.</w:t>
      </w:r>
    </w:p>
    <w:p>
      <w:pPr>
        <w:spacing w:after="160"/>
        <w:jc w:val="left"/>
      </w:pPr>
      <w:r>
        <w:rPr>
          <w:sz w:val="22"/>
          <w:szCs w:val="22"/>
        </w:rPr>
        <w:t xml:space="preserve">This gap between achievement and non-achievement is the question that future generations will pose. Like Nuremberg, which did not come on its day, accountability for Gaza may come in its decade. And those who remain must keep documentation alive until that moment arrives. And God is the helper against all that they describe.</w:t>
      </w:r>
    </w:p>
    <w:p>
      <w:r>
        <w:br w:type="page"/>
      </w:r>
    </w:p>
    <w:p>
      <w:pPr>
        <w:spacing w:after="360" w:before="600"/>
        <w:jc w:val="center"/>
      </w:pPr>
      <w:r>
        <w:rPr>
          <w:b/>
          <w:bCs/>
          <w:color w:val="1B3A5C"/>
          <w:sz w:val="36"/>
          <w:szCs w:val="36"/>
        </w:rPr>
        <w:t xml:space="preserve">Chapter 11: Conclusion — Memory and Responsibility</w:t>
      </w:r>
    </w:p>
    <w:p>
      <w:pPr>
        <w:spacing w:after="160"/>
        <w:jc w:val="left"/>
      </w:pPr>
      <w:r>
        <w:rPr>
          <w:sz w:val="22"/>
          <w:szCs w:val="22"/>
        </w:rPr>
        <w:t xml:space="preserve">&gt; "And do not think of those who are killed in the way of God as dead. Rather, they are alive with their Lord, receiving provision." — Qur'an 3:169</w:t>
      </w:r>
    </w:p>
    <w:p>
      <w:pPr>
        <w:spacing w:after="160"/>
        <w:jc w:val="left"/>
      </w:pPr>
      <w:r>
        <w:rPr>
          <w:sz w:val="22"/>
          <w:szCs w:val="22"/>
        </w:rPr>
        <w:t xml:space="preserve">## After All We Have Documented</w:t>
      </w:r>
    </w:p>
    <w:p>
      <w:pPr>
        <w:spacing w:after="160"/>
        <w:jc w:val="left"/>
      </w:pPr>
      <w:r>
        <w:rPr>
          <w:sz w:val="22"/>
          <w:szCs w:val="22"/>
        </w:rPr>
        <w:t xml:space="preserve">After ten chapters of numbers, names, investigations, and legal standards, the simple question that the reader has been asking since the first page remains: what now? What is to be done with all this documentation? What responsibility falls on us — as readers, as researchers, as witnesses from afar — toward what has happened, what is happening, and what may happen?</w:t>
      </w:r>
    </w:p>
    <w:p>
      <w:pPr>
        <w:spacing w:after="160"/>
        <w:jc w:val="left"/>
      </w:pPr>
      <w:r>
        <w:rPr>
          <w:sz w:val="22"/>
          <w:szCs w:val="22"/>
        </w:rPr>
        <w:t xml:space="preserve">This chapter does not provide certain answers. Certain answers are provided by ideologues. What this chapter offers is an invitation to reflection and an attempt to draw a research and ethical roadmap for those who come after us.</w:t>
      </w:r>
    </w:p>
    <w:p>
      <w:pPr>
        <w:spacing w:after="160"/>
        <w:jc w:val="left"/>
      </w:pPr>
      <w:r>
        <w:rPr>
          <w:sz w:val="22"/>
          <w:szCs w:val="22"/>
        </w:rPr>
        <w:t xml:space="preserve">## The Names That Must Not Be Forgotten</w:t>
      </w:r>
    </w:p>
    <w:p>
      <w:pPr>
        <w:spacing w:after="160"/>
        <w:jc w:val="left"/>
      </w:pPr>
      <w:r>
        <w:rPr>
          <w:sz w:val="22"/>
          <w:szCs w:val="22"/>
        </w:rPr>
        <w:t xml:space="preserve">In the volumes of the history of major conflicts, tragedies are usually reduced to a few symbols. The First World War is reduced to the image of the soldier in the trench. The Vietnam War is reduced to the image of Phan Thi Kim Phuc after the napalm bombing. The siege of Sarajevo is reduced to the image of the civilian rushing to escape the sniper. This reduction is human nature, but it is also injustice. Because behind each image are thousands of faces that were not photographed, and thousands of stories that were not written.</w:t>
      </w:r>
    </w:p>
    <w:p>
      <w:pPr>
        <w:spacing w:after="160"/>
        <w:jc w:val="left"/>
      </w:pPr>
      <w:r>
        <w:rPr>
          <w:sz w:val="22"/>
          <w:szCs w:val="22"/>
        </w:rPr>
        <w:t xml:space="preserve">If the writer of this book had to choose, from among hundreds of names documented by CPJ and RSF, names that the reader might recall after closing these pages, they are not necessarily the most famous, but those that represent patterns worthy of remembrance:</w:t>
      </w:r>
    </w:p>
    <w:p>
      <w:pPr>
        <w:spacing w:after="160"/>
        <w:jc w:val="left"/>
      </w:pPr>
      <w:r>
        <w:rPr>
          <w:sz w:val="22"/>
          <w:szCs w:val="22"/>
        </w:rPr>
        <w:t xml:space="preserve">**Issam Abdallah** (Reuters, October 13, 2023, southern Lebanon): whose name became the first legal precedent of the conflict, and through whose investigation the methodology of verification later applied to subsequent cases was established.</w:t>
      </w:r>
    </w:p>
    <w:p>
      <w:pPr>
        <w:spacing w:after="160"/>
        <w:jc w:val="left"/>
      </w:pPr>
      <w:r>
        <w:rPr>
          <w:sz w:val="22"/>
          <w:szCs w:val="22"/>
        </w:rPr>
        <w:t xml:space="preserve">**Hamza Dahdouh** (Al Jazeera, January 7, 2024, Rafah): the young man at twenty-five, son of Wael Dahdouh, killed after the loss of his mother and siblings in an earlier bombing, representing the pattern of targeting media families.</w:t>
      </w:r>
    </w:p>
    <w:p>
      <w:pPr>
        <w:spacing w:after="160"/>
        <w:jc w:val="left"/>
      </w:pPr>
      <w:r>
        <w:rPr>
          <w:sz w:val="22"/>
          <w:szCs w:val="22"/>
        </w:rPr>
        <w:t xml:space="preserve">**Ismail Al-Ghoul and Rami Al-Refee** (Al Jazeera, July 31, 2024, Al-Shati neighborhood): killed during their field work in a vehicle marked with "PRESS," representing the pattern of targeting journalists during coverage.</w:t>
      </w:r>
    </w:p>
    <w:p>
      <w:pPr>
        <w:spacing w:after="160"/>
        <w:jc w:val="left"/>
      </w:pPr>
      <w:r>
        <w:rPr>
          <w:sz w:val="22"/>
          <w:szCs w:val="22"/>
        </w:rPr>
        <w:t xml:space="preserve">**Mohammed Abu Hatab** (Palestine TV, November 2, 2023, Khan Younis): killed with eleven members of his family in a strike on his home hours after completing his last report, representing the pattern of targeting journalists' extended families.</w:t>
      </w:r>
    </w:p>
    <w:p>
      <w:pPr>
        <w:spacing w:after="160"/>
        <w:jc w:val="left"/>
      </w:pPr>
      <w:r>
        <w:rPr>
          <w:sz w:val="22"/>
          <w:szCs w:val="22"/>
        </w:rPr>
        <w:t xml:space="preserve">**Refaat Alareer** (academic, December 2023, Gaza): killed in a strike on his apartment, representing the pattern of targeting Palestinian academics who communicated with the global audience.</w:t>
      </w:r>
    </w:p>
    <w:p>
      <w:pPr>
        <w:spacing w:after="160"/>
        <w:jc w:val="left"/>
      </w:pPr>
      <w:r>
        <w:rPr>
          <w:sz w:val="22"/>
          <w:szCs w:val="22"/>
        </w:rPr>
        <w:t xml:space="preserve">**Sufyan Tayeh** (president of the Islamic University, December 2023): the physicist, holder of the UNESCO medal, killed with his family, representing the cost of losing the "bearing elite."</w:t>
      </w:r>
    </w:p>
    <w:p>
      <w:pPr>
        <w:spacing w:after="160"/>
        <w:jc w:val="left"/>
      </w:pPr>
      <w:r>
        <w:rPr>
          <w:sz w:val="22"/>
          <w:szCs w:val="22"/>
        </w:rPr>
        <w:t xml:space="preserve">**Hind Rajab** (a six-year-old child, February 2024, Gaza): who was neither a journalist nor an aid worker, but whose story — documented by Forensic Architecture with military precision — represents the broader civilian tragedy within which everything we have addressed falls.</w:t>
      </w:r>
    </w:p>
    <w:p>
      <w:pPr>
        <w:spacing w:after="160"/>
        <w:jc w:val="left"/>
      </w:pPr>
      <w:r>
        <w:rPr>
          <w:sz w:val="22"/>
          <w:szCs w:val="22"/>
        </w:rPr>
        <w:t xml:space="preserve">**The seven workers of WCK** (April 1, 2024, Deir al-Balah): Damian Sobol, Jacob Flickinger, Zomi Frankcom, James Henderson, John Chapman, Saif Abu Taha, Mohammed Abu Tahaha. Killed despite confirmed advance coordination, representing the collapse of the humanitarian "safe corridor" mechanism.</w:t>
      </w:r>
    </w:p>
    <w:p>
      <w:pPr>
        <w:spacing w:after="160"/>
        <w:jc w:val="left"/>
      </w:pPr>
      <w:r>
        <w:rPr>
          <w:sz w:val="22"/>
          <w:szCs w:val="22"/>
        </w:rPr>
        <w:t xml:space="preserve">Each of these names has a publicly documented file on the websites of the Committee to Protect Journalists, Reporters Without Borders, and international human rights organizations. And each file opens a door onto an entire world of families and institutions that lost them. When you mention a name, you summon with it an entire network of loss.</w:t>
      </w:r>
    </w:p>
    <w:p>
      <w:pPr>
        <w:spacing w:after="160"/>
        <w:jc w:val="left"/>
      </w:pPr>
      <w:r>
        <w:rPr>
          <w:sz w:val="22"/>
          <w:szCs w:val="22"/>
        </w:rPr>
        <w:t xml:space="preserve">## The Researcher's Reflection</w:t>
      </w:r>
    </w:p>
    <w:p>
      <w:pPr>
        <w:spacing w:after="160"/>
        <w:jc w:val="left"/>
      </w:pPr>
      <w:r>
        <w:rPr>
          <w:sz w:val="22"/>
          <w:szCs w:val="22"/>
        </w:rPr>
        <w:t xml:space="preserve">I write these lines as a researcher, not an activist or a poet. The reflection I wish to present is not emotional, but methodological.</w:t>
      </w:r>
    </w:p>
    <w:p>
      <w:pPr>
        <w:spacing w:after="160"/>
        <w:jc w:val="left"/>
      </w:pPr>
      <w:r>
        <w:rPr>
          <w:sz w:val="22"/>
          <w:szCs w:val="22"/>
        </w:rPr>
        <w:t xml:space="preserve">The first thing rigorous documentation strikes is the comfortable idea of neutrality. When you gather numbers from sources whose caution every political camp praises, and when evidence from organizations sharing only respect for method intersect, the idea of "two equivalent narratives" becomes impossible to defend. This does not mean that "one narrative" monopolizes the truth. Rather, it means that insistence on "equivalence" in the face of documented disparity is itself a non-neutral position.</w:t>
      </w:r>
    </w:p>
    <w:p>
      <w:pPr>
        <w:spacing w:after="160"/>
        <w:jc w:val="left"/>
      </w:pPr>
      <w:r>
        <w:rPr>
          <w:sz w:val="22"/>
          <w:szCs w:val="22"/>
        </w:rPr>
        <w:t xml:space="preserve">The second thing documentation strikes is the comfortable idea of "complexity." In political discussions, the phrase "the situation is complicated" is often resorted to in order to evade issuing judgments. The situation in Gaza is indeed complicated — historically, politically, militarily. But killing children, bombing hospitals, and targeting journalists are not "complicated" matters. They are very simple matters in international law. The complexity lies in "why did it happen" and "how do we hold accountable," not in "did it happen?"</w:t>
      </w:r>
    </w:p>
    <w:p>
      <w:pPr>
        <w:spacing w:after="160"/>
        <w:jc w:val="left"/>
      </w:pPr>
      <w:r>
        <w:rPr>
          <w:sz w:val="22"/>
          <w:szCs w:val="22"/>
        </w:rPr>
        <w:t xml:space="preserve">The third thing documentation strikes is the idea of "helplessness." It is easy for an individual to say: "What can I do?" But documentation itself is action. Reading is action. Remembering is action. Teaching the next generation what happened is action. Translating documents into one's mother tongue is action. The history teacher in the American school who teaches the Shireen Abu Akleh case to their students performs an action no less important than the lawyer preparing a file for the International Criminal Court. Both preserve memory from the second death.</w:t>
      </w:r>
    </w:p>
    <w:p>
      <w:pPr>
        <w:spacing w:after="160"/>
        <w:jc w:val="left"/>
      </w:pPr>
      <w:r>
        <w:rPr>
          <w:sz w:val="22"/>
          <w:szCs w:val="22"/>
        </w:rPr>
        <w:t xml:space="preserve">## What the World Owes to Those Killed as Witnesses</w:t>
      </w:r>
    </w:p>
    <w:p>
      <w:pPr>
        <w:spacing w:after="160"/>
        <w:jc w:val="left"/>
      </w:pPr>
      <w:r>
        <w:rPr>
          <w:sz w:val="22"/>
          <w:szCs w:val="22"/>
        </w:rPr>
        <w:t xml:space="preserve">In the traditions of many civilizations, the martyr has a "right" upon the living. The right is not sentimental, but legal. In Islamic jurisprudence, the right to retribution does not lapse with the passage of time. In international legal jurisprudence, the right to accountability for war crimes and crimes against humanity does not lapse with time — this is stipulated in the United Nations Convention on the Non-Applicability of Statutory Limitations to War Crimes of 1968.</w:t>
      </w:r>
    </w:p>
    <w:p>
      <w:pPr>
        <w:spacing w:after="160"/>
        <w:jc w:val="left"/>
      </w:pPr>
      <w:r>
        <w:rPr>
          <w:sz w:val="22"/>
          <w:szCs w:val="22"/>
        </w:rPr>
        <w:t xml:space="preserve">What the world owes to those killed as witnesses in Gaza can be summarized in five legal and ethical obligations:</w:t>
      </w:r>
    </w:p>
    <w:p>
      <w:pPr>
        <w:spacing w:after="160"/>
        <w:jc w:val="left"/>
      </w:pPr>
      <w:r>
        <w:rPr>
          <w:sz w:val="22"/>
          <w:szCs w:val="22"/>
        </w:rPr>
        <w:t xml:space="preserve">**First, preserving evidence**: Every journalist killed left behind an archive of photos, videos, and reports. Every aid worker left field reports. These archives are the memory of the event. Protecting them from damage, loss, concealment, and erasure is a legal and ethical duty upon media and academic institutions.</w:t>
      </w:r>
    </w:p>
    <w:p>
      <w:pPr>
        <w:spacing w:after="160"/>
        <w:jc w:val="left"/>
      </w:pPr>
      <w:r>
        <w:rPr>
          <w:sz w:val="22"/>
          <w:szCs w:val="22"/>
        </w:rPr>
        <w:t xml:space="preserve">**Second, completing the investigation**: The ongoing investigations at the ICJ, ICC, and UN COI need time and resources. Those who care about the matter must support these institutions politically and financially, not tolerate attempts to obstruct them.</w:t>
      </w:r>
    </w:p>
    <w:p>
      <w:pPr>
        <w:spacing w:after="160"/>
        <w:jc w:val="left"/>
      </w:pPr>
      <w:r>
        <w:rPr>
          <w:sz w:val="22"/>
          <w:szCs w:val="22"/>
        </w:rPr>
        <w:t xml:space="preserve">**Third, disseminating documentation**: Translating reports into multiple languages, teaching them in law and journalism schools, and ensuring their reach to the non-specialist public. What is published in one language only has limited impact.</w:t>
      </w:r>
    </w:p>
    <w:p>
      <w:pPr>
        <w:spacing w:after="160"/>
        <w:jc w:val="left"/>
      </w:pPr>
      <w:r>
        <w:rPr>
          <w:sz w:val="22"/>
          <w:szCs w:val="22"/>
        </w:rPr>
        <w:t xml:space="preserve">**Fourth, honoring the names**: Building an open, transparent, verifiable database that gathers the names of all journalists, humanitarian workers, and prominent civilians who were killed, with their biographies and stories of martyrdom. This is an encyclopedic project worthy of funding and international cooperation.</w:t>
      </w:r>
    </w:p>
    <w:p>
      <w:pPr>
        <w:spacing w:after="160"/>
        <w:jc w:val="left"/>
      </w:pPr>
      <w:r>
        <w:rPr>
          <w:sz w:val="22"/>
          <w:szCs w:val="22"/>
        </w:rPr>
        <w:t xml:space="preserve">**Fifth, systemic reform**: Developing international law to deal with cases of "preventing testimony" in a systematic manner. Law develops through precedents and rulings. Gaza, with its tragedy, provides an opportunity for legal development that protects journalism in coming conflicts.</w:t>
      </w:r>
    </w:p>
    <w:p>
      <w:pPr>
        <w:spacing w:after="160"/>
        <w:jc w:val="left"/>
      </w:pPr>
      <w:r>
        <w:rPr>
          <w:sz w:val="22"/>
          <w:szCs w:val="22"/>
        </w:rPr>
        <w:t xml:space="preserve">## The Long Arcs of Justice</w:t>
      </w:r>
    </w:p>
    <w:p>
      <w:pPr>
        <w:spacing w:after="160"/>
        <w:jc w:val="left"/>
      </w:pPr>
      <w:r>
        <w:rPr>
          <w:sz w:val="22"/>
          <w:szCs w:val="22"/>
        </w:rPr>
        <w:t xml:space="preserve">International justice takes time. Justice Robert Jackson, the American Chief Prosecutor at the Nuremberg trials, said in his opening statement in November 1945: "Four great nations, flushed with victory and stung with injury stay the hand of vengeance and voluntarily submit their captive enemies to the judgment of the law." But Nuremberg itself did not come quickly enough to prevent the catastrophe. It came too late for hundreds of thousands. What it did was to establish the legal precedent, create the concept of "crimes against humanity," and establish that "the military order" is not an acceptable defense.</w:t>
      </w:r>
    </w:p>
    <w:p>
      <w:pPr>
        <w:spacing w:after="160"/>
        <w:jc w:val="left"/>
      </w:pPr>
      <w:r>
        <w:rPr>
          <w:sz w:val="22"/>
          <w:szCs w:val="22"/>
        </w:rPr>
        <w:t xml:space="preserve">In Gaza, Nuremberg has not yet come. It may not come during our generation. But the long arcs of international justice form slowly, stone by stone, investigation by investigation, testimony by testimony. And every person who contributes to placing a stone in this building — even if it is a small stone — is a partner in establishing justice, even if they do not reach it themselves.</w:t>
      </w:r>
    </w:p>
    <w:p>
      <w:pPr>
        <w:spacing w:after="160"/>
        <w:jc w:val="left"/>
      </w:pPr>
      <w:r>
        <w:rPr>
          <w:sz w:val="22"/>
          <w:szCs w:val="22"/>
        </w:rPr>
        <w:t xml:space="preserve">## What the Arab Researcher Can Offer</w:t>
      </w:r>
    </w:p>
    <w:p>
      <w:pPr>
        <w:spacing w:after="160"/>
        <w:jc w:val="left"/>
      </w:pPr>
      <w:r>
        <w:rPr>
          <w:sz w:val="22"/>
          <w:szCs w:val="22"/>
        </w:rPr>
        <w:t xml:space="preserve">I address my colleagues among Arab researchers and academics in the final pages. We are in a unique position. We possess the language in which the witnesses write, we possess knowledge of the context that is difficult for the foreigner to grasp, and we possess a doubled ethical responsibility by virtue of cultural and religious proximity. But this unique position is achieved only through rigorous method.</w:t>
      </w:r>
    </w:p>
    <w:p>
      <w:pPr>
        <w:spacing w:after="160"/>
        <w:jc w:val="left"/>
      </w:pPr>
      <w:r>
        <w:rPr>
          <w:sz w:val="22"/>
          <w:szCs w:val="22"/>
        </w:rPr>
        <w:t xml:space="preserve">What we can offer, practically, includes:</w:t>
      </w:r>
    </w:p>
    <w:p>
      <w:pPr>
        <w:spacing w:after="160"/>
        <w:jc w:val="left"/>
      </w:pPr>
      <w:r>
        <w:rPr>
          <w:sz w:val="22"/>
          <w:szCs w:val="22"/>
        </w:rPr>
        <w:t xml:space="preserve">- **Documentation in Arabic**: Establishing databases in Arabic that gather everything published by international organizations, with references, to be available to the Arab researcher.</w:t>
      </w:r>
    </w:p>
    <w:p>
      <w:pPr>
        <w:spacing w:after="160"/>
        <w:jc w:val="left"/>
      </w:pPr>
      <w:r>
        <w:rPr>
          <w:sz w:val="22"/>
          <w:szCs w:val="22"/>
        </w:rPr>
        <w:t xml:space="preserve">- **Specialized translation**: Translating legal and statistical reports into Arabic with legal precision, not mere meaning transfer. Erroneous translation in international law can mislead generations.</w:t>
      </w:r>
    </w:p>
    <w:p>
      <w:pPr>
        <w:spacing w:after="160"/>
        <w:jc w:val="left"/>
      </w:pPr>
      <w:r>
        <w:rPr>
          <w:sz w:val="22"/>
          <w:szCs w:val="22"/>
        </w:rPr>
        <w:t xml:space="preserve">- **Comparative analysis**: Using the comparative research method to link what is happening in Gaza to broader contexts — in international law, in the history of conflicts, in the literature of collective memory.</w:t>
      </w:r>
    </w:p>
    <w:p>
      <w:pPr>
        <w:spacing w:after="160"/>
        <w:jc w:val="left"/>
      </w:pPr>
      <w:r>
        <w:rPr>
          <w:sz w:val="22"/>
          <w:szCs w:val="22"/>
        </w:rPr>
        <w:t xml:space="preserve">- **Testimony in international forums**: Those of us who can submit testimonies to UN committees, international courts, or academic sessions, do so as part of the "testimony in justice" to which the Qur'an calls us.</w:t>
      </w:r>
    </w:p>
    <w:p>
      <w:pPr>
        <w:spacing w:after="160"/>
        <w:jc w:val="left"/>
      </w:pPr>
      <w:r>
        <w:rPr>
          <w:sz w:val="22"/>
          <w:szCs w:val="22"/>
        </w:rPr>
        <w:t xml:space="preserve">- **Education**: Introducing these materials into the curricula of media, law, and political science colleges in Arab, American, and European universities. What is not taught is forgotten.</w:t>
      </w:r>
    </w:p>
    <w:p>
      <w:pPr>
        <w:spacing w:after="160"/>
        <w:jc w:val="left"/>
      </w:pPr>
      <w:r>
        <w:rPr>
          <w:sz w:val="22"/>
          <w:szCs w:val="22"/>
        </w:rPr>
        <w:t xml:space="preserve">## A Final Word</w:t>
      </w:r>
    </w:p>
    <w:p>
      <w:pPr>
        <w:spacing w:after="160"/>
        <w:jc w:val="left"/>
      </w:pPr>
      <w:r>
        <w:rPr>
          <w:sz w:val="22"/>
          <w:szCs w:val="22"/>
        </w:rPr>
        <w:t xml:space="preserve">On a morning of mornings of October 2023, days before the war, journalist Issam Abdallah was preparing a camera. And Hamza Dahdouh was dreaming of being like his father. And Refaat Alareer was preparing a lecture for students. And Zomi Frankcom was packaging meals for hungry children. And Hind Rajab was a six-year-old child. Each of them was alive, breathing, planning for an ordinary tomorrow. And now each of them has become a name in a report, or a number in a statistic, or a memory in a family that will never be complete.</w:t>
      </w:r>
    </w:p>
    <w:p>
      <w:pPr>
        <w:spacing w:after="160"/>
        <w:jc w:val="left"/>
      </w:pPr>
      <w:r>
        <w:rPr>
          <w:sz w:val="22"/>
          <w:szCs w:val="22"/>
        </w:rPr>
        <w:t xml:space="preserve">This book has not provided them with justice. It has not returned them. It has not wiped the tears of their families. What it has done — in its simplicity — is to record their names and to say to the reader: they were. They did. They died in the position of the witness. And it is upon us, the survivors, to complete what they began, with a word, or a research, or a lecture, or a line in a book.</w:t>
      </w:r>
    </w:p>
    <w:p>
      <w:pPr>
        <w:spacing w:after="160"/>
        <w:jc w:val="left"/>
      </w:pPr>
      <w:r>
        <w:rPr>
          <w:sz w:val="22"/>
          <w:szCs w:val="22"/>
        </w:rPr>
        <w:t xml:space="preserve">How needful we are to live a life worthy of their testimony.</w:t>
      </w:r>
    </w:p>
    <w:p>
      <w:pPr>
        <w:spacing w:after="160"/>
        <w:jc w:val="left"/>
      </w:pPr>
      <w:r>
        <w:rPr>
          <w:sz w:val="22"/>
          <w:szCs w:val="22"/>
        </w:rPr>
        <w:t xml:space="preserve">And God knows best. And praise be to God, Lord of the worlds.</w:t>
      </w:r>
    </w:p>
    <w:p>
      <w:r>
        <w:br w:type="page"/>
      </w:r>
    </w:p>
    <w:p>
      <w:pPr>
        <w:spacing w:after="360" w:before="600"/>
        <w:jc w:val="center"/>
      </w:pPr>
      <w:r>
        <w:rPr>
          <w:b/>
          <w:bCs/>
          <w:color w:val="1B3A5C"/>
          <w:sz w:val="36"/>
          <w:szCs w:val="36"/>
        </w:rPr>
        <w:t xml:space="preserve">Chapter 12: Sources and References</w:t>
      </w:r>
    </w:p>
    <w:p>
      <w:pPr>
        <w:spacing w:after="160"/>
        <w:jc w:val="left"/>
      </w:pPr>
      <w:r>
        <w:rPr>
          <w:sz w:val="22"/>
          <w:szCs w:val="22"/>
        </w:rPr>
        <w:t xml:space="preserve">## Methodological Note</w:t>
      </w:r>
    </w:p>
    <w:p>
      <w:pPr>
        <w:spacing w:after="160"/>
        <w:jc w:val="left"/>
      </w:pPr>
      <w:r>
        <w:rPr>
          <w:sz w:val="22"/>
          <w:szCs w:val="22"/>
        </w:rPr>
        <w:t xml:space="preserve">All numbers, names, and facts mentioned in this book are based on sources publicly published by international human rights organizations, UN agencies, international courts, and major media outlets with rigorous editorial standards. The references are presented here ordered thematically to facilitate reference for the specialist reader or researcher.</w:t>
      </w:r>
    </w:p>
    <w:p>
      <w:pPr>
        <w:spacing w:after="160"/>
        <w:jc w:val="left"/>
      </w:pPr>
      <w:r>
        <w:rPr>
          <w:sz w:val="22"/>
          <w:szCs w:val="22"/>
        </w:rPr>
        <w:t xml:space="preserve">The numbers change continuously: the figures cited in the book were current at the time of writing (2025). For real-time updates, please refer to the websites of the mentioned organizations.</w:t>
      </w:r>
    </w:p>
    <w:p>
      <w:pPr>
        <w:spacing w:after="160"/>
        <w:jc w:val="left"/>
      </w:pPr>
      <w:r>
        <w:rPr>
          <w:sz w:val="22"/>
          <w:szCs w:val="22"/>
        </w:rPr>
        <w:t xml:space="preserve">---</w:t>
      </w:r>
    </w:p>
    <w:p>
      <w:pPr>
        <w:spacing w:after="160"/>
        <w:jc w:val="left"/>
      </w:pPr>
      <w:r>
        <w:rPr>
          <w:sz w:val="22"/>
          <w:szCs w:val="22"/>
        </w:rPr>
        <w:t xml:space="preserve">## I. Press Protection Organizations</w:t>
      </w:r>
    </w:p>
    <w:p>
      <w:pPr>
        <w:spacing w:after="160"/>
        <w:jc w:val="left"/>
      </w:pPr>
      <w:r>
        <w:rPr>
          <w:sz w:val="22"/>
          <w:szCs w:val="22"/>
        </w:rPr>
        <w:t xml:space="preserve">**Committee to Protect Journalists (CPJ)**</w:t>
      </w:r>
    </w:p>
    <w:p>
      <w:pPr>
        <w:spacing w:after="160"/>
        <w:jc w:val="left"/>
      </w:pPr>
      <w:r>
        <w:rPr>
          <w:sz w:val="22"/>
          <w:szCs w:val="22"/>
        </w:rPr>
        <w:t xml:space="preserve">- Journalist casualties page in the Israeli–Palestinian war, continuously updated:     https://cpj.org/reports/2024/journalist-casualties-israel-gaza-war/ - Database of journalists killed since 1992:     https://cpj.org/data/killed/ - "Deadly Pattern: Targeting Palestinian Journalists" report, 2023. - Monthly and annual statements related to the conflict.</w:t>
      </w:r>
    </w:p>
    <w:p>
      <w:pPr>
        <w:spacing w:after="160"/>
        <w:jc w:val="left"/>
      </w:pPr>
      <w:r>
        <w:rPr>
          <w:sz w:val="22"/>
          <w:szCs w:val="22"/>
        </w:rPr>
        <w:t xml:space="preserve">**Reporters Without Borders (RSF)**</w:t>
      </w:r>
    </w:p>
    <w:p>
      <w:pPr>
        <w:spacing w:after="160"/>
        <w:jc w:val="left"/>
      </w:pPr>
      <w:r>
        <w:rPr>
          <w:sz w:val="22"/>
          <w:szCs w:val="22"/>
        </w:rPr>
        <w:t xml:space="preserve">- Annual Round-up Report 2024. - Formal complaint to the International Criminal Court Prosecutor concerning the killing of journalists, December 2023. - "Censorship Through Killing" report, September 2024. - World Press Freedom Index:     https://rsf.org/en/index</w:t>
      </w:r>
    </w:p>
    <w:p>
      <w:pPr>
        <w:spacing w:after="160"/>
        <w:jc w:val="left"/>
      </w:pPr>
      <w:r>
        <w:rPr>
          <w:sz w:val="22"/>
          <w:szCs w:val="22"/>
        </w:rPr>
        <w:t xml:space="preserve">**Palestinian Journalists Syndicate**</w:t>
      </w:r>
    </w:p>
    <w:p>
      <w:pPr>
        <w:spacing w:after="160"/>
        <w:jc w:val="left"/>
      </w:pPr>
      <w:r>
        <w:rPr>
          <w:sz w:val="22"/>
          <w:szCs w:val="22"/>
        </w:rPr>
        <w:t xml:space="preserve">- Official statements and documented statistics on members killed in Gaza.</w:t>
      </w:r>
    </w:p>
    <w:p>
      <w:pPr>
        <w:spacing w:after="160"/>
        <w:jc w:val="left"/>
      </w:pPr>
      <w:r>
        <w:rPr>
          <w:sz w:val="22"/>
          <w:szCs w:val="22"/>
        </w:rPr>
        <w:t xml:space="preserve">---</w:t>
      </w:r>
    </w:p>
    <w:p>
      <w:pPr>
        <w:spacing w:after="160"/>
        <w:jc w:val="left"/>
      </w:pPr>
      <w:r>
        <w:rPr>
          <w:sz w:val="22"/>
          <w:szCs w:val="22"/>
        </w:rPr>
        <w:t xml:space="preserve">## II. International Human Rights Organizations</w:t>
      </w:r>
    </w:p>
    <w:p>
      <w:pPr>
        <w:spacing w:after="160"/>
        <w:jc w:val="left"/>
      </w:pPr>
      <w:r>
        <w:rPr>
          <w:sz w:val="22"/>
          <w:szCs w:val="22"/>
        </w:rPr>
        <w:t xml:space="preserve">**Human Rights Watch (HRW)**</w:t>
      </w:r>
    </w:p>
    <w:p>
      <w:pPr>
        <w:spacing w:after="160"/>
        <w:jc w:val="left"/>
      </w:pPr>
      <w:r>
        <w:rPr>
          <w:sz w:val="22"/>
          <w:szCs w:val="22"/>
        </w:rPr>
        <w:t xml:space="preserve">- "Lebanon: Israeli Strike Killing Reuters Journalist Apparent War Crime," December 2023. - "Civilian Casualties: Israeli Patterns," January 2024. - "I Can't Erase All the Blood from My Mind," report on bombing incidents on residential neighborhoods, December 2023. - "Targeting of Journalists in Lebanon and Gaza," May 2024. - "Starvation as a Weapon of War," December 2023. - Israel/Palestine page:     https://www.hrw.org/middle-east/n-africa/israel/palestine</w:t>
      </w:r>
    </w:p>
    <w:p>
      <w:pPr>
        <w:spacing w:after="160"/>
        <w:jc w:val="left"/>
      </w:pPr>
      <w:r>
        <w:rPr>
          <w:sz w:val="22"/>
          <w:szCs w:val="22"/>
        </w:rPr>
        <w:t xml:space="preserve">**Amnesty International**</w:t>
      </w:r>
    </w:p>
    <w:p>
      <w:pPr>
        <w:spacing w:after="160"/>
        <w:jc w:val="left"/>
      </w:pPr>
      <w:r>
        <w:rPr>
          <w:sz w:val="22"/>
          <w:szCs w:val="22"/>
        </w:rPr>
        <w:t xml:space="preserve">- "Damning Evidence of Israeli War Crimes Against Civilians," December 2023. - "You Feel Like You Are Subhuman: Israel's Genocide Against Palestinians in Gaza," October 2024. - Statements concerning the killing of Issam Abdallah, December 2023. - Israel/Occupied Palestinian Territories page:     https://www.amnesty.org/en/location/middle-east-and-north-africa/israel-and-occupied-palestinian-territories/</w:t>
      </w:r>
    </w:p>
    <w:p>
      <w:pPr>
        <w:spacing w:after="160"/>
        <w:jc w:val="left"/>
      </w:pPr>
      <w:r>
        <w:rPr>
          <w:sz w:val="22"/>
          <w:szCs w:val="22"/>
        </w:rPr>
        <w:t xml:space="preserve">**Al-Mezan Center for Human Rights**</w:t>
      </w:r>
    </w:p>
    <w:p>
      <w:pPr>
        <w:spacing w:after="160"/>
        <w:jc w:val="left"/>
      </w:pPr>
      <w:r>
        <w:rPr>
          <w:sz w:val="22"/>
          <w:szCs w:val="22"/>
        </w:rPr>
        <w:t xml:space="preserve">- Daily field reports from Gaza.</w:t>
      </w:r>
    </w:p>
    <w:p>
      <w:pPr>
        <w:spacing w:after="160"/>
        <w:jc w:val="left"/>
      </w:pPr>
      <w:r>
        <w:rPr>
          <w:sz w:val="22"/>
          <w:szCs w:val="22"/>
        </w:rPr>
        <w:t xml:space="preserve">**Al-Haq Organization**</w:t>
      </w:r>
    </w:p>
    <w:p>
      <w:pPr>
        <w:spacing w:after="160"/>
        <w:jc w:val="left"/>
      </w:pPr>
      <w:r>
        <w:rPr>
          <w:sz w:val="22"/>
          <w:szCs w:val="22"/>
        </w:rPr>
        <w:t xml:space="preserve">- Human rights and legal investigations regarding violations in the Palestinian territories.</w:t>
      </w:r>
    </w:p>
    <w:p>
      <w:pPr>
        <w:spacing w:after="160"/>
        <w:jc w:val="left"/>
      </w:pPr>
      <w:r>
        <w:rPr>
          <w:sz w:val="22"/>
          <w:szCs w:val="22"/>
        </w:rPr>
        <w:t xml:space="preserve">---</w:t>
      </w:r>
    </w:p>
    <w:p>
      <w:pPr>
        <w:spacing w:after="160"/>
        <w:jc w:val="left"/>
      </w:pPr>
      <w:r>
        <w:rPr>
          <w:sz w:val="22"/>
          <w:szCs w:val="22"/>
        </w:rPr>
        <w:t xml:space="preserve">## III. United Nations Offices</w:t>
      </w:r>
    </w:p>
    <w:p>
      <w:pPr>
        <w:spacing w:after="160"/>
        <w:jc w:val="left"/>
      </w:pPr>
      <w:r>
        <w:rPr>
          <w:sz w:val="22"/>
          <w:szCs w:val="22"/>
        </w:rPr>
        <w:t xml:space="preserve">**UN Office for the Coordination of Humanitarian Affairs (OCHA)**</w:t>
      </w:r>
    </w:p>
    <w:p>
      <w:pPr>
        <w:spacing w:after="160"/>
        <w:jc w:val="left"/>
      </w:pPr>
      <w:r>
        <w:rPr>
          <w:sz w:val="22"/>
          <w:szCs w:val="22"/>
        </w:rPr>
        <w:t xml:space="preserve">- Weekly reports on the situation in the occupied Palestinian territories:     https://www.ochaopt.org - "Humanitarian Access Reports," 2024–2025. - Statistics on humanitarian worker fatalities.</w:t>
      </w:r>
    </w:p>
    <w:p>
      <w:pPr>
        <w:spacing w:after="160"/>
        <w:jc w:val="left"/>
      </w:pPr>
      <w:r>
        <w:rPr>
          <w:sz w:val="22"/>
          <w:szCs w:val="22"/>
        </w:rPr>
        <w:t xml:space="preserve">**UN Relief and Works Agency for Palestine Refugees (UNRWA)**</w:t>
      </w:r>
    </w:p>
    <w:p>
      <w:pPr>
        <w:spacing w:after="160"/>
        <w:jc w:val="left"/>
      </w:pPr>
      <w:r>
        <w:rPr>
          <w:sz w:val="22"/>
          <w:szCs w:val="22"/>
        </w:rPr>
        <w:t xml:space="preserve">- Continuous update on the official site regarding staff killings:     https://www.unrwa.org - Periodic education and health reports.</w:t>
      </w:r>
    </w:p>
    <w:p>
      <w:pPr>
        <w:spacing w:after="160"/>
        <w:jc w:val="left"/>
      </w:pPr>
      <w:r>
        <w:rPr>
          <w:sz w:val="22"/>
          <w:szCs w:val="22"/>
        </w:rPr>
        <w:t xml:space="preserve">**World Health Organization (WHO)**</w:t>
      </w:r>
    </w:p>
    <w:p>
      <w:pPr>
        <w:spacing w:after="160"/>
        <w:jc w:val="left"/>
      </w:pPr>
      <w:r>
        <w:rPr>
          <w:sz w:val="22"/>
          <w:szCs w:val="22"/>
        </w:rPr>
        <w:t xml:space="preserve">- "Surveillance of Health Worker Deaths in Gaza," 2025. - "Attacks on Health Care Initiative":     https://extranet.who.int/ssa/</w:t>
      </w:r>
    </w:p>
    <w:p>
      <w:pPr>
        <w:spacing w:after="160"/>
        <w:jc w:val="left"/>
      </w:pPr>
      <w:r>
        <w:rPr>
          <w:sz w:val="22"/>
          <w:szCs w:val="22"/>
        </w:rPr>
        <w:t xml:space="preserve">**UNESCO**</w:t>
      </w:r>
    </w:p>
    <w:p>
      <w:pPr>
        <w:spacing w:after="160"/>
        <w:jc w:val="left"/>
      </w:pPr>
      <w:r>
        <w:rPr>
          <w:sz w:val="22"/>
          <w:szCs w:val="22"/>
        </w:rPr>
        <w:t xml:space="preserve">- Statement regarding the killing of scientist Sufyan Tayeh, December 2023. - UN Plan of Action on the Safety of Journalists, 2012 (updated 2022).</w:t>
      </w:r>
    </w:p>
    <w:p>
      <w:pPr>
        <w:spacing w:after="160"/>
        <w:jc w:val="left"/>
      </w:pPr>
      <w:r>
        <w:rPr>
          <w:sz w:val="22"/>
          <w:szCs w:val="22"/>
        </w:rPr>
        <w:t xml:space="preserve">**Office of the High Commissioner for Human Rights (OHCHR)**</w:t>
      </w:r>
    </w:p>
    <w:p>
      <w:pPr>
        <w:spacing w:after="160"/>
        <w:jc w:val="left"/>
      </w:pPr>
      <w:r>
        <w:rPr>
          <w:sz w:val="22"/>
          <w:szCs w:val="22"/>
        </w:rPr>
        <w:t xml:space="preserve">- Independent International Commission of Inquiry Report, A/HRC/56/26, June 2024. - "Conduct of Hostilities" Reports, 2024. - Statements regarding the deaths of journalists and doctors during detention.</w:t>
      </w:r>
    </w:p>
    <w:p>
      <w:pPr>
        <w:spacing w:after="160"/>
        <w:jc w:val="left"/>
      </w:pPr>
      <w:r>
        <w:rPr>
          <w:sz w:val="22"/>
          <w:szCs w:val="22"/>
        </w:rPr>
        <w:t xml:space="preserve">**UN Special Rapporteur on the Palestinian Territory (Francesca Albanese)**</w:t>
      </w:r>
    </w:p>
    <w:p>
      <w:pPr>
        <w:spacing w:after="160"/>
        <w:jc w:val="left"/>
      </w:pPr>
      <w:r>
        <w:rPr>
          <w:sz w:val="22"/>
          <w:szCs w:val="22"/>
        </w:rPr>
        <w:t xml:space="preserve">- "Anatomy of a Genocide," A/HRC/55/73, March 2024.</w:t>
      </w:r>
    </w:p>
    <w:p>
      <w:pPr>
        <w:spacing w:after="160"/>
        <w:jc w:val="left"/>
      </w:pPr>
      <w:r>
        <w:rPr>
          <w:sz w:val="22"/>
          <w:szCs w:val="22"/>
        </w:rPr>
        <w:t xml:space="preserve">**Special Rapporteur on the Right to Education**</w:t>
      </w:r>
    </w:p>
    <w:p>
      <w:pPr>
        <w:spacing w:after="160"/>
        <w:jc w:val="left"/>
      </w:pPr>
      <w:r>
        <w:rPr>
          <w:sz w:val="22"/>
          <w:szCs w:val="22"/>
        </w:rPr>
        <w:t xml:space="preserve">- A/HRC/56/L.21, 2024.</w:t>
      </w:r>
    </w:p>
    <w:p>
      <w:pPr>
        <w:spacing w:after="160"/>
        <w:jc w:val="left"/>
      </w:pPr>
      <w:r>
        <w:rPr>
          <w:sz w:val="22"/>
          <w:szCs w:val="22"/>
        </w:rPr>
        <w:t xml:space="preserve">---</w:t>
      </w:r>
    </w:p>
    <w:p>
      <w:pPr>
        <w:spacing w:after="160"/>
        <w:jc w:val="left"/>
      </w:pPr>
      <w:r>
        <w:rPr>
          <w:sz w:val="22"/>
          <w:szCs w:val="22"/>
        </w:rPr>
        <w:t xml:space="preserve">## IV. International Courts</w:t>
      </w:r>
    </w:p>
    <w:p>
      <w:pPr>
        <w:spacing w:after="160"/>
        <w:jc w:val="left"/>
      </w:pPr>
      <w:r>
        <w:rPr>
          <w:sz w:val="22"/>
          <w:szCs w:val="22"/>
        </w:rPr>
        <w:t xml:space="preserve">**International Court of Justice (ICJ)**</w:t>
      </w:r>
    </w:p>
    <w:p>
      <w:pPr>
        <w:spacing w:after="160"/>
        <w:jc w:val="left"/>
      </w:pPr>
      <w:r>
        <w:rPr>
          <w:sz w:val="22"/>
          <w:szCs w:val="22"/>
        </w:rPr>
        <w:t xml:space="preserve">- ICJ Application of South Africa, "Application Instituting Proceedings," 29 December 2023. - ICJ Order (Provisional Measures), 26 January 2024. - ICJ Order (Additional Measures), 28 March 2024. - ICJ Order, 24 May 2024. - Official website:     https://www.icj-cij.org</w:t>
      </w:r>
    </w:p>
    <w:p>
      <w:pPr>
        <w:spacing w:after="160"/>
        <w:jc w:val="left"/>
      </w:pPr>
      <w:r>
        <w:rPr>
          <w:sz w:val="22"/>
          <w:szCs w:val="22"/>
        </w:rPr>
        <w:t xml:space="preserve">**International Criminal Court (ICC)**</w:t>
      </w:r>
    </w:p>
    <w:p>
      <w:pPr>
        <w:spacing w:after="160"/>
        <w:jc w:val="left"/>
      </w:pPr>
      <w:r>
        <w:rPr>
          <w:sz w:val="22"/>
          <w:szCs w:val="22"/>
        </w:rPr>
        <w:t xml:space="preserve">- ICC Prosecutor Karim Khan, Statement, 20 May 2024. - ICC Pre-Trial Chamber I, Decision on Arrest Warrants, 21 November 2024. - Rome Statute (1998). - Official website:     https://www.icc-cpi.int</w:t>
      </w:r>
    </w:p>
    <w:p>
      <w:pPr>
        <w:spacing w:after="160"/>
        <w:jc w:val="left"/>
      </w:pPr>
      <w:r>
        <w:rPr>
          <w:sz w:val="22"/>
          <w:szCs w:val="22"/>
        </w:rPr>
        <w:t xml:space="preserve">**International Criminal Tribunal for the Former Yugoslavia (ICTY)**</w:t>
      </w:r>
    </w:p>
    <w:p>
      <w:pPr>
        <w:spacing w:after="160"/>
        <w:jc w:val="left"/>
      </w:pPr>
      <w:r>
        <w:rPr>
          <w:sz w:val="22"/>
          <w:szCs w:val="22"/>
        </w:rPr>
        <w:t xml:space="preserve">- Galić Case (Trial Judgement, 2003; Appeal Judgement, 2006). - Krstić Case (2001).</w:t>
      </w:r>
    </w:p>
    <w:p>
      <w:pPr>
        <w:spacing w:after="160"/>
        <w:jc w:val="left"/>
      </w:pPr>
      <w:r>
        <w:rPr>
          <w:sz w:val="22"/>
          <w:szCs w:val="22"/>
        </w:rPr>
        <w:t xml:space="preserve">**International Criminal Tribunal for Rwanda (ICTR)**</w:t>
      </w:r>
    </w:p>
    <w:p>
      <w:pPr>
        <w:spacing w:after="160"/>
        <w:jc w:val="left"/>
      </w:pPr>
      <w:r>
        <w:rPr>
          <w:sz w:val="22"/>
          <w:szCs w:val="22"/>
        </w:rPr>
        <w:t xml:space="preserve">- Nahimana et al. (Media Case), 2003.</w:t>
      </w:r>
    </w:p>
    <w:p>
      <w:pPr>
        <w:spacing w:after="160"/>
        <w:jc w:val="left"/>
      </w:pPr>
      <w:r>
        <w:rPr>
          <w:sz w:val="22"/>
          <w:szCs w:val="22"/>
        </w:rPr>
        <w:t xml:space="preserve">---</w:t>
      </w:r>
    </w:p>
    <w:p>
      <w:pPr>
        <w:spacing w:after="160"/>
        <w:jc w:val="left"/>
      </w:pPr>
      <w:r>
        <w:rPr>
          <w:sz w:val="22"/>
          <w:szCs w:val="22"/>
        </w:rPr>
        <w:t xml:space="preserve">## V. International Media Investigations</w:t>
      </w:r>
    </w:p>
    <w:p>
      <w:pPr>
        <w:spacing w:after="160"/>
        <w:jc w:val="left"/>
      </w:pPr>
      <w:r>
        <w:rPr>
          <w:sz w:val="22"/>
          <w:szCs w:val="22"/>
        </w:rPr>
        <w:t xml:space="preserve">**Reuters**</w:t>
      </w:r>
    </w:p>
    <w:p>
      <w:pPr>
        <w:spacing w:after="160"/>
        <w:jc w:val="left"/>
      </w:pPr>
      <w:r>
        <w:rPr>
          <w:sz w:val="22"/>
          <w:szCs w:val="22"/>
        </w:rPr>
        <w:t xml:space="preserve">- Reuters Investigation, "How a Reuters Journalist Was Killed by an Israeli Tank Crew," December 2023.</w:t>
      </w:r>
    </w:p>
    <w:p>
      <w:pPr>
        <w:spacing w:after="160"/>
        <w:jc w:val="left"/>
      </w:pPr>
      <w:r>
        <w:rPr>
          <w:sz w:val="22"/>
          <w:szCs w:val="22"/>
        </w:rPr>
        <w:t xml:space="preserve">**The New York Times**</w:t>
      </w:r>
    </w:p>
    <w:p>
      <w:pPr>
        <w:spacing w:after="160"/>
        <w:jc w:val="left"/>
      </w:pPr>
      <w:r>
        <w:rPr>
          <w:sz w:val="22"/>
          <w:szCs w:val="22"/>
        </w:rPr>
        <w:t xml:space="preserve">- "How Israel Used U.S. Bombs in Gaza," December 2023.</w:t>
      </w:r>
    </w:p>
    <w:p>
      <w:pPr>
        <w:spacing w:after="160"/>
        <w:jc w:val="left"/>
      </w:pPr>
      <w:r>
        <w:rPr>
          <w:sz w:val="22"/>
          <w:szCs w:val="22"/>
        </w:rPr>
        <w:t xml:space="preserve">**The Washington Post**</w:t>
      </w:r>
    </w:p>
    <w:p>
      <w:pPr>
        <w:spacing w:after="160"/>
        <w:jc w:val="left"/>
      </w:pPr>
      <w:r>
        <w:rPr>
          <w:sz w:val="22"/>
          <w:szCs w:val="22"/>
        </w:rPr>
        <w:t xml:space="preserve">- Investigation into the Israeli "buffer zone" north of Gaza, May 2024.</w:t>
      </w:r>
    </w:p>
    <w:p>
      <w:pPr>
        <w:spacing w:after="160"/>
        <w:jc w:val="left"/>
      </w:pPr>
      <w:r>
        <w:rPr>
          <w:sz w:val="22"/>
          <w:szCs w:val="22"/>
        </w:rPr>
        <w:t xml:space="preserve">**CNN**</w:t>
      </w:r>
    </w:p>
    <w:p>
      <w:pPr>
        <w:spacing w:after="160"/>
        <w:jc w:val="left"/>
      </w:pPr>
      <w:r>
        <w:rPr>
          <w:sz w:val="22"/>
          <w:szCs w:val="22"/>
        </w:rPr>
        <w:t xml:space="preserve">- Investigation into the Shireen Abu Akleh case, May 2022. - Investigations into the use of heavy bombs, 2023–2024.</w:t>
      </w:r>
    </w:p>
    <w:p>
      <w:pPr>
        <w:spacing w:after="160"/>
        <w:jc w:val="left"/>
      </w:pPr>
      <w:r>
        <w:rPr>
          <w:sz w:val="22"/>
          <w:szCs w:val="22"/>
        </w:rPr>
        <w:t xml:space="preserve">**Al Jazeera**</w:t>
      </w:r>
    </w:p>
    <w:p>
      <w:pPr>
        <w:spacing w:after="160"/>
        <w:jc w:val="left"/>
      </w:pPr>
      <w:r>
        <w:rPr>
          <w:sz w:val="22"/>
          <w:szCs w:val="22"/>
        </w:rPr>
        <w:t xml:space="preserve">- Daily war coverage and statements regarding journalist casualties.</w:t>
      </w:r>
    </w:p>
    <w:p>
      <w:pPr>
        <w:spacing w:after="160"/>
        <w:jc w:val="left"/>
      </w:pPr>
      <w:r>
        <w:rPr>
          <w:sz w:val="22"/>
          <w:szCs w:val="22"/>
        </w:rPr>
        <w:t xml:space="preserve">**+972 Magazine and Local Call**</w:t>
      </w:r>
    </w:p>
    <w:p>
      <w:pPr>
        <w:spacing w:after="160"/>
        <w:jc w:val="left"/>
      </w:pPr>
      <w:r>
        <w:rPr>
          <w:sz w:val="22"/>
          <w:szCs w:val="22"/>
        </w:rPr>
        <w:t xml:space="preserve">- "Lavender: The AI Machine Directing Israel's Bombing in Gaza," April 2024.</w:t>
      </w:r>
    </w:p>
    <w:p>
      <w:pPr>
        <w:spacing w:after="160"/>
        <w:jc w:val="left"/>
      </w:pPr>
      <w:r>
        <w:rPr>
          <w:sz w:val="22"/>
          <w:szCs w:val="22"/>
        </w:rPr>
        <w:t xml:space="preserve">**Forensic Architecture**</w:t>
      </w:r>
    </w:p>
    <w:p>
      <w:pPr>
        <w:spacing w:after="160"/>
        <w:jc w:val="left"/>
      </w:pPr>
      <w:r>
        <w:rPr>
          <w:sz w:val="22"/>
          <w:szCs w:val="22"/>
        </w:rPr>
        <w:t xml:space="preserve">- Hind Rajab investigation, February 2024. - WCK investigation, April 2024. - Official website:     https://forensic-architecture.org</w:t>
      </w:r>
    </w:p>
    <w:p>
      <w:pPr>
        <w:spacing w:after="160"/>
        <w:jc w:val="left"/>
      </w:pPr>
      <w:r>
        <w:rPr>
          <w:sz w:val="22"/>
          <w:szCs w:val="22"/>
        </w:rPr>
        <w:t xml:space="preserve">---</w:t>
      </w:r>
    </w:p>
    <w:p>
      <w:pPr>
        <w:spacing w:after="160"/>
        <w:jc w:val="left"/>
      </w:pPr>
      <w:r>
        <w:rPr>
          <w:sz w:val="22"/>
          <w:szCs w:val="22"/>
        </w:rPr>
        <w:t xml:space="preserve">## VI. Humanitarian Organizations</w:t>
      </w:r>
    </w:p>
    <w:p>
      <w:pPr>
        <w:spacing w:after="160"/>
        <w:jc w:val="left"/>
      </w:pPr>
      <w:r>
        <w:rPr>
          <w:sz w:val="22"/>
          <w:szCs w:val="22"/>
        </w:rPr>
        <w:t xml:space="preserve">**World Central Kitchen (WCK)**</w:t>
      </w:r>
    </w:p>
    <w:p>
      <w:pPr>
        <w:spacing w:after="160"/>
        <w:jc w:val="left"/>
      </w:pPr>
      <w:r>
        <w:rPr>
          <w:sz w:val="22"/>
          <w:szCs w:val="22"/>
        </w:rPr>
        <w:t xml:space="preserve">- Official statements and reports regarding the strike on the convoy, April 2024. - Internal incident report, May 2024.</w:t>
      </w:r>
    </w:p>
    <w:p>
      <w:pPr>
        <w:spacing w:after="160"/>
        <w:jc w:val="left"/>
      </w:pPr>
      <w:r>
        <w:rPr>
          <w:sz w:val="22"/>
          <w:szCs w:val="22"/>
        </w:rPr>
        <w:t xml:space="preserve">**Médecins Sans Frontières (MSF)**</w:t>
      </w:r>
    </w:p>
    <w:p>
      <w:pPr>
        <w:spacing w:after="160"/>
        <w:jc w:val="left"/>
      </w:pPr>
      <w:r>
        <w:rPr>
          <w:sz w:val="22"/>
          <w:szCs w:val="22"/>
        </w:rPr>
        <w:t xml:space="preserve">- Statements regarding the bombing of medical facilities, 2023–2024.</w:t>
      </w:r>
    </w:p>
    <w:p>
      <w:pPr>
        <w:spacing w:after="160"/>
        <w:jc w:val="left"/>
      </w:pPr>
      <w:r>
        <w:rPr>
          <w:sz w:val="22"/>
          <w:szCs w:val="22"/>
        </w:rPr>
        <w:t xml:space="preserve">**Medical Aid for Palestinians (MAP UK)**</w:t>
      </w:r>
    </w:p>
    <w:p>
      <w:pPr>
        <w:spacing w:after="160"/>
        <w:jc w:val="left"/>
      </w:pPr>
      <w:r>
        <w:rPr>
          <w:sz w:val="22"/>
          <w:szCs w:val="22"/>
        </w:rPr>
        <w:t xml:space="preserve">- Reports on the targeting of health workers.</w:t>
      </w:r>
    </w:p>
    <w:p>
      <w:pPr>
        <w:spacing w:after="160"/>
        <w:jc w:val="left"/>
      </w:pPr>
      <w:r>
        <w:rPr>
          <w:sz w:val="22"/>
          <w:szCs w:val="22"/>
        </w:rPr>
        <w:t xml:space="preserve">**International Committee of the Red Cross (ICRC)**</w:t>
      </w:r>
    </w:p>
    <w:p>
      <w:pPr>
        <w:spacing w:after="160"/>
        <w:jc w:val="left"/>
      </w:pPr>
      <w:r>
        <w:rPr>
          <w:sz w:val="22"/>
          <w:szCs w:val="22"/>
        </w:rPr>
        <w:t xml:space="preserve">- Statements regarding violations of international humanitarian law, 2024. - Official Commentary on the First Additional Protocol to the Geneva Conventions, 1987.</w:t>
      </w:r>
    </w:p>
    <w:p>
      <w:pPr>
        <w:spacing w:after="160"/>
        <w:jc w:val="left"/>
      </w:pPr>
      <w:r>
        <w:rPr>
          <w:sz w:val="22"/>
          <w:szCs w:val="22"/>
        </w:rPr>
        <w:t xml:space="preserve">**Palestine Red Crescent Society (PRCS)**</w:t>
      </w:r>
    </w:p>
    <w:p>
      <w:pPr>
        <w:spacing w:after="160"/>
        <w:jc w:val="left"/>
      </w:pPr>
      <w:r>
        <w:rPr>
          <w:sz w:val="22"/>
          <w:szCs w:val="22"/>
        </w:rPr>
        <w:t xml:space="preserve">- Statements regarding the killing of paramedics and volunteers.</w:t>
      </w:r>
    </w:p>
    <w:p>
      <w:pPr>
        <w:spacing w:after="160"/>
        <w:jc w:val="left"/>
      </w:pPr>
      <w:r>
        <w:rPr>
          <w:sz w:val="22"/>
          <w:szCs w:val="22"/>
        </w:rPr>
        <w:t xml:space="preserve">**Save the Children, Oxfam, CARE International**</w:t>
      </w:r>
    </w:p>
    <w:p>
      <w:pPr>
        <w:spacing w:after="160"/>
        <w:jc w:val="left"/>
      </w:pPr>
      <w:r>
        <w:rPr>
          <w:sz w:val="22"/>
          <w:szCs w:val="22"/>
        </w:rPr>
        <w:t xml:space="preserve">- Joint statements on the humanitarian situation, 2024.</w:t>
      </w:r>
    </w:p>
    <w:p>
      <w:pPr>
        <w:spacing w:after="160"/>
        <w:jc w:val="left"/>
      </w:pPr>
      <w:r>
        <w:rPr>
          <w:sz w:val="22"/>
          <w:szCs w:val="22"/>
        </w:rPr>
        <w:t xml:space="preserve">**Aid Worker Security Database (AWSD)**</w:t>
      </w:r>
    </w:p>
    <w:p>
      <w:pPr>
        <w:spacing w:after="160"/>
        <w:jc w:val="left"/>
      </w:pPr>
      <w:r>
        <w:rPr>
          <w:sz w:val="22"/>
          <w:szCs w:val="22"/>
        </w:rPr>
        <w:t xml:space="preserve">- Annual reports:     https://aidworkersecurity.org</w:t>
      </w:r>
    </w:p>
    <w:p>
      <w:pPr>
        <w:spacing w:after="160"/>
        <w:jc w:val="left"/>
      </w:pPr>
      <w:r>
        <w:rPr>
          <w:sz w:val="22"/>
          <w:szCs w:val="22"/>
        </w:rPr>
        <w:t xml:space="preserve">---</w:t>
      </w:r>
    </w:p>
    <w:p>
      <w:pPr>
        <w:spacing w:after="160"/>
        <w:jc w:val="left"/>
      </w:pPr>
      <w:r>
        <w:rPr>
          <w:sz w:val="22"/>
          <w:szCs w:val="22"/>
        </w:rPr>
        <w:t xml:space="preserve">## VII. Foundational Legal Documents</w:t>
      </w:r>
    </w:p>
    <w:p>
      <w:pPr>
        <w:spacing w:after="160"/>
        <w:jc w:val="left"/>
      </w:pPr>
      <w:r>
        <w:rPr>
          <w:sz w:val="22"/>
          <w:szCs w:val="22"/>
        </w:rPr>
        <w:t xml:space="preserve">- The Four Geneva Conventions, August 12, 1949. - The First Additional Protocol to the Geneva Conventions, 1977. - The Convention on the Prevention and Punishment of the Crime of Genocide, 1948. - The UN Convention on the Non-Applicability of Statutory Limitations to War Crimes and Crimes Against Humanity, 1968. - The Rome Statute of the International Criminal Court, 1998. - The Convention on the Rights of the Child, 1989. - The International Covenant on Civil and Political Rights, 1966.</w:t>
      </w:r>
    </w:p>
    <w:p>
      <w:pPr>
        <w:spacing w:after="160"/>
        <w:jc w:val="left"/>
      </w:pPr>
      <w:r>
        <w:rPr>
          <w:sz w:val="22"/>
          <w:szCs w:val="22"/>
        </w:rPr>
        <w:t xml:space="preserve">---</w:t>
      </w:r>
    </w:p>
    <w:p>
      <w:pPr>
        <w:spacing w:after="160"/>
        <w:jc w:val="left"/>
      </w:pPr>
      <w:r>
        <w:rPr>
          <w:sz w:val="22"/>
          <w:szCs w:val="22"/>
        </w:rPr>
        <w:t xml:space="preserve">## VIII. Academic and Legal Studies</w:t>
      </w:r>
    </w:p>
    <w:p>
      <w:pPr>
        <w:spacing w:after="160"/>
        <w:jc w:val="left"/>
      </w:pPr>
      <w:r>
        <w:rPr>
          <w:sz w:val="22"/>
          <w:szCs w:val="22"/>
        </w:rPr>
        <w:t xml:space="preserve">- Journal of International Criminal Justice, issues 2024–2025. - Harvard Law Review, articles on the law of armed conflict, 2024. - Yale Journal of International Law, reports on the International Criminal Court. - Just Security (legal blog affiliated with NYU Law School):     https://www.justsecurity.org - Lieber Institute (West Point Academy), analyses of the law of armed conflict.</w:t>
      </w:r>
    </w:p>
    <w:p>
      <w:pPr>
        <w:spacing w:after="160"/>
        <w:jc w:val="left"/>
      </w:pPr>
      <w:r>
        <w:rPr>
          <w:sz w:val="22"/>
          <w:szCs w:val="22"/>
        </w:rPr>
        <w:t xml:space="preserve">---</w:t>
      </w:r>
    </w:p>
    <w:p>
      <w:pPr>
        <w:spacing w:after="160"/>
        <w:jc w:val="left"/>
      </w:pPr>
      <w:r>
        <w:rPr>
          <w:sz w:val="22"/>
          <w:szCs w:val="22"/>
        </w:rPr>
        <w:t xml:space="preserve">## IX. Specialized Databases and Platforms</w:t>
      </w:r>
    </w:p>
    <w:p>
      <w:pPr>
        <w:spacing w:after="160"/>
        <w:jc w:val="left"/>
      </w:pPr>
      <w:r>
        <w:rPr>
          <w:sz w:val="22"/>
          <w:szCs w:val="22"/>
        </w:rPr>
        <w:t xml:space="preserve">- ACLED (Armed Conflict Location &amp; Event Data):     https://acleddata.com - NetBlocks (internet outage monitoring):     https://netblocks.org - AccessNow:     https://www.accessnow.org - Bellingcat (open-source investigation):     https://www.bellingcat.com</w:t>
      </w:r>
    </w:p>
    <w:p>
      <w:pPr>
        <w:spacing w:after="160"/>
        <w:jc w:val="left"/>
      </w:pPr>
      <w:r>
        <w:rPr>
          <w:sz w:val="22"/>
          <w:szCs w:val="22"/>
        </w:rPr>
        <w:t xml:space="preserve">---</w:t>
      </w:r>
    </w:p>
    <w:p>
      <w:pPr>
        <w:spacing w:after="160"/>
        <w:jc w:val="left"/>
      </w:pPr>
      <w:r>
        <w:rPr>
          <w:sz w:val="22"/>
          <w:szCs w:val="22"/>
        </w:rPr>
        <w:t xml:space="preserve">## X. Historical References for Comparison</w:t>
      </w:r>
    </w:p>
    <w:p>
      <w:pPr>
        <w:spacing w:after="160"/>
        <w:jc w:val="left"/>
      </w:pPr>
      <w:r>
        <w:rPr>
          <w:sz w:val="22"/>
          <w:szCs w:val="22"/>
        </w:rPr>
        <w:t xml:space="preserve">- CPJ Database, Iraq Coverage 2003–2011. - CPJ Database, Syria Coverage 2011–2024. - Newseum Archive (historical journalism archive). - ICTY Documents Archive: comprehensive Yugoslav tribunal documents. - ICTR Documents Archive: comprehensive Rwanda tribunal documents.</w:t>
      </w:r>
    </w:p>
    <w:p>
      <w:pPr>
        <w:spacing w:after="160"/>
        <w:jc w:val="left"/>
      </w:pPr>
      <w:r>
        <w:rPr>
          <w:sz w:val="22"/>
          <w:szCs w:val="22"/>
        </w:rPr>
        <w:t xml:space="preserve">---</w:t>
      </w:r>
    </w:p>
    <w:p>
      <w:pPr>
        <w:spacing w:after="160"/>
        <w:jc w:val="left"/>
      </w:pPr>
      <w:r>
        <w:rPr>
          <w:sz w:val="22"/>
          <w:szCs w:val="22"/>
        </w:rPr>
        <w:t xml:space="preserve">## Closing Note</w:t>
      </w:r>
    </w:p>
    <w:p>
      <w:pPr>
        <w:spacing w:after="160"/>
        <w:jc w:val="left"/>
      </w:pPr>
      <w:r>
        <w:rPr>
          <w:sz w:val="22"/>
          <w:szCs w:val="22"/>
        </w:rPr>
        <w:t xml:space="preserve">All references listed above can be accessed publicly via the internet, except for those archived in archives requiring academic subscription. The serious researcher will find in them material sufficient for decades of specialized research. If this book has contributed to directing a single researcher to a single source they had not previously heard of, it has achieved its purpose.</w:t>
      </w:r>
    </w:p>
    <w:p>
      <w:pPr>
        <w:spacing w:after="160"/>
        <w:jc w:val="left"/>
      </w:pPr>
      <w:r>
        <w:rPr>
          <w:sz w:val="22"/>
          <w:szCs w:val="22"/>
        </w:rPr>
        <w:t xml:space="preserve">The responsibility to update these lists falls upon the next generation of Arab researchers. And to God belongs the destination of all paths.</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توثيق صارم ومعمق لأكثر من 137 صحفياً وأكثر من 280 عاملاً إنسانياً قُتلوا في غزة — الأسماء والأرقام والتحقيقات وأحكام القانون الدولي. يُقيّم الكتاب الأدلة على عمدية الاستهداف استناداً إلى تقارير منظمة CPJ وRSF وHRW وأمنستي وقرارات محكمة العدل الدولية والمدعي العام للمحكمة الجنائية الدولية.</w:t>
      </w:r>
    </w:p>
    <w:p>
      <w:pPr>
        <w:spacing w:after="400" w:before="800"/>
        <w:jc w:val="center"/>
      </w:pPr>
      <w:r>
        <w:rPr>
          <w:b/>
          <w:bCs/>
          <w:color w:val="1B3A5C"/>
          <w:sz w:val="36"/>
          <w:szCs w:val="36"/>
        </w:rPr>
        <w:t xml:space="preserve">About this Book</w:t>
      </w:r>
    </w:p>
    <w:p>
      <w:pPr>
        <w:spacing w:after="160"/>
        <w:jc w:val="left"/>
      </w:pPr>
      <w:r>
        <w:rPr>
          <w:sz w:val="22"/>
          <w:szCs w:val="22"/>
        </w:rPr>
        <w:t xml:space="preserve">A rigorous documentation of 137+ journalists and 280+ aid workers killed in Gaza — names, numbers, investigations, and international law analysis. Evaluates the evidence for intentional targeting based on CPJ, RSF, Human Rights Watch, Amnesty International, ICJ rulings, and ICC prosecutor findings.</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ديمقراطية للبيع </w:t>
      </w:r>
      <w:r>
        <w:rPr>
          <w:color w:val="C9A84C"/>
          <w:sz w:val="20"/>
          <w:szCs w:val="20"/>
        </w:rPr>
        <w:t xml:space="preserve">(2026)</w:t>
      </w:r>
    </w:p>
    <w:p>
      <w:pPr>
        <w:bidi/>
        <w:spacing w:after="80"/>
        <w:jc w:val="start"/>
      </w:pPr>
      <w:r>
        <w:rPr>
          <w:sz w:val="22"/>
          <w:szCs w:val="22"/>
          <w:rtl/>
        </w:rPr>
        <w:t xml:space="preserve">• الحقيقة عن الشيشة </w:t>
      </w:r>
      <w:r>
        <w:rPr>
          <w:color w:val="C9A84C"/>
          <w:sz w:val="20"/>
          <w:szCs w:val="20"/>
        </w:rPr>
        <w:t xml:space="preserve">(2026)</w:t>
      </w:r>
    </w:p>
    <w:p>
      <w:pPr>
        <w:bidi/>
        <w:spacing w:after="80"/>
        <w:jc w:val="start"/>
      </w:pPr>
      <w:r>
        <w:rPr>
          <w:sz w:val="22"/>
          <w:szCs w:val="22"/>
          <w:rtl/>
        </w:rPr>
        <w:t xml:space="preserve">• تحديات يوتيوب </w:t>
      </w:r>
      <w:r>
        <w:rPr>
          <w:color w:val="C9A84C"/>
          <w:sz w:val="20"/>
          <w:szCs w:val="20"/>
        </w:rPr>
        <w:t xml:space="preserve">(2026)</w:t>
      </w:r>
    </w:p>
    <w:p>
      <w:pPr>
        <w:bidi/>
        <w:spacing w:after="80"/>
        <w:jc w:val="start"/>
      </w:pPr>
      <w:r>
        <w:rPr>
          <w:sz w:val="22"/>
          <w:szCs w:val="22"/>
          <w:rtl/>
        </w:rPr>
        <w:t xml:space="preserve">• من أنا؟ </w:t>
      </w:r>
      <w:r>
        <w:rPr>
          <w:color w:val="C9A84C"/>
          <w:sz w:val="20"/>
          <w:szCs w:val="20"/>
        </w:rPr>
        <w:t xml:space="preserve">(2026)</w:t>
      </w:r>
    </w:p>
    <w:p>
      <w:pPr>
        <w:bidi/>
        <w:spacing w:after="80"/>
        <w:jc w:val="start"/>
      </w:pPr>
      <w:r>
        <w:rPr>
          <w:sz w:val="22"/>
          <w:szCs w:val="22"/>
          <w:rtl/>
        </w:rPr>
        <w:t xml:space="preserve">• المسلم في مجتمع غير مسلم </w:t>
      </w:r>
      <w:r>
        <w:rPr>
          <w:color w:val="C9A84C"/>
          <w:sz w:val="20"/>
          <w:szCs w:val="20"/>
        </w:rPr>
        <w:t xml:space="preserve">(2026)</w:t>
      </w:r>
    </w:p>
    <w:p>
      <w:pPr>
        <w:bidi/>
        <w:spacing w:after="80"/>
        <w:jc w:val="start"/>
      </w:pPr>
      <w:r>
        <w:rPr>
          <w:sz w:val="22"/>
          <w:szCs w:val="22"/>
          <w:rtl/>
        </w:rPr>
        <w:t xml:space="preserve">• تحدث كالناطقين </w:t>
      </w:r>
      <w:r>
        <w:rPr>
          <w:color w:val="C9A84C"/>
          <w:sz w:val="20"/>
          <w:szCs w:val="20"/>
        </w:rPr>
        <w:t xml:space="preserve">(2026)</w:t>
      </w:r>
    </w:p>
    <w:p>
      <w:pPr>
        <w:bidi/>
        <w:spacing w:after="80"/>
        <w:jc w:val="start"/>
      </w:pPr>
      <w:r>
        <w:rPr>
          <w:sz w:val="22"/>
          <w:szCs w:val="22"/>
          <w:rtl/>
        </w:rPr>
        <w:t xml:space="preserve">• فجوة الأجيال </w:t>
      </w:r>
      <w:r>
        <w:rPr>
          <w:color w:val="C9A84C"/>
          <w:sz w:val="20"/>
          <w:szCs w:val="20"/>
        </w:rPr>
        <w:t xml:space="preserve">(2026)</w:t>
      </w:r>
    </w:p>
    <w:p>
      <w:pPr>
        <w:bidi/>
        <w:spacing w:after="80"/>
        <w:jc w:val="start"/>
      </w:pPr>
      <w:r>
        <w:rPr>
          <w:sz w:val="22"/>
          <w:szCs w:val="22"/>
          <w:rtl/>
        </w:rPr>
        <w:t xml:space="preserve">• الموت في أمريكا </w:t>
      </w:r>
      <w:r>
        <w:rPr>
          <w:color w:val="C9A84C"/>
          <w:sz w:val="20"/>
          <w:szCs w:val="20"/>
        </w:rPr>
        <w:t xml:space="preserve">(2026)</w:t>
      </w:r>
    </w:p>
    <w:p>
      <w:pPr>
        <w:bidi/>
        <w:spacing w:after="80"/>
        <w:jc w:val="start"/>
      </w:pPr>
      <w:r>
        <w:rPr>
          <w:sz w:val="22"/>
          <w:szCs w:val="22"/>
          <w:rtl/>
        </w:rPr>
        <w:t xml:space="preserve">• وحدة المهاجر </w:t>
      </w:r>
      <w:r>
        <w:rPr>
          <w:color w:val="C9A84C"/>
          <w:sz w:val="20"/>
          <w:szCs w:val="20"/>
        </w:rPr>
        <w:t xml:space="preserve">(2026)</w:t>
      </w:r>
    </w:p>
    <w:p>
      <w:pPr>
        <w:bidi/>
        <w:spacing w:after="80"/>
        <w:jc w:val="start"/>
      </w:pPr>
      <w:r>
        <w:rPr>
          <w:sz w:val="22"/>
          <w:szCs w:val="22"/>
          <w:rtl/>
        </w:rPr>
        <w:t xml:space="preserve">• الطلاق في أمريكا والإسلام </w:t>
      </w:r>
      <w:r>
        <w:rPr>
          <w:color w:val="C9A84C"/>
          <w:sz w:val="20"/>
          <w:szCs w:val="20"/>
        </w:rPr>
        <w:t xml:space="preserve">(2026)</w:t>
      </w:r>
    </w:p>
    <w:p>
      <w:pPr>
        <w:bidi/>
        <w:spacing w:after="80"/>
        <w:jc w:val="start"/>
      </w:pPr>
      <w:r>
        <w:rPr>
          <w:sz w:val="22"/>
          <w:szCs w:val="22"/>
          <w:rtl/>
        </w:rPr>
        <w:t xml:space="preserve">• مسلم في الغرب </w:t>
      </w:r>
      <w:r>
        <w:rPr>
          <w:color w:val="C9A84C"/>
          <w:sz w:val="20"/>
          <w:szCs w:val="20"/>
        </w:rPr>
        <w:t xml:space="preserve">(2026)</w:t>
      </w:r>
    </w:p>
    <w:p>
      <w:pPr>
        <w:bidi/>
        <w:spacing w:after="80"/>
        <w:jc w:val="start"/>
      </w:pPr>
      <w:r>
        <w:rPr>
          <w:sz w:val="22"/>
          <w:szCs w:val="22"/>
          <w:rtl/>
        </w:rPr>
        <w:t xml:space="preserve">• بيت بلا ربا </w:t>
      </w:r>
      <w:r>
        <w:rPr>
          <w:color w:val="C9A84C"/>
          <w:sz w:val="20"/>
          <w:szCs w:val="20"/>
        </w:rPr>
        <w:t xml:space="preserve">(2026)</w:t>
      </w:r>
    </w:p>
    <w:p>
      <w:pPr>
        <w:bidi/>
        <w:spacing w:after="80"/>
        <w:jc w:val="start"/>
      </w:pPr>
      <w:r>
        <w:rPr>
          <w:sz w:val="22"/>
          <w:szCs w:val="22"/>
          <w:rtl/>
        </w:rPr>
        <w:t xml:space="preserve">• الأفلام الهادفة </w:t>
      </w:r>
      <w:r>
        <w:rPr>
          <w:color w:val="C9A84C"/>
          <w:sz w:val="20"/>
          <w:szCs w:val="20"/>
        </w:rPr>
        <w:t xml:space="preserve">(2026)</w:t>
      </w:r>
    </w:p>
    <w:p>
      <w:pPr>
        <w:bidi/>
        <w:spacing w:after="80"/>
        <w:jc w:val="start"/>
      </w:pPr>
      <w:r>
        <w:rPr>
          <w:sz w:val="22"/>
          <w:szCs w:val="22"/>
          <w:rtl/>
        </w:rPr>
        <w:t xml:space="preserve">• الأكل الذي يقتلنا ببطء </w:t>
      </w:r>
      <w:r>
        <w:rPr>
          <w:color w:val="C9A84C"/>
          <w:sz w:val="20"/>
          <w:szCs w:val="20"/>
        </w:rPr>
        <w:t xml:space="preserve">(2026)</w:t>
      </w:r>
    </w:p>
    <w:p>
      <w:pPr>
        <w:bidi/>
        <w:spacing w:after="80"/>
        <w:jc w:val="start"/>
      </w:pPr>
      <w:r>
        <w:rPr>
          <w:sz w:val="22"/>
          <w:szCs w:val="22"/>
          <w:rtl/>
        </w:rPr>
        <w:t xml:space="preserve">• المواريث في الإسلام والقانون </w:t>
      </w:r>
      <w:r>
        <w:rPr>
          <w:color w:val="C9A84C"/>
          <w:sz w:val="20"/>
          <w:szCs w:val="20"/>
        </w:rPr>
        <w:t xml:space="preserve">(2026)</w:t>
      </w:r>
    </w:p>
    <w:p>
      <w:pPr>
        <w:bidi/>
        <w:spacing w:after="80"/>
        <w:jc w:val="start"/>
      </w:pPr>
      <w:r>
        <w:rPr>
          <w:sz w:val="22"/>
          <w:szCs w:val="22"/>
          <w:rtl/>
        </w:rPr>
        <w:t xml:space="preserve">• رحلة الدواء </w:t>
      </w:r>
      <w:r>
        <w:rPr>
          <w:color w:val="C9A84C"/>
          <w:sz w:val="20"/>
          <w:szCs w:val="20"/>
        </w:rPr>
        <w:t xml:space="preserve">(2026)</w:t>
      </w:r>
    </w:p>
    <w:p>
      <w:pPr>
        <w:bidi/>
        <w:spacing w:after="80"/>
        <w:jc w:val="start"/>
      </w:pPr>
      <w:r>
        <w:rPr>
          <w:sz w:val="22"/>
          <w:szCs w:val="22"/>
          <w:rtl/>
        </w:rPr>
        <w:t xml:space="preserve">• حزمة التقنية الصحية </w:t>
      </w:r>
      <w:r>
        <w:rPr>
          <w:color w:val="C9A84C"/>
          <w:sz w:val="20"/>
          <w:szCs w:val="20"/>
        </w:rPr>
        <w:t xml:space="preserve">(2026)</w:t>
      </w:r>
    </w:p>
    <w:p>
      <w:pPr>
        <w:bidi/>
        <w:spacing w:after="80"/>
        <w:jc w:val="start"/>
      </w:pPr>
      <w:r>
        <w:rPr>
          <w:sz w:val="22"/>
          <w:szCs w:val="22"/>
          <w:rtl/>
        </w:rPr>
        <w:t xml:space="preserve">• البرمجة بالذكاء الاصطناعي: Claude Code من الصفر إلى الإنتاج </w:t>
      </w:r>
      <w:r>
        <w:rPr>
          <w:color w:val="C9A84C"/>
          <w:sz w:val="20"/>
          <w:szCs w:val="20"/>
        </w:rPr>
        <w:t xml:space="preserve">(2026)</w:t>
      </w:r>
    </w:p>
    <w:p>
      <w:pPr>
        <w:bidi/>
        <w:spacing w:after="80"/>
        <w:jc w:val="start"/>
      </w:pPr>
      <w:r>
        <w:rPr>
          <w:sz w:val="22"/>
          <w:szCs w:val="22"/>
          <w:rtl/>
        </w:rPr>
        <w:t xml:space="preserve">• جوجل ديب مايند </w:t>
      </w:r>
      <w:r>
        <w:rPr>
          <w:color w:val="C9A84C"/>
          <w:sz w:val="20"/>
          <w:szCs w:val="20"/>
        </w:rPr>
        <w:t xml:space="preserve">(2026)</w:t>
      </w:r>
    </w:p>
    <w:p>
      <w:pPr>
        <w:bidi/>
        <w:spacing w:after="80"/>
        <w:jc w:val="start"/>
      </w:pPr>
      <w:r>
        <w:rPr>
          <w:sz w:val="22"/>
          <w:szCs w:val="22"/>
          <w:rtl/>
        </w:rPr>
        <w:t xml:space="preserve">• أسباب التقارب الإماراتي الإسرائيلي </w:t>
      </w:r>
      <w:r>
        <w:rPr>
          <w:color w:val="C9A84C"/>
          <w:sz w:val="20"/>
          <w:szCs w:val="20"/>
        </w:rPr>
        <w:t xml:space="preserve">(2026)</w:t>
      </w:r>
    </w:p>
    <w:p>
      <w:pPr>
        <w:bidi/>
        <w:spacing w:after="80"/>
        <w:jc w:val="start"/>
      </w:pPr>
      <w:r>
        <w:rPr>
          <w:sz w:val="22"/>
          <w:szCs w:val="22"/>
          <w:rtl/>
        </w:rPr>
        <w:t xml:space="preserve">• خوارزميات التعلم الآلي </w:t>
      </w:r>
      <w:r>
        <w:rPr>
          <w:color w:val="C9A84C"/>
          <w:sz w:val="20"/>
          <w:szCs w:val="20"/>
        </w:rPr>
        <w:t xml:space="preserve">(2026)</w:t>
      </w:r>
    </w:p>
    <w:p>
      <w:pPr>
        <w:bidi/>
        <w:spacing w:after="80"/>
        <w:jc w:val="start"/>
      </w:pPr>
      <w:r>
        <w:rPr>
          <w:sz w:val="22"/>
          <w:szCs w:val="22"/>
          <w:rtl/>
        </w:rPr>
        <w:t xml:space="preserve">• من آلة الكاش إلى نظام البيع الذكي </w:t>
      </w:r>
      <w:r>
        <w:rPr>
          <w:color w:val="C9A84C"/>
          <w:sz w:val="20"/>
          <w:szCs w:val="20"/>
        </w:rPr>
        <w:t xml:space="preserve">(2026)</w:t>
      </w:r>
    </w:p>
    <w:p>
      <w:pPr>
        <w:bidi/>
        <w:spacing w:after="80"/>
        <w:jc w:val="start"/>
      </w:pPr>
      <w:r>
        <w:rPr>
          <w:sz w:val="22"/>
          <w:szCs w:val="22"/>
          <w:rtl/>
        </w:rPr>
        <w:t xml:space="preserve">• كل ما تحتاجه هو الانتباه </w:t>
      </w:r>
      <w:r>
        <w:rPr>
          <w:color w:val="C9A84C"/>
          <w:sz w:val="20"/>
          <w:szCs w:val="20"/>
        </w:rPr>
        <w:t xml:space="preserve">(2026)</w:t>
      </w:r>
    </w:p>
    <w:p>
      <w:pPr>
        <w:bidi/>
        <w:spacing w:after="80"/>
        <w:jc w:val="start"/>
      </w:pPr>
      <w:r>
        <w:rPr>
          <w:sz w:val="22"/>
          <w:szCs w:val="22"/>
          <w:rtl/>
        </w:rPr>
        <w:t xml:space="preserve">• قراءة شرائح الكلى المرضية  دليل عملي لتفسير صبغة H&amp;E </w:t>
      </w:r>
      <w:r>
        <w:rPr>
          <w:color w:val="C9A84C"/>
          <w:sz w:val="20"/>
          <w:szCs w:val="20"/>
        </w:rPr>
        <w:t xml:space="preserve">(2026)</w:t>
      </w:r>
    </w:p>
    <w:p>
      <w:pPr>
        <w:bidi/>
        <w:spacing w:after="80"/>
        <w:jc w:val="start"/>
      </w:pPr>
      <w:r>
        <w:rPr>
          <w:sz w:val="22"/>
          <w:szCs w:val="22"/>
          <w:rtl/>
        </w:rPr>
        <w:t xml:space="preserve">• الدليل العملي لمهنة ميكانيكي السيارات في أمريكا </w:t>
      </w:r>
      <w:r>
        <w:rPr>
          <w:color w:val="C9A84C"/>
          <w:sz w:val="20"/>
          <w:szCs w:val="20"/>
        </w:rPr>
        <w:t xml:space="preserve">(2026)</w:t>
      </w:r>
    </w:p>
    <w:p>
      <w:pPr>
        <w:bidi/>
        <w:spacing w:after="80"/>
        <w:jc w:val="start"/>
      </w:pPr>
      <w:r>
        <w:rPr>
          <w:sz w:val="22"/>
          <w:szCs w:val="22"/>
          <w:rtl/>
        </w:rPr>
        <w:t xml:space="preserve">• أفضل المدن للعيش في الولايات المتحدة الأمريكية </w:t>
      </w:r>
      <w:r>
        <w:rPr>
          <w:color w:val="C9A84C"/>
          <w:sz w:val="20"/>
          <w:szCs w:val="20"/>
        </w:rPr>
        <w:t xml:space="preserve">(2026)</w:t>
      </w:r>
    </w:p>
    <w:p>
      <w:pPr>
        <w:bidi/>
        <w:spacing w:after="80"/>
        <w:jc w:val="start"/>
      </w:pPr>
      <w:r>
        <w:rPr>
          <w:sz w:val="22"/>
          <w:szCs w:val="22"/>
          <w:rtl/>
        </w:rPr>
        <w:t xml:space="preserve">• عالم القهوة  رحلة من المزرعة إلى الفنجان </w:t>
      </w:r>
      <w:r>
        <w:rPr>
          <w:color w:val="C9A84C"/>
          <w:sz w:val="20"/>
          <w:szCs w:val="20"/>
        </w:rPr>
        <w:t xml:space="preserve">(2026)</w:t>
      </w:r>
    </w:p>
    <w:p>
      <w:pPr>
        <w:bidi/>
        <w:spacing w:after="80"/>
        <w:jc w:val="start"/>
      </w:pPr>
      <w:r>
        <w:rPr>
          <w:sz w:val="22"/>
          <w:szCs w:val="22"/>
          <w:rtl/>
        </w:rPr>
        <w:t xml:space="preserve">• دليل الاستثمار في سوق الأسهم  التاريخ والمستقبل وأسرار الثروة </w:t>
      </w:r>
      <w:r>
        <w:rPr>
          <w:color w:val="C9A84C"/>
          <w:sz w:val="20"/>
          <w:szCs w:val="20"/>
        </w:rPr>
        <w:t xml:space="preserve">(2026)</w:t>
      </w:r>
    </w:p>
    <w:p>
      <w:pPr>
        <w:bidi/>
        <w:spacing w:after="80"/>
        <w:jc w:val="start"/>
      </w:pPr>
      <w:r>
        <w:rPr>
          <w:sz w:val="22"/>
          <w:szCs w:val="22"/>
          <w:rtl/>
        </w:rPr>
        <w:t xml:space="preserve">• المثلية الجنسية  قراءة في التاريخ والحجج والأديان </w:t>
      </w:r>
      <w:r>
        <w:rPr>
          <w:color w:val="C9A84C"/>
          <w:sz w:val="20"/>
          <w:szCs w:val="20"/>
        </w:rPr>
        <w:t xml:space="preserve">(2026)</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2026-05-15T16:23:26.171Z</dcterms:created>
  <dcterms:modified xsi:type="dcterms:W3CDTF">2026-05-15T16:23:26.173Z</dcterms:modified>
</cp:coreProperties>
</file>

<file path=docProps/custom.xml><?xml version="1.0" encoding="utf-8"?>
<Properties xmlns="http://schemas.openxmlformats.org/officeDocument/2006/custom-properties" xmlns:vt="http://schemas.openxmlformats.org/officeDocument/2006/docPropsVTypes"/>
</file>