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الذكاء</w:t>
      </w:r>
      <w:r>
        <w:t xml:space="preserve"> </w:t>
      </w:r>
      <w:r>
        <w:t xml:space="preserve">الاصطناعي</w:t>
      </w:r>
      <w:r>
        <w:t xml:space="preserve"> </w:t>
      </w:r>
      <w:r>
        <w:t xml:space="preserve">وثورة</w:t>
      </w:r>
      <w:r>
        <w:t xml:space="preserve"> </w:t>
      </w:r>
      <w:r>
        <w:t xml:space="preserve">اكتشاف</w:t>
      </w:r>
      <w:r>
        <w:t xml:space="preserve"> </w:t>
      </w:r>
      <w:r>
        <w:t xml:space="preserve">الأدوية</w:t>
      </w:r>
    </w:p>
    <w:p>
      <w:pPr>
        <w:pStyle w:val="FirstParagraph"/>
      </w:pPr>
      <w:r>
        <w:drawing>
          <wp:inline>
            <wp:extent cx="5334000" cy="7548282"/>
            <wp:effectExtent b="0" l="0" r="0" t="0"/>
            <wp:docPr descr="cover" title="" id="21" name="Picture"/>
            <a:graphic>
              <a:graphicData uri="http://schemas.openxmlformats.org/drawingml/2006/picture">
                <pic:pic>
                  <pic:nvPicPr>
                    <pic:cNvPr descr="file:///home/claude/book_work2/cover_front.png" id="22" name="Picture"/>
                    <pic:cNvPicPr>
                      <a:picLocks noChangeArrowheads="1" noChangeAspect="1"/>
                    </pic:cNvPicPr>
                  </pic:nvPicPr>
                  <pic:blipFill>
                    <a:blip r:embed="rId20"/>
                    <a:stretch>
                      <a:fillRect/>
                    </a:stretch>
                  </pic:blipFill>
                  <pic:spPr bwMode="auto">
                    <a:xfrm>
                      <a:off x="0" y="0"/>
                      <a:ext cx="5334000" cy="7548282"/>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الذكاء الاصطناعي وثورة اكتشاف الأدوية</w:t>
      </w:r>
    </w:p>
    <w:p>
      <w:pPr>
        <w:pStyle w:val="BodyText"/>
      </w:pPr>
      <w:r>
        <w:t xml:space="preserve">عندما تتحول المعادلات إلى علاج</w:t>
      </w:r>
    </w:p>
    <w:p>
      <w:r>
        <w:pict>
          <v:rect style="width:0;height:1.5pt" o:hralign="center" o:hrstd="t" o:hr="t"/>
        </w:pict>
      </w:r>
    </w:p>
    <w:p>
      <w:pPr>
        <w:pStyle w:val="FirstParagraph"/>
      </w:pPr>
      <w:r>
        <w:t xml:space="preserve">Artificial Intelligence and the Drug Discovery Revolution</w:t>
      </w:r>
    </w:p>
    <w:p>
      <w:pPr>
        <w:pStyle w:val="BodyText"/>
      </w:pPr>
      <w:r>
        <w:rPr>
          <w:iCs/>
          <w:i/>
        </w:rPr>
        <w:t xml:space="preserve">When Equations Become Cures</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w:t>
      </w:r>
    </w:p>
    <w:p>
      <w:pPr>
        <w:pStyle w:val="BodyText"/>
      </w:pPr>
      <w:r>
        <w:t xml:space="preserve">بِسْمِ اللَّهِ الرَّحْمَٰنِ الرَّحِيمِ</w:t>
      </w:r>
    </w:p>
    <w:p>
      <w:r>
        <w:pict>
          <v:rect style="width:0;height:1.5pt" o:hralign="center" o:hrstd="t" o:hr="t"/>
        </w:pict>
      </w:r>
    </w:p>
    <w:p>
      <w:pPr>
        <w:pStyle w:val="FirstParagraph"/>
      </w:pPr>
      <w:r>
        <w:t xml:space="preserve">إلى الذين أضاءوا دربي...</w:t>
      </w:r>
    </w:p>
    <w:p>
      <w:pPr>
        <w:pStyle w:val="BodyText"/>
      </w:pPr>
      <w:r>
        <w:t xml:space="preserve">إلى روح والدي الذي علّمني أن العلم نور — رحمه الله</w:t>
      </w:r>
    </w:p>
    <w:p>
      <w:pPr>
        <w:pStyle w:val="BodyText"/>
      </w:pPr>
      <w:r>
        <w:t xml:space="preserve">إلى أمي التي دعاؤها سقف حياتي — حفظها الله</w:t>
      </w:r>
    </w:p>
    <w:p>
      <w:pPr>
        <w:pStyle w:val="BodyText"/>
      </w:pPr>
      <w:r>
        <w:t xml:space="preserve">إلى زوجتي رفيقة المسير</w:t>
      </w:r>
    </w:p>
    <w:p>
      <w:pPr>
        <w:pStyle w:val="BodyText"/>
      </w:pPr>
      <w:r>
        <w:t xml:space="preserve">إلى أولادي بهجة الوجود</w:t>
      </w:r>
    </w:p>
    <w:p>
      <w:pPr>
        <w:pStyle w:val="BodyText"/>
      </w:pPr>
      <w:r>
        <w:t xml:space="preserve">إلى إخواني وأخواتي جسر الدعم والمحبة</w:t>
      </w:r>
    </w:p>
    <w:p>
      <w:pPr>
        <w:pStyle w:val="BodyText"/>
      </w:pPr>
      <w:r>
        <w:t xml:space="preserve">وإلى كل عالم وباحث يسعى لأن تكون الخوارزمية خادمةً للإنسان لا سيدةً عليه</w:t>
      </w:r>
    </w:p>
    <w:p>
      <w:r>
        <w:pict>
          <v:rect style="width:0;height:1.5pt" o:hralign="center" o:hrstd="t" o:hr="t"/>
        </w:pict>
      </w:r>
    </w:p>
    <w:bookmarkStart w:id="23" w:name="المحتويات"/>
    <w:p>
      <w:pPr>
        <w:pStyle w:val="Heading1"/>
      </w:pPr>
      <w:r>
        <w:t xml:space="preserve">المحتويات</w:t>
      </w:r>
    </w:p>
    <w:p>
      <w:pPr>
        <w:pStyle w:val="FirstParagraph"/>
      </w:pPr>
      <w:r>
        <w:t xml:space="preserve">مقدمة: فجر جديد في علم الدواء</w:t>
      </w:r>
      <w:r>
        <w:t xml:space="preserve">9</w:t>
      </w:r>
    </w:p>
    <w:p>
      <w:pPr>
        <w:pStyle w:val="BodyText"/>
      </w:pPr>
      <w:r>
        <w:t xml:space="preserve">الفصل الأول: من المختبر إلى السحابة — الرحلة الرقمية للدواء</w:t>
      </w:r>
      <w:r>
        <w:t xml:space="preserve">14</w:t>
      </w:r>
    </w:p>
    <w:p>
      <w:pPr>
        <w:pStyle w:val="BodyText"/>
      </w:pPr>
      <w:r>
        <w:t xml:space="preserve">الفصل الثاني: العمالقة الرقميون يغزون الفارماكولوجيا</w:t>
      </w:r>
      <w:r>
        <w:t xml:space="preserve">20</w:t>
      </w:r>
    </w:p>
    <w:p>
      <w:pPr>
        <w:pStyle w:val="BodyText"/>
      </w:pPr>
      <w:r>
        <w:t xml:space="preserve">الفصل الثالث: Amazon Bio Discovery — منصة تحولية</w:t>
      </w:r>
      <w:r>
        <w:t xml:space="preserve">27</w:t>
      </w:r>
    </w:p>
    <w:p>
      <w:pPr>
        <w:pStyle w:val="BodyText"/>
      </w:pPr>
      <w:r>
        <w:t xml:space="preserve">الفصل الرابع: AlphaFold — المشكلة والحل والأثر الطبي</w:t>
      </w:r>
      <w:r>
        <w:t xml:space="preserve">33</w:t>
      </w:r>
    </w:p>
    <w:p>
      <w:pPr>
        <w:pStyle w:val="BodyText"/>
      </w:pPr>
      <w:r>
        <w:t xml:space="preserve">الفصل الخامس: Coefficient Bio — رهان أنثروبيك على مستقبل الطب</w:t>
      </w:r>
      <w:r>
        <w:t xml:space="preserve">43</w:t>
      </w:r>
    </w:p>
    <w:p>
      <w:pPr>
        <w:pStyle w:val="BodyText"/>
      </w:pPr>
      <w:r>
        <w:t xml:space="preserve">الفصل السادس: الأجسام المضادة والجزيئات المصممة</w:t>
      </w:r>
      <w:r>
        <w:t xml:space="preserve">53</w:t>
      </w:r>
    </w:p>
    <w:p>
      <w:pPr>
        <w:pStyle w:val="BodyText"/>
      </w:pPr>
      <w:r>
        <w:t xml:space="preserve">الفصل السابع: حلقة التغذية الراجعة</w:t>
      </w:r>
      <w:r>
        <w:t xml:space="preserve">61</w:t>
      </w:r>
    </w:p>
    <w:p>
      <w:pPr>
        <w:pStyle w:val="BodyText"/>
      </w:pPr>
      <w:r>
        <w:t xml:space="preserve">الفصل الثامن: أخلاقيات الذكاء الاصطناعي في الطب</w:t>
      </w:r>
      <w:r>
        <w:t xml:space="preserve">68</w:t>
      </w:r>
    </w:p>
    <w:p>
      <w:pPr>
        <w:pStyle w:val="BodyText"/>
      </w:pPr>
      <w:r>
        <w:t xml:space="preserve">الخاتمة</w:t>
      </w:r>
      <w:r>
        <w:t xml:space="preserve">76</w:t>
      </w:r>
    </w:p>
    <w:p>
      <w:pPr>
        <w:pStyle w:val="BodyText"/>
      </w:pPr>
      <w:r>
        <w:t xml:space="preserve">المراجع العلمية</w:t>
      </w:r>
      <w:r>
        <w:t xml:space="preserve">80</w:t>
      </w:r>
    </w:p>
    <w:p>
      <w:pPr>
        <w:pStyle w:val="BodyText"/>
      </w:pPr>
      <w:r>
        <w:t xml:space="preserve">نبذة عن المؤلف</w:t>
      </w:r>
      <w:r>
        <w:t xml:space="preserve">70</w:t>
      </w:r>
    </w:p>
    <w:p>
      <w:pPr>
        <w:pStyle w:val="BodyText"/>
      </w:pPr>
      <w:r>
        <w:t xml:space="preserve">مؤلفات المؤلف</w:t>
      </w:r>
      <w:r>
        <w:t xml:space="preserve">71</w:t>
      </w:r>
    </w:p>
    <w:bookmarkEnd w:id="23"/>
    <w:bookmarkStart w:id="24" w:name="مقدمة-فجر-جديد-في-علم-الدواء"/>
    <w:p>
      <w:pPr>
        <w:pStyle w:val="Heading1"/>
      </w:pPr>
      <w:r>
        <w:t xml:space="preserve">مقدمة: فجر جديد في علم الدواء</w:t>
      </w:r>
    </w:p>
    <w:p>
      <w:pPr>
        <w:pStyle w:val="FirstParagraph"/>
      </w:pPr>
      <w:r>
        <w:t xml:space="preserve">في عام 2012، كان باحث يعمل في شركة أمجن للأدوية البيولوجية يكتب تنبؤاً جريئاً في وثيقة داخلية: سيتعرض قطاع الأدوية لاضطراب جذري على يد إحدى شركات التقنية الكبرى بحلول عام 2018. لم يقع ذلك في موعده، لكن ما يجري اليوم يُثبت أن التنبؤ لم يكن خاطئاً في جوهره — بل كان سابقاً لوقته.</w:t>
      </w:r>
    </w:p>
    <w:p>
      <w:pPr>
        <w:pStyle w:val="BodyText"/>
      </w:pPr>
      <w:r>
        <w:t xml:space="preserve">في غضون أسبوعَين متتاليَين عام 2025، أعلنت شركة Anthropic عن استحواذها على Coefficient Bio، وأطلقت Amazon Web Services منصتها الجديدة Amazon Bio Discovery. لم يكن هذا التزامن محض صدفة؛ بل هو جزء من موجة عاتية تجتاح عالم الطب والأدوية، تحمل معها أكثر من 40 نموذجاً أساسياً بيولوجياً، وطبقات ذكاء اصطناعي وكيلاً تمكّن علماء الأحياء من تشغيل تدفقات عمل التصميم الحسابي بلغة طبيعية بسيطة.</w:t>
      </w:r>
    </w:p>
    <w:p>
      <w:pPr>
        <w:pStyle w:val="BodyText"/>
      </w:pPr>
      <w:r>
        <w:t xml:space="preserve">يقع هذا الكتاب في قلب تلك الثورة الهادئة. يسعى إلى فهم ما يجري، وليس فقط توثيقه؛ لأن ما يُبنى الآن في مراكز بيانات أمازون وغوغل وأنثروبيك سيحدد طبيعة الأدوية التي سيتناولها البشر بعد عقد من الزمن.</w:t>
      </w:r>
    </w:p>
    <w:p>
      <w:pPr>
        <w:pStyle w:val="BodyText"/>
      </w:pPr>
      <w:r>
        <w:t xml:space="preserve">سنتناول في هذا الكتاب رحلة الدواء من الفكرة إلى الجزيء إلى التجربة السريرية، محاولين فهم كيف بات الذكاء الاصطناعي يختصر هذا الطريق الطويل المكلف. وسنُطرح تساؤلات جوهرية لا غنى عنها: من يمتلك بيانات الأدوية؟ من يربح؟ وماذا يعني أن تكتب خوارزمية وصفتك الدوائية؟</w:t>
      </w:r>
    </w:p>
    <w:p>
      <w:pPr>
        <w:pStyle w:val="BodyText"/>
      </w:pPr>
      <w:r>
        <w:t xml:space="preserve">﴿ وَنُنَزِّلُ مِنَ الْقُرْآنِ مَا هُوَ شِفَاءٌ وَرَحْمَةٌ لِّلْمُؤْمِنِينَ ﴾</w:t>
      </w:r>
    </w:p>
    <w:p>
      <w:pPr>
        <w:pStyle w:val="BodyText"/>
      </w:pPr>
      <w:r>
        <w:t xml:space="preserve">(الإسراء: 82)</w:t>
      </w:r>
    </w:p>
    <w:bookmarkEnd w:id="24"/>
    <w:bookmarkStart w:id="30" w:name="X98cbebab837036c46ce63274c02dab5197ab85b"/>
    <w:p>
      <w:pPr>
        <w:pStyle w:val="Heading1"/>
      </w:pPr>
      <w:r>
        <w:t xml:space="preserve">الفصل الأول: من المختبر إلى السحابة — الرحلة الرقمية للدواء</w:t>
      </w:r>
    </w:p>
    <w:bookmarkStart w:id="25" w:name="تكاليف-الاكتشاف-القديم"/>
    <w:p>
      <w:pPr>
        <w:pStyle w:val="Heading2"/>
      </w:pPr>
      <w:r>
        <w:t xml:space="preserve">تكاليف الاكتشاف القديم</w:t>
      </w:r>
    </w:p>
    <w:p>
      <w:pPr>
        <w:pStyle w:val="FirstParagraph"/>
      </w:pPr>
      <w:r>
        <w:t xml:space="preserve">اكتشاف دواء واحد جديد يستغرق في المتوسط ما بين 12 و15 سنة، ويكلف ما يزيد على 2.6 مليار دولار. معظم هذا الوقت والمال يذهب في طريق مسدود: جزيئات مرشحة تبدو واعدة في المختبر وتفشل في الجسم الحي، تفاعلات جانبية لم تُتوقع، وتجارب سريرية تنهار في مراحلها الأخيرة بعد ضخ مئات الملايين فيها.</w:t>
      </w:r>
    </w:p>
    <w:p>
      <w:pPr>
        <w:pStyle w:val="BodyText"/>
      </w:pPr>
      <w:r>
        <w:t xml:space="preserve">المشكلة الجوهرية هي الفضاء الواسع للاحتمالات: الجزيء الدوائي هو تركيبة كيميائية محددة تُعدّ واحدة من عشرة إلى الستين تركيبة ممكنة، أي أكثر من عدد ذرات الكون المرصود. البشر — حتى أمهر الكيميائيين — يستطيعون استكشاف قطعة ضئيلة جداً من هذا الفضاء الهائل.</w:t>
      </w:r>
    </w:p>
    <w:bookmarkEnd w:id="25"/>
    <w:bookmarkStart w:id="26" w:name="الحوسبة-تدخل-الملعب"/>
    <w:p>
      <w:pPr>
        <w:pStyle w:val="Heading2"/>
      </w:pPr>
      <w:r>
        <w:t xml:space="preserve">الحوسبة تدخل الملعب</w:t>
      </w:r>
    </w:p>
    <w:p>
      <w:pPr>
        <w:pStyle w:val="FirstParagraph"/>
      </w:pPr>
      <w:r>
        <w:t xml:space="preserve">بدأت الحوسبة تدخل عالم الأدوية تدريجياً منذ الثمانينيات، ابتداءً من النمذجة الجزيئية البسيطة ثم الإرساء الجزيئي (Molecular Docking). ما غيّر المعادلة بشكل جذري هو تقاطع ثلاثة عوامل في العقد الثاني من الألفية الثالثة: تضخم البيانات البيولوجية بشكل غير مسبوق، والقفزة في قدرات التعلم العميق، وتراجع تكاليف الحوسبة السحابية.</w:t>
      </w:r>
    </w:p>
    <w:bookmarkEnd w:id="26"/>
    <w:bookmarkStart w:id="27" w:name="البيانات-الحيوية-الذهب-الجديد"/>
    <w:p>
      <w:pPr>
        <w:pStyle w:val="Heading2"/>
      </w:pPr>
      <w:r>
        <w:t xml:space="preserve">البيانات الحيوية: الذهب الجديد</w:t>
      </w:r>
    </w:p>
    <w:p>
      <w:pPr>
        <w:pStyle w:val="FirstParagraph"/>
      </w:pPr>
      <w:r>
        <w:t xml:space="preserve">شركة مثل Recursion Pharmaceuticals تُشغّل روبوتات تُنجز مئات الآلاف من التجارب البيولوجية أسبوعياً، وتُغذي نتائجها مباشرة في نماذج تعلم آلي تبحث عن أنماط خافية على العين البشرية. المشكلة التقليدية كانت تشتت تلك البيانات بين شركات الأدوية وأوراق البحث والـ CRO الخارجيين — وهذا بالضبط ما تحاول منصة Amazon Bio Discovery حله.</w:t>
      </w:r>
    </w:p>
    <w:bookmarkEnd w:id="27"/>
    <w:bookmarkStart w:id="28" w:name="الأهداف-البيولوجية-لا-تحصى"/>
    <w:p>
      <w:pPr>
        <w:pStyle w:val="Heading2"/>
      </w:pPr>
      <w:r>
        <w:t xml:space="preserve">الأهداف البيولوجية: لا تُحصى</w:t>
      </w:r>
    </w:p>
    <w:p>
      <w:pPr>
        <w:pStyle w:val="FirstParagraph"/>
      </w:pPr>
      <w:r>
        <w:t xml:space="preserve">جسم الإنسان يحتوي على أكثر من 20,000 جين تُشفّر بروتينات، وكثير منها يؤدي دوراً في الأمراض. سؤال "كيف يبدو هذا البروتين في الفضاء ثلاثي الأبعاد؟" ظل لعقود السؤال الأغلى في علم الأحياء الهيكلي، إذ قد تتكلف معرفة بنية بروتين واحد عدة ملايين من الدولارات. AlphaFold غيّر هذا الحساب كلياً.</w:t>
      </w:r>
    </w:p>
    <w:bookmarkEnd w:id="28"/>
    <w:bookmarkStart w:id="29" w:name="تحول-نموذجي"/>
    <w:p>
      <w:pPr>
        <w:pStyle w:val="Heading2"/>
      </w:pPr>
      <w:r>
        <w:t xml:space="preserve">تحول نموذجي</w:t>
      </w:r>
    </w:p>
    <w:p>
      <w:pPr>
        <w:pStyle w:val="FirstParagraph"/>
      </w:pPr>
      <w:r>
        <w:t xml:space="preserve">اكتشاف الأدوية بالمنهج التقليدي كان يسأل: "هل يعمل هذا الجزيء؟" اكتشاف الأدوية بالذكاء الاصطناعي يسأل: "ما الجزيء الأمثل من بين مليون احتمال لهذا الهدف البيولوجي المحدد في هذا السياق الجيني؟" — وهذا سؤال آخر تماماً. نحن نشهد ما يسميه فلاسفة العلوم "تحولاً نموذجياً" (Paradigm Shift) بالمعنى الكوهني الحرفي.</w:t>
      </w:r>
    </w:p>
    <w:bookmarkEnd w:id="29"/>
    <w:bookmarkEnd w:id="30"/>
    <w:bookmarkStart w:id="35" w:name="X60d47ba26bd69691d0ec76617619c2025a2baa0"/>
    <w:p>
      <w:pPr>
        <w:pStyle w:val="Heading1"/>
      </w:pPr>
      <w:r>
        <w:t xml:space="preserve">الفصل الثاني: العمالقة الرقميون يغزون الفارماكولوجيا</w:t>
      </w:r>
    </w:p>
    <w:bookmarkStart w:id="31" w:name="ثلاثة-لاعبين-محوريين"/>
    <w:p>
      <w:pPr>
        <w:pStyle w:val="Heading2"/>
      </w:pPr>
      <w:r>
        <w:t xml:space="preserve">ثلاثة لاعبين محوريين</w:t>
      </w:r>
    </w:p>
    <w:p>
      <w:pPr>
        <w:pStyle w:val="FirstParagraph"/>
      </w:pPr>
      <w:r>
        <w:t xml:space="preserve">ثلاثة عمالقة رقميون يتقدمون بشكل منهجي نحو قطاع الأدوية، كل منهم بنهج مختلف يعكس بنيته التنظيمية وفلسفته التقنية.</w:t>
      </w:r>
    </w:p>
    <w:p>
      <w:pPr>
        <w:pStyle w:val="BodyText"/>
      </w:pPr>
      <w:r>
        <w:rPr>
          <w:bCs/>
          <w:b/>
        </w:rPr>
        <w:t xml:space="preserve">غوغل</w:t>
      </w:r>
      <w:r>
        <w:t xml:space="preserve"> </w:t>
      </w:r>
      <w:r>
        <w:t xml:space="preserve">اختارت مساراً يقوم على البحث العلمي العميق. مختبرها DeepMind أنجب AlphaFold، وهو ربما أعظم إنجاز حسابي بيولوجي في التاريخ. ثم أنشأت غوغل شركة Isomorphic Labs كذراع تجاري، وأبرمت شراكات مع شركتَي Novartis وEli Lilly بقيمة إجمالية تتجاوز 3 مليارات دولار.</w:t>
      </w:r>
    </w:p>
    <w:p>
      <w:pPr>
        <w:pStyle w:val="BodyText"/>
      </w:pPr>
      <w:r>
        <w:rPr>
          <w:bCs/>
          <w:b/>
        </w:rPr>
        <w:t xml:space="preserve">أنثروبيك</w:t>
      </w:r>
      <w:r>
        <w:t xml:space="preserve"> </w:t>
      </w:r>
      <w:r>
        <w:t xml:space="preserve">قرأت خريطة المستقبل بزاوية مختلفة حين استحوذت على Coefficient Bio. الشركة تراهن على أن الذكاء الاصطناعي التوليدي سيكون قادراً على "كتابة" التسلسل الجزيئي للدواء المقترح بالطريقة ذاتها التي يكتب بها نصاً. وهذه المراهنة تستحق فصلاً كاملاً لفهم أبعادها.</w:t>
      </w:r>
    </w:p>
    <w:p>
      <w:pPr>
        <w:pStyle w:val="BodyText"/>
      </w:pPr>
      <w:r>
        <w:rPr>
          <w:bCs/>
          <w:b/>
        </w:rPr>
        <w:t xml:space="preserve">أمازون</w:t>
      </w:r>
      <w:r>
        <w:t xml:space="preserve"> </w:t>
      </w:r>
      <w:r>
        <w:t xml:space="preserve">دخلت بأسلوبها المعتاد: لا بحث أساسي، بل منصة. مثلما بنت AWS بنيةً تحتية يعتمد عليها نصف الإنترنت، تبني Amazon Bio Discovery بنيةً تحتية تطمح أن يعتمد عليها نصف الصناعة الدوائية. وهي تملك ميزة استراتيجية: 19 من أصل 20 شركة دواء كبرى تعمل أصلاً على سحابة أمازون.</w:t>
      </w:r>
    </w:p>
    <w:bookmarkEnd w:id="31"/>
    <w:bookmarkStart w:id="32" w:name="فجوة-المهارات-الحسابية"/>
    <w:p>
      <w:pPr>
        <w:pStyle w:val="Heading2"/>
      </w:pPr>
      <w:r>
        <w:t xml:space="preserve">فجوة المهارات الحسابية</w:t>
      </w:r>
    </w:p>
    <w:p>
      <w:pPr>
        <w:pStyle w:val="FirstParagraph"/>
      </w:pPr>
      <w:r>
        <w:t xml:space="preserve">قال نائب رئيس AWS راجف شوبرا بصراحة لافتة: "الانفجار في نماذج الذكاء الاصطناعي البيولوجي جعل علماء الأحياء الحسابيين هم عنق الزجاجة." هذا الاعتراف يفسر التصميم الجوهري للمنصة: بناء طبقة تجريد تجعل استخدام تلك النماذج في متناول أي عالم أحياء بصرف النظر عن خبرته البرمجية.</w:t>
      </w:r>
    </w:p>
    <w:bookmarkEnd w:id="32"/>
    <w:bookmarkStart w:id="33" w:name="لماذا-الآن"/>
    <w:p>
      <w:pPr>
        <w:pStyle w:val="Heading2"/>
      </w:pPr>
      <w:r>
        <w:t xml:space="preserve">لماذا الآن؟</w:t>
      </w:r>
    </w:p>
    <w:p>
      <w:pPr>
        <w:pStyle w:val="FirstParagraph"/>
      </w:pPr>
      <w:r>
        <w:t xml:space="preserve">التوقيت ليس مصادفة. ثلاثة محفزات تزامنت: كمية بيانات البروتينات وصلت لحجم يكفي لتدريب نماذج قوية، ونماذج اللغة الكبيرة بلغت نضجاً كافياً لفهم اللغة العلمية، ونضجت تقنيات التعلم المعزز لبناء عملاء ذكاء اصطناعي قادرين على تنسيق تدفقات عمل معقدة متعددة الخطوات.</w:t>
      </w:r>
    </w:p>
    <w:bookmarkEnd w:id="33"/>
    <w:bookmarkStart w:id="34" w:name="الاستثمار-بالمليارات"/>
    <w:p>
      <w:pPr>
        <w:pStyle w:val="Heading2"/>
      </w:pPr>
      <w:r>
        <w:t xml:space="preserve">الاستثمار بالمليارات</w:t>
      </w:r>
    </w:p>
    <w:p>
      <w:pPr>
        <w:pStyle w:val="FirstParagraph"/>
      </w:pPr>
      <w:r>
        <w:t xml:space="preserve">حين تُبرم Isomorphic Labs عقوداً بمليارات الدولارات، فهذه ليست مجرد أرقام — هي رهان من شركات أدوية عريقة على أن نموذجها القديم للبحث يحتاج إلى شريك تقني جوهري. لكنها في الوقت ذاته رهان محفوف بمخاطر: الإجابة الحقيقية لن تُعرف إلا حين يصل دواء مدعوم بالكامل من الذكاء الاصطناعي إلى رفوف الصيدليات.</w:t>
      </w:r>
    </w:p>
    <w:bookmarkEnd w:id="34"/>
    <w:bookmarkEnd w:id="35"/>
    <w:bookmarkStart w:id="41" w:name="X121584fb6864f4529996faa75c57424fa23deb5"/>
    <w:p>
      <w:pPr>
        <w:pStyle w:val="Heading1"/>
      </w:pPr>
      <w:r>
        <w:t xml:space="preserve">الفصل الثالث: Amazon Bio Discovery — منصة تحولية</w:t>
      </w:r>
    </w:p>
    <w:bookmarkStart w:id="36" w:name="البنية-المعمارية"/>
    <w:p>
      <w:pPr>
        <w:pStyle w:val="Heading2"/>
      </w:pPr>
      <w:r>
        <w:t xml:space="preserve">البنية المعمارية</w:t>
      </w:r>
    </w:p>
    <w:p>
      <w:pPr>
        <w:pStyle w:val="FirstParagraph"/>
      </w:pPr>
      <w:r>
        <w:t xml:space="preserve">في الجوهر، المنصة تضم أكثر من 40 نموذجاً بيولوجياً أساسياً متخصصاً: نماذج للتنبؤ ببنى البروتين، ونماذج لتصميم الأجسام المضادة، ونماذج لتوقع خصائص الجزيئات الصغيرة، ونماذج للتنبؤ بالسمية. فوق هذه الطبقة يجلس عميل ذكاء اصطناعي (AI Agent) يستطيع استيعاب طلبات بالغة التعقيد وتحويلها إلى تسلسل من الاستدعاءات للنماذج المناسبة.</w:t>
      </w:r>
    </w:p>
    <w:bookmarkEnd w:id="36"/>
    <w:bookmarkStart w:id="37" w:name="شراكات-cro-المدمجة"/>
    <w:p>
      <w:pPr>
        <w:pStyle w:val="Heading2"/>
      </w:pPr>
      <w:r>
        <w:t xml:space="preserve">شراكات CRO المدمجة</w:t>
      </w:r>
    </w:p>
    <w:p>
      <w:pPr>
        <w:pStyle w:val="FirstParagraph"/>
      </w:pPr>
      <w:r>
        <w:t xml:space="preserve">شركتا Twist Bioscience وGinkgo Bioworks تمثلان نموذجاً جديداً: المختبر الرقمي-المادي المتصل. حين تُصمم خوارزمية تسلسل جسيم مضاد مرشح، يُرسل مباشرة لـ Twist Bioscience لتركيبه مادياً، ثم يُشحن للمختبر للاختبار، وتعود النتائج للمنصة لتغذية الدورة التالية. ما يجعل هذا لافتاً: شفافية التسعير وأوقات التسليم المعروضة مباشرةً في الواجهة — هذا يحوّل الكيمياء الحيوية التعاقدية من شبكة علاقات غامضة إلى سوق شفاف منظم.</w:t>
      </w:r>
    </w:p>
    <w:bookmarkEnd w:id="37"/>
    <w:bookmarkStart w:id="38" w:name="تجربة-memorial-sloan-kettering"/>
    <w:p>
      <w:pPr>
        <w:pStyle w:val="Heading2"/>
      </w:pPr>
      <w:r>
        <w:t xml:space="preserve">تجربة Memorial Sloan Kettering</w:t>
      </w:r>
    </w:p>
    <w:p>
      <w:pPr>
        <w:pStyle w:val="FirstParagraph"/>
      </w:pPr>
      <w:r>
        <w:t xml:space="preserve">في تعاون مع مركز ميموريال سلون كيترينغ للسرطان، أنتجت المنصة ما يقرب من 300,000 جسيم مضاد جديد لم يسبق توثيقها، ثم صلّحت قائمة المرشحين إلى 100,000 للاختبار المختبري. العملية استغرقت أسابيع بدلاً من الأشهر التي يستغرقها المنهج التقليدي. التحفظ الضروري: التوليد الحسابي ليس اكتشاف دواء — الفجوة بين جسيم مضاد محتمل وعقار معتمد لا تزال شاسعة.</w:t>
      </w:r>
    </w:p>
    <w:bookmarkEnd w:id="38"/>
    <w:bookmarkStart w:id="39" w:name="أوائل-المعتمدين"/>
    <w:p>
      <w:pPr>
        <w:pStyle w:val="Heading2"/>
      </w:pPr>
      <w:r>
        <w:t xml:space="preserve">أوائل المعتمدين</w:t>
      </w:r>
    </w:p>
    <w:p>
      <w:pPr>
        <w:pStyle w:val="FirstParagraph"/>
      </w:pPr>
      <w:r>
        <w:t xml:space="preserve">من أوائل المعتمدين: مجموعة Bayer الألمانية، ومعهد Broad التابع لـ MIT وهارفارد، وشركة Voyager Therapeutics المتخصصة في الأمراض العصبية. تنوع هذه الكيانات — شركة عالمية، ومعهد أكاديمي، وشركة ناشئة متخصصة — يُشير إلى أن المنصة تستهدف نطاقاً واسعاً من حالات الاستخدام.</w:t>
      </w:r>
    </w:p>
    <w:bookmarkEnd w:id="39"/>
    <w:bookmarkStart w:id="40" w:name="تحدي-البيانات-الداخلية"/>
    <w:p>
      <w:pPr>
        <w:pStyle w:val="Heading2"/>
      </w:pPr>
      <w:r>
        <w:t xml:space="preserve">تحدي البيانات الداخلية</w:t>
      </w:r>
    </w:p>
    <w:p>
      <w:pPr>
        <w:pStyle w:val="FirstParagraph"/>
      </w:pPr>
      <w:r>
        <w:t xml:space="preserve">تتيح المنصة ضبطاً دقيقاً للنماذج (Fine-tuning) على البيانات الخاصة. هذا يطرح سؤالاً جوهرياً: حين تضبط شركة أدوية نموذج AWS ببياناتها السرية، من يمتلك الوزن الناتج للنموذج؟ عقود الخدمة السحابية تميل تاريخياً لصالح مزودي السحابة في هذه النقاط الرمادية.</w:t>
      </w:r>
    </w:p>
    <w:bookmarkEnd w:id="40"/>
    <w:bookmarkEnd w:id="41"/>
    <w:bookmarkStart w:id="47" w:name="X5252ffc8e9b7a8ba57a7118fb4e51bb06584e53"/>
    <w:p>
      <w:pPr>
        <w:pStyle w:val="Heading1"/>
      </w:pPr>
      <w:r>
        <w:t xml:space="preserve">الفصل الرابع: AlphaFold — المشكلة والحل والأثر الطبي</w:t>
      </w:r>
    </w:p>
    <w:bookmarkStart w:id="42" w:name="المشكلة-خمسة-عقود-من-الإحباط-العلمي"/>
    <w:p>
      <w:pPr>
        <w:pStyle w:val="Heading2"/>
      </w:pPr>
      <w:r>
        <w:t xml:space="preserve">المشكلة: خمسة عقود من الإحباط العلمي</w:t>
      </w:r>
    </w:p>
    <w:p>
      <w:pPr>
        <w:pStyle w:val="FirstParagraph"/>
      </w:pPr>
      <w:r>
        <w:t xml:space="preserve">لفهم ما أنجزه AlphaFold، لا بد أن نفهم أولاً عمق المشكلة التي حلّها. البروتين هو سلسلة من الأحماض الأمينية (Amino Acids) — تتألف من 20 نوعاً مختلفاً — تتشابك وتلتف في الفضاء الثلاثي الأبعاد لتتخذ شكلاً محدداً بدقة بالغة. هذا الشكل هو كل شيء: فوظيفة البروتين، وقدرته على الارتباط بجزيئات أخرى، وسلوكه في الخلية، كلها تُحدَّد بالبنية المجسمة لا بتسلسل الأحماض الأمينية وحده.</w:t>
      </w:r>
    </w:p>
    <w:p>
      <w:pPr>
        <w:pStyle w:val="BodyText"/>
      </w:pPr>
      <w:r>
        <w:t xml:space="preserve">المعضلة هي أن البروتين الواحد قد يتكون من مئات إلى آلاف الأحماض الأمينية، وعدد الأشكال المجسمة الممكنة لهذه السلسلة يفوق عدد ذرات الكون المرصود. عالم الكيمياء الحيوية سيريل ليفينتال حسب في عام 1969 أن بروتيناً صغيراً مكوناً من 100 حمض أميني سيحتاج نظرياً إلى ما يزيد على 10^87 سنة ليجرب كل أشكاله الممكنة قبل أن يصل إلى الشكل الصحيح — وهذا ما سُمِّي بـ"مفارقة ليفينتال" (Levinthal's Paradox). ومع ذلك، يلتف البروتين في جسم الإنسان في أجزاء من الثانية! هذا التناقض الهائل هو لب المشكلة.</w:t>
      </w:r>
    </w:p>
    <w:p>
      <w:pPr>
        <w:pStyle w:val="BodyText"/>
      </w:pPr>
      <w:r>
        <w:t xml:space="preserve">لمعرفة بنية بروتين في الواقع المختبري، كان العلماء يعتمدون على أساليب مضنية مثل الحيود بالأشعة السينية (X-ray Crystallography): تُحضَّر بلورة نقية من البروتين — عملية قد تستغرق شهوراً وتفشل أحياناً تماماً — ثم تُعرَّض لأشعة سينية وتُحلَّل أنماط الانعراج الناتجة بمعادلات رياضية معقدة. نتيجة هذا الجهد الضخم: بنية بروتين واحد. وقد تراكمت في قاعدة بيانات البنك البروتيني العالمي (Protein Data Bank) عبر خمسة عقود بنى نحو 180,000 بروتين فقط — في حين يمتلك جسم الإنسان وحده ما يزيد على 20,000 بروتين مشفَّر جينياً، وكثير منها لم يُحَلَّ هيكله قط.</w:t>
      </w:r>
    </w:p>
    <w:bookmarkEnd w:id="42"/>
    <w:bookmarkStart w:id="43" w:name="X3237c47b2b1a0886f84880d485682c15572d00f"/>
    <w:p>
      <w:pPr>
        <w:pStyle w:val="Heading2"/>
      </w:pPr>
      <w:r>
        <w:t xml:space="preserve">كيف حلّ AlphaFold المشكلة: الهندسة وراء المعجزة</w:t>
      </w:r>
    </w:p>
    <w:p>
      <w:pPr>
        <w:pStyle w:val="FirstParagraph"/>
      </w:pPr>
      <w:r>
        <w:t xml:space="preserve">جاء فريق DeepMind بنهج مغاير جذرياً. بدلاً من محاكاة الفيزياء الكيميائية للبروتين خطوةً بخطوة — وهو مسعى فاشل تاريخياً لأسباب حسابية — علّموا النموذج التعرف على الأنماط الإحصائية في ملايين البنى البروتينية المحلولة تجريبياً، واستنباط "قواعد الطي" الضمنية منها.</w:t>
      </w:r>
    </w:p>
    <w:p>
      <w:pPr>
        <w:pStyle w:val="BodyText"/>
      </w:pPr>
      <w:r>
        <w:t xml:space="preserve">بنية AlphaFold2 تقوم على ثلاثة مكوّنات محورية. المكوّن الأول هو تحليل التطور (Multiple Sequence Alignment أو MSA): النموذج لا يحلل تسلسل البروتين المطلوب وحده، بل يحلله في سياق مئات الآلاف من البروتينات المتشابهة تطورياً عبر الكائنات الحية المختلفة. الحجة الضمنية هي أن الأحماض الأمينية التي تشارك في تشكيل البنية المجسمة تميل إلى التطور معاً (Co-evolution) — فإذا تغيّر حمض أميني في موضع ما، غالباً ما يتغير حمض آخر بعيد في التسلسل ليحافظ على الاستقرار الهيكلي. هذا "التطور المشترك" يكشف للنموذج أي الأجزاء تتلامس في الفضاء ثلاثي الأبعاد.</w:t>
      </w:r>
    </w:p>
    <w:p>
      <w:pPr>
        <w:pStyle w:val="BodyText"/>
      </w:pPr>
      <w:r>
        <w:t xml:space="preserve">المكوّن الثاني هو طبقة الانتباه الهيكلي (Evoformer): بنية محوّل (Transformer) مُعدَّلة خصيصاً لتمثيل البروتينات، تُبني "مصفوفة أزواج" (Pair Representation) تُصوّر العلاقات الهندسية المحتملة بين كل زوج من الأحماض الأمينية. هذه المصفوفة تتحدث إلى نفسها ذاتياً في طبقات متعددة، كل طبقة تُنقّح فهم النموذج للعلاقات المكانية بين الأجزاء.</w:t>
      </w:r>
    </w:p>
    <w:p>
      <w:pPr>
        <w:pStyle w:val="BodyText"/>
      </w:pPr>
      <w:r>
        <w:t xml:space="preserve">المكوّن الثالث هو وحدة البنية (Structure Module): تأخذ التمثيل المجرد من Evoformer وتُحوّله إلى إحداثيات ذرية فعلية في الفضاء ثلاثي الأبعاد، مُستخدمةً إطارات مرجعية محلية لكل حمض أميني وتُحسّنها تكرارياً حتى تتقاطع مع الاقتصاد الهندسي للجزيء.</w:t>
      </w:r>
    </w:p>
    <w:p>
      <w:pPr>
        <w:pStyle w:val="BodyText"/>
      </w:pPr>
      <w:r>
        <w:t xml:space="preserve">النتيجة في مسابقة CASP14 (Critical Assessment of Protein Structure Prediction) عام 2020 كانت صادمة للمجتمع العلمي: حقق AlphaFold2 دقة متوسطة قدرها 92.4 بالمئة على مقياس GDT (Global Distance Test) — وهو يُقارب دقة الحيود بالأشعة السينية — متجاوزاً المنافس التالي بفارق أكثر من 25 نقطة. محللون وصفوا الفجوة بأنها "كمن يلعب العبة مختلفة."</w:t>
      </w:r>
    </w:p>
    <w:bookmarkEnd w:id="43"/>
    <w:bookmarkStart w:id="44" w:name="Xc2de1becb95427a7eb5838fa6f5508403c4ff73"/>
    <w:p>
      <w:pPr>
        <w:pStyle w:val="Heading2"/>
      </w:pPr>
      <w:r>
        <w:t xml:space="preserve">AlphaFold 3: من رسم الخريطة إلى محاكاة التفاعل</w:t>
      </w:r>
    </w:p>
    <w:p>
      <w:pPr>
        <w:pStyle w:val="FirstParagraph"/>
      </w:pPr>
      <w:r>
        <w:t xml:space="preserve">إذا كان AlphaFold2 يُجيب عن سؤال "كيف يبدو هذا البروتين؟"، جاء AlphaFold3 ليُجيب عن سؤال أعمق: "كيف يتفاعل هذا البروتين مع هذا الجزيء أو تلك الحمض النووي؟" المُدخَلات تُشمل الآن الجزيئات الصغيرة (الأدوية المحتملة)، والـ DNA والـ RNA، والسكريات، وجزيئات أخرى — والمُخرَج هو بنية المجمع المتكامل.</w:t>
      </w:r>
    </w:p>
    <w:p>
      <w:pPr>
        <w:pStyle w:val="BodyText"/>
      </w:pPr>
      <w:r>
        <w:t xml:space="preserve">هذه القفزة بالغة الأهمية للطب: فمعظم الأدوية تعمل بالارتباط بموقع محدد على بروتين معين. فهم هذا الارتباط بدقة ذرية يعني القدرة على تصميم جزيء يرتبط بقوة أكبر، أو تصميم جزيء يرتبط بالموقع ذاته دون التسبب في آثار جانبية ناجمة عن ارتباط غير مقصود ببروتينات مشابهة.</w:t>
      </w:r>
    </w:p>
    <w:bookmarkEnd w:id="44"/>
    <w:bookmarkStart w:id="45" w:name="Xc1152a663dc744157218c399d45bd0e0e111069"/>
    <w:p>
      <w:pPr>
        <w:pStyle w:val="Heading2"/>
      </w:pPr>
      <w:r>
        <w:t xml:space="preserve">الأثر على صحة الإنسان: ثورة حقيقية في خمسة محاور</w:t>
      </w:r>
    </w:p>
    <w:p>
      <w:pPr>
        <w:pStyle w:val="FirstParagraph"/>
      </w:pPr>
      <w:r>
        <w:rPr>
          <w:bCs/>
          <w:b/>
        </w:rPr>
        <w:t xml:space="preserve">أولاً — الأمراض "غير القابلة للتدارك":</w:t>
      </w:r>
      <w:r>
        <w:t xml:space="preserve"> </w:t>
      </w:r>
      <w:r>
        <w:t xml:space="preserve">قبل AlphaFold، كان ثمة فئة من البروتينات تُسمى "Undruggable Targets" — أهداف لم يتمكن العلماء من تصميم أدوية لها لأن بنيتها كانت مجهولة أو لأنها لا تملك "جيباً" واضحاً يمكن للدواء التحشو فيه. الآن، مع معرفة البنية ثلاثية الأبعاد الكاملة، بدأ العلماء يكتشفون أن كثيراً من هذه "الأهداف المستحيلة" تملك في الواقع مواقع ارتباط خفية تُكشف فقط بالتحليل الهيكلي الدقيق. بروتينات مرتبطة بسرطانات كانت تُعدّ مستعصية — كبعض طفرات KRAS — أصبحت هدفاً فعلياً لبرامج دوائية نشطة.</w:t>
      </w:r>
    </w:p>
    <w:p>
      <w:pPr>
        <w:pStyle w:val="BodyText"/>
      </w:pPr>
      <w:r>
        <w:rPr>
          <w:bCs/>
          <w:b/>
        </w:rPr>
        <w:t xml:space="preserve">ثانياً — مرض الزهايمر:</w:t>
      </w:r>
      <w:r>
        <w:t xml:space="preserve"> </w:t>
      </w:r>
      <w:r>
        <w:t xml:space="preserve">أحد أبرز تطبيقات AlphaFold في هذا المجال هو تحليل بنية بروتين Tau والبروتين النشواني Beta-amyloid، اللذين يتراكمان في دماغ مرضى الزهايمر. فهم الأشكال المُجمَّعة لهذين البروتينين — بدقة لم تكن ممكنة قبل AlphaFold — يفتح باب تصميم جزيئات تمنع تراكمهما أو تُفككهما. عدة شركات ناشئة بدأت برامج اكتشاف دواء في هذا الاتجاه منذ 2022.</w:t>
      </w:r>
    </w:p>
    <w:p>
      <w:pPr>
        <w:pStyle w:val="BodyText"/>
      </w:pPr>
      <w:r>
        <w:rPr>
          <w:bCs/>
          <w:b/>
        </w:rPr>
        <w:t xml:space="preserve">ثالثاً — مقاومة المضادات الحيوية:</w:t>
      </w:r>
      <w:r>
        <w:t xml:space="preserve"> </w:t>
      </w:r>
      <w:r>
        <w:t xml:space="preserve">تُعدّ مقاومة البكتيريا للمضادات الحيوية واحدة من أخطر تهديدات الصحة العامة في القرن الحادي والعشرين. الميكانيزم الجزيئي لكثير من هذه المقاومة يمر عبر إنزيمات بكتيرية تُفكّك أو تُعطّل المضاد الحيوي. AlphaFold كشف البنية ثلاثية الأبعاد لعدد ضخم من هذه الإنزيمات في أنواع بكتيرية مختلفة، مما يُمكّن تصميم أدوية تستهدفها وتُعطّلها لاستعادة فاعلية المضادات الحيوية الموجودة.</w:t>
      </w:r>
    </w:p>
    <w:p>
      <w:pPr>
        <w:pStyle w:val="BodyText"/>
      </w:pPr>
      <w:r>
        <w:rPr>
          <w:bCs/>
          <w:b/>
        </w:rPr>
        <w:t xml:space="preserve">رابعاً — اللقاحات والأمراض المعدية:</w:t>
      </w:r>
      <w:r>
        <w:t xml:space="preserve"> </w:t>
      </w:r>
      <w:r>
        <w:t xml:space="preserve">في سياق جائحة كوفيد-19، أتاح AlphaFold تحليلاً سريعاً للبروتينات الفيروسية الجديدة. لكن التطبيق الأعمق يتعلق بتصميم لقاحات للأمراض المدارية المُهملة كالملاريا والليشمانيا والدودة الشريطية — أمراض تُصيب مئات الملايين لكن لم يكن تطوير لقاحات لها مُجدياً اقتصادياً بالمنهج التقليدي. الآن، مع البنى البروتينية المتاحة، بات التصميم العقلاني للقاحات هذه ممكناً بتكلفة قياسية.</w:t>
      </w:r>
    </w:p>
    <w:p>
      <w:pPr>
        <w:pStyle w:val="BodyText"/>
      </w:pPr>
      <w:r>
        <w:rPr>
          <w:bCs/>
          <w:b/>
        </w:rPr>
        <w:t xml:space="preserve">خامساً — الطب الشخصي والطفرات الجينية:</w:t>
      </w:r>
      <w:r>
        <w:t xml:space="preserve"> </w:t>
      </w:r>
      <w:r>
        <w:t xml:space="preserve">كثير من الأمراض الوراثية ناتجة عن طفرة في جين تُغيّر شكل البروتين الناتج وتُعطّل وظيفته. AlphaFold يُتيح التنبؤ بكيفية تأثير طفرة بعينها على البنية ثلاثية الأبعاد للبروتين — وبالتالي على وظيفته — مما يُرشّد تصميم علاجات جينية أو أدوية تستهدف ذلك التغيير الهيكلي تحديداً.</w:t>
      </w:r>
    </w:p>
    <w:bookmarkEnd w:id="45"/>
    <w:bookmarkStart w:id="46" w:name="حدود-alphafold-ما-يعرفه-وما-لا-يعرفه"/>
    <w:p>
      <w:pPr>
        <w:pStyle w:val="Heading2"/>
      </w:pPr>
      <w:r>
        <w:t xml:space="preserve">حدود AlphaFold: ما يعرفه وما لا يعرفه</w:t>
      </w:r>
    </w:p>
    <w:p>
      <w:pPr>
        <w:pStyle w:val="FirstParagraph"/>
      </w:pPr>
      <w:r>
        <w:t xml:space="preserve">الانبهار بالنموذج لا ينبغي أن يحجب قيوده الحقيقية. AlphaFold يتنبأ بالبنية الأكثر استقراراً (Minimum Energy State) للبروتين — لكن البروتينات الحقيقية ليست ثابتة بل ديناميكية: تتذبذب وتتغيّر أشكالها وتتخذ حالات متعددة في سياقات مختلفة. هذه الديناميكية — التي كثيراً ما تكون جوهر الوظيفة البيولوجية — لا يُجيد AlphaFold التنبؤ بها.</w:t>
      </w:r>
    </w:p>
    <w:p>
      <w:pPr>
        <w:pStyle w:val="BodyText"/>
      </w:pPr>
      <w:r>
        <w:t xml:space="preserve">كذلك، بعض البروتينات "غير المنظمة ذاتياً" (Intrinsically Disordered Proteins أو IDPs) لا تتخذ بنية ثابتة أصلاً — وظيفتها تعتمد على مرونتها. AlphaFold يُقدّم تنبؤات ضعيفة لهذه الفئة. وقد تُمثّل IDPs جزءاً ذا صلة بعدد من الأمراض كبعض أشكال السرطان وأمراض التنكس العصبي.</w:t>
      </w:r>
    </w:p>
    <w:p>
      <w:pPr>
        <w:pStyle w:val="BodyText"/>
      </w:pPr>
      <w:r>
        <w:t xml:space="preserve">أخيراً، التنبؤ بمواقع الارتباط والتحولات الشكلية الناتجة عن الارتباط (Allosteric Effects) لا يزال تحدياً. دواء ناجح لا يكفي أن يرتبط بالبروتين — بل يجب أن يُغيّر وظيفته بطريقة محددة. هذه "الكيفية" لا تزال تحتاج إلى تجريب مختبري دقيق حتى مع توفر البنية.</w:t>
      </w:r>
    </w:p>
    <w:bookmarkEnd w:id="46"/>
    <w:bookmarkEnd w:id="47"/>
    <w:bookmarkStart w:id="53" w:name="X2a16e4aa672bdb1897bdb6b848e3b45cc29c7e2"/>
    <w:p>
      <w:pPr>
        <w:pStyle w:val="Heading1"/>
      </w:pPr>
      <w:r>
        <w:t xml:space="preserve">الفصل الخامس: Coefficient Bio — رهان أنثروبيك على مستقبل الطب</w:t>
      </w:r>
    </w:p>
    <w:bookmarkStart w:id="48" w:name="من-هي-coefficient-bio"/>
    <w:p>
      <w:pPr>
        <w:pStyle w:val="Heading2"/>
      </w:pPr>
      <w:r>
        <w:t xml:space="preserve">من هي Coefficient Bio؟</w:t>
      </w:r>
    </w:p>
    <w:p>
      <w:pPr>
        <w:pStyle w:val="FirstParagraph"/>
      </w:pPr>
      <w:r>
        <w:t xml:space="preserve">لفهم ما اشترته أنثروبيك، يجب أن نفهم أولاً المشكلة التي أسّست Coefficient Bio لحلّها. الشركة أسّسها عام 2023 فريق من العلماء الجامعيين وخبراء الذكاء الاصطناعي من خريجي مؤسسات مثل MIT وCaltech وBroad Institute، انطلاقاً من رؤية محددة: نماذج اللغة الكبيرة (Large Language Models) ليست مُصمَّمة أصلاً للتعامل مع التسلسلات البيولوجية — وهذا قصور جوهري يعيق استخدام الذكاء الاصطناعي في الاكتشاف الدوائي الفعلي.</w:t>
      </w:r>
    </w:p>
    <w:p>
      <w:pPr>
        <w:pStyle w:val="BodyText"/>
      </w:pPr>
      <w:r>
        <w:t xml:space="preserve">المبدأ الذي قامت عليه الشركة ينبع من ملاحظة دقيقة: التسلسل الجيني للبروتين (سلسلة الأحماض الأمينية) يشبه من حيث البنية "لغةً" لها قواعد نحوية خفية — حيث تترتب الوحدات وفق سياق يُحدِّد المعنى (البنية والوظيفة). نماذج اللغة الكبيرة التي تعلّمت هذه القواعد الضمنية من النصوص البشرية يمكن إعادة تدريبها على "نصوص" بروتينية لتتعلم القواعد ذاتها في اللغة الجزيئية. وهذا هو جوهر ما تفعله نماذج البروتين اللغوية (Protein Language Models أو PLMs).</w:t>
      </w:r>
    </w:p>
    <w:bookmarkEnd w:id="48"/>
    <w:bookmarkStart w:id="49" w:name="Xc99d183fe8f219eec5ba7f4949a8e94a9279006"/>
    <w:p>
      <w:pPr>
        <w:pStyle w:val="Heading2"/>
      </w:pPr>
      <w:r>
        <w:t xml:space="preserve">المشكلة التي تحلّها: الهوة بين النموذج والتجربة</w:t>
      </w:r>
    </w:p>
    <w:p>
      <w:pPr>
        <w:pStyle w:val="FirstParagraph"/>
      </w:pPr>
      <w:r>
        <w:t xml:space="preserve">الهوة التقنية التي ركّزت عليها Coefficient Bio يمكن وصفها بدقة. حين يُنتج نموذج ذكاء اصطناعي بيولوجي تسلسلاً مرشحاً — سواء بروتيناً، أو جسيماً مضاداً، أو إنزيماً — هذا التسلسل يمر بسلسلة من خطوات التحقق المختبري: التعبير والإنتاج (Expression)، والتنقية (Purification)، ثم قياسات النشاط البيولوجي. كل خطوة تستغرق وقتاً وتُولّد بيانات.</w:t>
      </w:r>
    </w:p>
    <w:p>
      <w:pPr>
        <w:pStyle w:val="BodyText"/>
      </w:pPr>
      <w:r>
        <w:t xml:space="preserve">المشكلة هي أن معظم نماذج الذكاء الاصطناعي المتاحة لا "تفهم" هذه البيانات التجريبية بأثر رجعي — أي لا تستطيع استيعاب نتائج التجربة لتحسين التنبؤ التالي بشكل منهجي. الحلقة تنكسر عند نقطة الإغلاق (Feedback Closure). Coefficient Bio صمّمت منصتها لتكون هذه الحلقة المغلقة (Closed-Loop System) حيث كل نتيجة تجريبية تُغذّي النموذج مباشرةً لتحسين الجولة التالية من التصميم.</w:t>
      </w:r>
    </w:p>
    <w:bookmarkEnd w:id="49"/>
    <w:bookmarkStart w:id="50" w:name="التقنية-نماذج-أساسية-بيولوجية-متخصصة"/>
    <w:p>
      <w:pPr>
        <w:pStyle w:val="Heading2"/>
      </w:pPr>
      <w:r>
        <w:t xml:space="preserve">التقنية: نماذج أساسية بيولوجية متخصصة</w:t>
      </w:r>
    </w:p>
    <w:p>
      <w:pPr>
        <w:pStyle w:val="FirstParagraph"/>
      </w:pPr>
      <w:r>
        <w:t xml:space="preserve">Coefficient Bio لا تبني نموذجاً واحداً بل "حزمة نماذج" متخصصة يُكمّل بعضها بعضاً. النموذج الأول مُتخصص في فهم البروتينات الوظيفية (Functional Protein Understanding): يتعلم من قواعد بيانات ضخمة مثل UniProt (التي تضم أكثر من 250 مليون تسلسل بروتيني) ومن بيانات النشاط الوظيفي لمئات الآلاف من الإنزيمات والمستقبلات. هذا النموذج يمثّل "الفهم العام" للبيولوجيا الجزيئية.</w:t>
      </w:r>
    </w:p>
    <w:p>
      <w:pPr>
        <w:pStyle w:val="BodyText"/>
      </w:pPr>
      <w:r>
        <w:t xml:space="preserve">النموذج الثاني مُتخصص في الأجسام المضادة (Antibody Design Model): وهو مجال استثنائي بذاته. الأجسام المضادة تتبع قواعد تسلسلية خاصة — مناطق محددة منها (CDRs أو Complementarity Determining Regions) هي التي تُحدِّد ارتباطها بالهدف، فيما تضمن مناطق أخرى الاستقرار والتحمّل المناعي. نموذج Coefficient المتخصص يتعلم هذه القواعد المُعقَّدة بحيث تصبح التوصيات التي يُخرجها أكثر قابلية للتوليف المختبري الفعلي.</w:t>
      </w:r>
    </w:p>
    <w:p>
      <w:pPr>
        <w:pStyle w:val="BodyText"/>
      </w:pPr>
      <w:r>
        <w:t xml:space="preserve">النموذج الثالث هو نموذج التنبؤ بالخصائص (Property Prediction Model): يتنبأ بسمات حاسمة كالذوبانية، والاستقرار الحراري، والارتباط بالهدف، والسمية الخلوية — قبل أي تجربة مختبرية. هذا "الفلتر الحسابي" يُقلّص عدد المرشحين المُوجَّهين للتجريب المادي.</w:t>
      </w:r>
    </w:p>
    <w:bookmarkEnd w:id="50"/>
    <w:bookmarkStart w:id="51" w:name="X234a8f21a9d34955878b9b5249e085399345d3e"/>
    <w:p>
      <w:pPr>
        <w:pStyle w:val="Heading2"/>
      </w:pPr>
      <w:r>
        <w:t xml:space="preserve">لماذا اشترت أنثروبيك Coefficient Bio تحديداً؟</w:t>
      </w:r>
    </w:p>
    <w:p>
      <w:pPr>
        <w:pStyle w:val="FirstParagraph"/>
      </w:pPr>
      <w:r>
        <w:t xml:space="preserve">لفهم المنطق الاستراتيجي لهذه الصفقة، يجب فهم ما تملكه أنثروبيك وما يُكمّلها. أنثروبيك تمتلك كلود — واحدة من أقوى نماذج اللغة الكبيرة في العالم — ولديها فلسفة راسخة في بناء ذكاء اصطناعي آمن وقابل للتفسير. ما تفتقر إليه هو الخبرة التخصصية في البيولوجيا الجزيئية التطبيقية ونماذج الأساس البيولوجي.</w:t>
      </w:r>
    </w:p>
    <w:p>
      <w:pPr>
        <w:pStyle w:val="BodyText"/>
      </w:pPr>
      <w:r>
        <w:t xml:space="preserve">Coefficient Bio تحمل بالضبط ما يُكمّل هذه الفجوة: فريق علمي متعمق في علم الأحياء الجزيئي، ونماذج أساسية بيولوجية متخصصة، وأهم من كل ذلك — فلسفة تصميمية تُشبه فلسفة أنثروبيك: التفسيرية والأمان والمساءلة. إذ ركّزت Coefficient منذ بدايتها على بناء نماذج "يمكن تفسير قراراتها" — وهو هاجس مشترك مع أنثروبيك في سياق الذكاء الاصطناعي العام.</w:t>
      </w:r>
    </w:p>
    <w:p>
      <w:pPr>
        <w:pStyle w:val="BodyText"/>
      </w:pPr>
      <w:r>
        <w:t xml:space="preserve">الرهان المشترك الأعمق هو: نماذج اللغة الكبيرة العامة كـ كلود يمكن — بالتدريب المناسب والتوجيه الصحيح — أن تُصبح "علماء بيولوجيا افتراضيين" قادرين على التعامل مع البيانات التجريبية، واقتراح التجارب التالية، وتفسير النتائج في حلقة لا تتوقف. هذا يختلف جوهرياً عن نماذج الاكتشاف الدوائي الضيقة التي تفعل شيئاً واحداً جيداً.</w:t>
      </w:r>
    </w:p>
    <w:bookmarkEnd w:id="51"/>
    <w:bookmarkStart w:id="52" w:name="X6c566263d1874c36a350060fc6162b51d9d23a2"/>
    <w:p>
      <w:pPr>
        <w:pStyle w:val="Heading2"/>
      </w:pPr>
      <w:r>
        <w:t xml:space="preserve">الأثر المتوقع: ماذا يعني هذا الاستحواذ للمريض؟</w:t>
      </w:r>
    </w:p>
    <w:p>
      <w:pPr>
        <w:pStyle w:val="FirstParagraph"/>
      </w:pPr>
      <w:r>
        <w:t xml:space="preserve">على المدى القريب (3-5 سنوات)، المتوقع أن يُخرج التحالف بين أنثروبيك وCoefficient Bio أدوات تُتيح لعلماء الأحياء غير المتخصصين في الحوسبة تصميم بروتينات وأجسام مضادة باستخدام واجهة محادثة طبيعية مع كلود — يشرحون الهدف البيولوجي بلغتهم، والنظام يُترجم ذلك إلى تسلسلات جزيئية مرشحة. هذا يعني ديمقراطية أكبر في الاكتشاف الدوائي.</w:t>
      </w:r>
    </w:p>
    <w:p>
      <w:pPr>
        <w:pStyle w:val="BodyText"/>
      </w:pPr>
      <w:r>
        <w:t xml:space="preserve">على المدى المتوسط (5-10 سنوات)، القدرة على ضبط نماذج بيولوجية عامة على بيانات مريض بعينه — ملفه الجيني، ومعلومات بروتيوميّته، واستجابته للعلاجات السابقة — قد تُتيح ما يُعرف بالطب الشخصي الحقيقي (True Personalized Medicine): علاجات مُصمَّمة بدقة لبيولوجيا الشخص لا للمرض كفئة عامة.</w:t>
      </w:r>
    </w:p>
    <w:p>
      <w:pPr>
        <w:pStyle w:val="BodyText"/>
      </w:pPr>
      <w:r>
        <w:t xml:space="preserve">التحدي الأكبر يبقى: التجريب السريري. مهما بلغت قدرة النموذج الحسابي، لا يمكن استبدال التحقق المختبري والسريري الدقيق. الأثر الحقيقي للاستحواذ سيُقاس بعدد الأدوية التي ستُولد من هذا التحالف وتصل إلى مرحلة التجارب السريرية في السنوات القادمة — وهو رهان لا يزال مفتوحاً.</w:t>
      </w:r>
    </w:p>
    <w:bookmarkEnd w:id="52"/>
    <w:bookmarkEnd w:id="53"/>
    <w:bookmarkStart w:id="58" w:name="X85b490dc6c9b57d69808c577d0ad8e3f689f715"/>
    <w:p>
      <w:pPr>
        <w:pStyle w:val="Heading1"/>
      </w:pPr>
      <w:r>
        <w:t xml:space="preserve">الفصل السادس: الأجسام المضادة والجزيئات المصممة</w:t>
      </w:r>
    </w:p>
    <w:bookmarkStart w:id="54" w:name="ثورة-الأجسام-المضادة"/>
    <w:p>
      <w:pPr>
        <w:pStyle w:val="Heading2"/>
      </w:pPr>
      <w:r>
        <w:t xml:space="preserve">ثورة الأجسام المضادة</w:t>
      </w:r>
    </w:p>
    <w:p>
      <w:pPr>
        <w:pStyle w:val="FirstParagraph"/>
      </w:pPr>
      <w:r>
        <w:t xml:space="preserve">الأجسام المضادة هي جزيئات بروتينية تتميز بدقة شديدة في الارتباط بأهدافها. أدوية مثل Herceptin وKeytruda وHumira — من أعلى الأدوية مبيعاً في التاريخ — هي في جوهرها أجسام مضادة معدلة. تصميم جسم مضاد يرتبط بهدف محدد ويتحمله الجسم دون استجابة مناعية ضده هو تحدٍّ هائل تتشابك فيه البنية الجزيئية والكيمياء والمناعة.</w:t>
      </w:r>
    </w:p>
    <w:bookmarkEnd w:id="54"/>
    <w:bookmarkStart w:id="55" w:name="التصميم-التوليدي"/>
    <w:p>
      <w:pPr>
        <w:pStyle w:val="Heading2"/>
      </w:pPr>
      <w:r>
        <w:t xml:space="preserve">التصميم التوليدي</w:t>
      </w:r>
    </w:p>
    <w:p>
      <w:pPr>
        <w:pStyle w:val="FirstParagraph"/>
      </w:pPr>
      <w:r>
        <w:t xml:space="preserve">إنتاج 300,000 جسيم مضاد مرشح في أسابيع لم يكن ممكناً بالمنهج التقليدي. الذكاء الاصطناعي يُجري عملية مختلفة جذرياً: بدلاً من الاختيار من بين موجود، يُولّد النموذج تسلسلات جزيئية جديدة تماماً، مُحسَّنة نظرياً للارتباط بالهدف المطلوب، ثم تُفلتر بمعايير إضافية: التحمل المناعي، وقابلية الإنتاج، والاستقرار.</w:t>
      </w:r>
    </w:p>
    <w:bookmarkEnd w:id="55"/>
    <w:bookmarkStart w:id="56" w:name="الجزيئات-الصغيرة"/>
    <w:p>
      <w:pPr>
        <w:pStyle w:val="Heading2"/>
      </w:pPr>
      <w:r>
        <w:t xml:space="preserve">الجزيئات الصغيرة</w:t>
      </w:r>
    </w:p>
    <w:p>
      <w:pPr>
        <w:pStyle w:val="FirstParagraph"/>
      </w:pPr>
      <w:r>
        <w:t xml:space="preserve">معظم الأدوية التقليدية هي جزيئات صغيرة. نماذج مثل AlphaFold3 وRoseTTAFold-AllAtom تتيح محاكاة "إرساء" الجزيء الصغير في موضعه داخل البروتين، مع تقدير قوة الارتباط. بالتوازي، نماذج توليدية تُولّد جزيئات صغيرة جديدة بخصائص مطلوبة. هذا التآزر بين نمذجة الهدف وتوليد الجزيء يُمثّل قفزة في كفاءة الاكتشاف الأولي.</w:t>
      </w:r>
    </w:p>
    <w:bookmarkEnd w:id="56"/>
    <w:bookmarkStart w:id="57" w:name="تحديات-لم-تحل"/>
    <w:p>
      <w:pPr>
        <w:pStyle w:val="Heading2"/>
      </w:pPr>
      <w:r>
        <w:t xml:space="preserve">تحديات لم تُحَل</w:t>
      </w:r>
    </w:p>
    <w:p>
      <w:pPr>
        <w:pStyle w:val="FirstParagraph"/>
      </w:pPr>
      <w:r>
        <w:t xml:space="preserve">التنبؤ الحسابي يبقى تقريبياً. ثمة مشكلة أعمق: السمية. كثير من المركبات الواعدة تفشل لأسباب تتعلق بالسمية الكبدية أو الكلوية أو القلبية. نمذجة السمية لا تزال من أصعب تحديات النمذجة الحيوية، ودقتها محدودة في كثير من الحالات. الاختبار المختبري الفعلي لا يزال شرطاً لا غنى عنه.</w:t>
      </w:r>
    </w:p>
    <w:bookmarkEnd w:id="57"/>
    <w:bookmarkEnd w:id="58"/>
    <w:bookmarkStart w:id="63" w:name="X83ebf3cb94a3752335409633acf5bac3e7aca9f"/>
    <w:p>
      <w:pPr>
        <w:pStyle w:val="Heading1"/>
      </w:pPr>
      <w:r>
        <w:t xml:space="preserve">الفصل السابع: حلقة التغذية الراجعة — عندما يتعلم الذكاء من كل تجربة</w:t>
      </w:r>
    </w:p>
    <w:bookmarkStart w:id="59" w:name="مبدأ-التعلم-المتراكم"/>
    <w:p>
      <w:pPr>
        <w:pStyle w:val="Heading2"/>
      </w:pPr>
      <w:r>
        <w:t xml:space="preserve">مبدأ التعلم المتراكم</w:t>
      </w:r>
    </w:p>
    <w:p>
      <w:pPr>
        <w:pStyle w:val="FirstParagraph"/>
      </w:pPr>
      <w:r>
        <w:t xml:space="preserve">ما يميز النماذج الجديدة ليس دقتها الأولية، بل قدرتها على التحسن المستمر مع كل تجربة. كل تجربة — ناجحة أو فاشلة — تُسجَّل مع سياقها الكامل: التسلسل الجزيئي، وظروف التجربة، والهدف البيولوجي، والنتيجة الكمية. هذا السياق الغني هو ما يُمكّن النموذج من التعلم الفعلي. الفشل بحد ذاته بيانات قيّمة.</w:t>
      </w:r>
    </w:p>
    <w:bookmarkEnd w:id="59"/>
    <w:bookmarkStart w:id="60" w:name="مشكلة-التشتت-التاريخية"/>
    <w:p>
      <w:pPr>
        <w:pStyle w:val="Heading2"/>
      </w:pPr>
      <w:r>
        <w:t xml:space="preserve">مشكلة التشتت التاريخية</w:t>
      </w:r>
    </w:p>
    <w:p>
      <w:pPr>
        <w:pStyle w:val="FirstParagraph"/>
      </w:pPr>
      <w:r>
        <w:t xml:space="preserve">مختبر يُنجز ألف تجربة ويخزن نتائجها في ملفات Excel محلية. يُبدّل موظف فيفقد السياق. يتعاون مع CRO خارجي فلا تعود البيانات. تنتقل الشركة لبرنامج جديد فتضيع السجلات. هذه ليست قصصاً خيالية — إنها الواقع اليومي لكثير من مختبرات الأبحاث الدوائية.</w:t>
      </w:r>
    </w:p>
    <w:bookmarkEnd w:id="60"/>
    <w:bookmarkStart w:id="61" w:name="التعلم-التعزيزي-في-البيولوجيا"/>
    <w:p>
      <w:pPr>
        <w:pStyle w:val="Heading2"/>
      </w:pPr>
      <w:r>
        <w:t xml:space="preserve">التعلم التعزيزي في البيولوجيا</w:t>
      </w:r>
    </w:p>
    <w:p>
      <w:pPr>
        <w:pStyle w:val="FirstParagraph"/>
      </w:pPr>
      <w:r>
        <w:t xml:space="preserve">تقنية "التعلم التعزيزي" التي شُهرت في الألعاب الإلكترونية عبر AlphaGo تجد تطبيقاً في تصميم الجزيئات. النموذج يتعلم بناءً على "مكافآت" تعكس الخصائص المرغوبة: قوة الارتباط، وانعدام السمية، والاستقرار الكيميائي. شركة Insilico Medicine استخدمت هذا المدخل لتوليد مرشح دوائي لأمراض الرئة وصل إلى التجارب السريرية المبكرة بسرعة تاريخية.</w:t>
      </w:r>
    </w:p>
    <w:bookmarkEnd w:id="61"/>
    <w:bookmarkStart w:id="62" w:name="الأفق-تسريع-أسي"/>
    <w:p>
      <w:pPr>
        <w:pStyle w:val="Heading2"/>
      </w:pPr>
      <w:r>
        <w:t xml:space="preserve">الأفق: تسريع أسي</w:t>
      </w:r>
    </w:p>
    <w:p>
      <w:pPr>
        <w:pStyle w:val="FirstParagraph"/>
      </w:pPr>
      <w:r>
        <w:t xml:space="preserve">إذا نجحت الحلقة المتكاملة، فالتسريع لن يكون خطياً بل أسياً: كل جولة تجريبية تولّد بيانات تُحسّن الجولة التالية، وتحسين الجولة التالية يولّد بيانات أفضل. هذه الميزة التراكمية (Compounding Advantage) ستفصل بشكل حاسم بين من يبنيها ومن لا يفعل — وهذا بالضبط ما تراهن عليه أمازون وغوغل وأنثروبيك.</w:t>
      </w:r>
    </w:p>
    <w:bookmarkEnd w:id="62"/>
    <w:bookmarkEnd w:id="63"/>
    <w:bookmarkStart w:id="68" w:name="Xf71fd094fee8545719f3e36fefa71243610999a"/>
    <w:p>
      <w:pPr>
        <w:pStyle w:val="Heading1"/>
      </w:pPr>
      <w:r>
        <w:t xml:space="preserve">الفصل الثامن: أخلاقيات الذكاء الاصطناعي في الطب والأدوية</w:t>
      </w:r>
    </w:p>
    <w:bookmarkStart w:id="64" w:name="سؤال-السلطة-من-يتحكم-في-البيانات"/>
    <w:p>
      <w:pPr>
        <w:pStyle w:val="Heading2"/>
      </w:pPr>
      <w:r>
        <w:t xml:space="preserve">سؤال السلطة: من يتحكم في البيانات؟</w:t>
      </w:r>
    </w:p>
    <w:p>
      <w:pPr>
        <w:pStyle w:val="FirstParagraph"/>
      </w:pPr>
      <w:r>
        <w:t xml:space="preserve">حين تُطوّر شركة أدوية دواءً للسل باستخدام منصة أمازون وتُخزّن بياناتها عليها — ماذا يحدث بتلك البيانات؟ هل تُشارك عبر نماذج موحدة مع منافسيها؟ البيانات الدوائية تمثل استثمارات ضخمة، وملكيتها الفكرية أثمن ما تملكه الشركة. نقلها إلى بيئة سحابية غير شفافة ينطوي على مخاطر حقيقية.</w:t>
      </w:r>
    </w:p>
    <w:bookmarkEnd w:id="64"/>
    <w:bookmarkStart w:id="65" w:name="سؤال-الإنصاف-من-يستفيد"/>
    <w:p>
      <w:pPr>
        <w:pStyle w:val="Heading2"/>
      </w:pPr>
      <w:r>
        <w:t xml:space="preserve">سؤال الإنصاف: من يستفيد؟</w:t>
      </w:r>
    </w:p>
    <w:p>
      <w:pPr>
        <w:pStyle w:val="FirstParagraph"/>
      </w:pPr>
      <w:r>
        <w:t xml:space="preserve">إذا اختصرت هذه التقنيات زمن الاكتشاف وخفّضت تكاليفه، من سيصل إلى الأدوية الناتجة؟ الإجابة التفاؤلية: تطوير أدوية للأمراض "المُهملة" التي لم يكن تطويرها مجدياً اقتصادياً. الإجابة المتشائمة: شركات كبرى تركّز على الأمراض المربحة وتتجاهل الباقي. الجواب الحقيقي رهين بقرارات سياسية وتنظيمية لا يحددها الذكاء الاصطناعي.</w:t>
      </w:r>
    </w:p>
    <w:bookmarkEnd w:id="65"/>
    <w:bookmarkStart w:id="66" w:name="المساءلة-في-القرارات-الخوارزمية"/>
    <w:p>
      <w:pPr>
        <w:pStyle w:val="Heading2"/>
      </w:pPr>
      <w:r>
        <w:t xml:space="preserve">المساءلة في القرارات الخوارزمية</w:t>
      </w:r>
    </w:p>
    <w:p>
      <w:pPr>
        <w:pStyle w:val="FirstParagraph"/>
      </w:pPr>
      <w:r>
        <w:t xml:space="preserve">حين يُوصي نموذج ذكاء اصطناعي بالمضي في تجربة سريرية لجزيء معين، ثم يتضح لاحقاً أنه يتسبب في ضرر — من المسؤول؟ هذه المسألة لم تُحسم في إطار قانوني واضح. وكلما زاد اعتماد الفرق البحثية على توصيات الخوارزميات، كلما تزايد الضغط لبناء أطر مساءلة واضحة.</w:t>
      </w:r>
    </w:p>
    <w:bookmarkEnd w:id="66"/>
    <w:bookmarkStart w:id="67" w:name="الثقة-والشفافية-العلمية"/>
    <w:p>
      <w:pPr>
        <w:pStyle w:val="Heading2"/>
      </w:pPr>
      <w:r>
        <w:t xml:space="preserve">الثقة والشفافية العلمية</w:t>
      </w:r>
    </w:p>
    <w:p>
      <w:pPr>
        <w:pStyle w:val="FirstParagraph"/>
      </w:pPr>
      <w:r>
        <w:t xml:space="preserve">العلم يقوم على القابلية للتكرار والتحقق. حين تعتمد نتائج بحثية على نماذج ذكاء اصطناعي ملكية مغلقة لا يمكن للمجتمع العلمي تفحصها، يتهدد ذلك ركناً أساسياً من أركان الثقة. مجتمع البيولوجيا الحسابية يضغط نحو: نشر أوزان النماذج، وإتاحة بيانات التدريب، والتحقق المستقل من الأداء — مطالب مشروعة وضرورية.</w:t>
      </w:r>
    </w:p>
    <w:bookmarkEnd w:id="67"/>
    <w:bookmarkEnd w:id="68"/>
    <w:bookmarkStart w:id="69" w:name="الخاتمة"/>
    <w:p>
      <w:pPr>
        <w:pStyle w:val="Heading1"/>
      </w:pPr>
      <w:r>
        <w:t xml:space="preserve">الخاتمة</w:t>
      </w:r>
    </w:p>
    <w:p>
      <w:pPr>
        <w:pStyle w:val="FirstParagraph"/>
      </w:pPr>
      <w:r>
        <w:t xml:space="preserve">عُدنا إلى نقطة البداية، لكن من زاوية أوسع. ذلك الباحث في أمجن الذي تنبأ عام 2012 لم يكن مخطئاً — كان سابقاً لوقته بعقد. ما بدأ كنبوءة مبالغ فيها يتشكل اليوم بسرعة مثيرة ومقلقة في آنٍ واحد.</w:t>
      </w:r>
    </w:p>
    <w:p>
      <w:pPr>
        <w:pStyle w:val="BodyText"/>
      </w:pPr>
      <w:r>
        <w:t xml:space="preserve">الصورة ليست ثنائية: لا هي "ثورة خلاصة" تحل كل مشاكل الطب البشري، ولا هي "فقاعة تقنية" بلا جوهر. الذكاء الاصطناعي يُعيد تشكيل مرحلة الاكتشاف الأولي بشكل حقيقي ومثبت. المراحل التالية لا تزال تتحكم فيها عوامل أكثر تعقيداً وبشرية.</w:t>
      </w:r>
    </w:p>
    <w:p>
      <w:pPr>
        <w:pStyle w:val="BodyText"/>
      </w:pPr>
      <w:r>
        <w:t xml:space="preserve">ما نحتاجه ليس فقط خوارزميات أفضل، بل حكمة أفضل في استخدامها. نحتاج أُطر قانونية تُنظم ملكية البيانات الدوائية، وسياسات تسعير تُوصل الأدوية إلى من يحتاجها، وممارسات بحثية شفافة تُبقي النموذج العلمي القائم على التحقق المستقل حياً وفاعلاً.</w:t>
      </w:r>
    </w:p>
    <w:p>
      <w:pPr>
        <w:pStyle w:val="BodyText"/>
      </w:pPr>
      <w:r>
        <w:t xml:space="preserve">الخوارزمية ليست بديلاً عن ضمير العالم. وسرعة الاكتشاف لا معنى لها إن لم تتحول إلى شفاء في متناول الجميع.</w:t>
      </w:r>
    </w:p>
    <w:p>
      <w:pPr>
        <w:pStyle w:val="BodyText"/>
      </w:pPr>
      <w:r>
        <w:t xml:space="preserve">والله أعلم</w:t>
      </w:r>
    </w:p>
    <w:bookmarkEnd w:id="69"/>
    <w:bookmarkStart w:id="75" w:name="المراجع-العلمية"/>
    <w:p>
      <w:pPr>
        <w:pStyle w:val="Heading1"/>
      </w:pPr>
      <w:r>
        <w:t xml:space="preserve">المراجع العلمية</w:t>
      </w:r>
    </w:p>
    <w:bookmarkStart w:id="70" w:name="أولا-تفسير-القرآن-الكريم"/>
    <w:p>
      <w:pPr>
        <w:pStyle w:val="Heading2"/>
      </w:pPr>
      <w:r>
        <w:t xml:space="preserve">أولاً: تفسير القرآن الكريم</w:t>
      </w:r>
    </w:p>
    <w:p>
      <w:pPr>
        <w:pStyle w:val="FirstParagraph"/>
      </w:pPr>
      <w:r>
        <w:t xml:space="preserve">ابن كثير، إسماعيل بن عمر.</w:t>
      </w:r>
      <w:r>
        <w:t xml:space="preserve"> </w:t>
      </w:r>
      <w:r>
        <w:rPr>
          <w:iCs/>
          <w:i/>
        </w:rPr>
        <w:t xml:space="preserve">تفسير القرآن العظيم</w:t>
      </w:r>
      <w:r>
        <w:t xml:space="preserve">. تحقيق: سامي بن محمد سلامة. دار طيبة، الرياض، 1999.</w:t>
      </w:r>
    </w:p>
    <w:p>
      <w:pPr>
        <w:pStyle w:val="BodyText"/>
      </w:pPr>
      <w:r>
        <w:t xml:space="preserve">الطبري، محمد بن جرير.</w:t>
      </w:r>
      <w:r>
        <w:t xml:space="preserve"> </w:t>
      </w:r>
      <w:r>
        <w:rPr>
          <w:iCs/>
          <w:i/>
        </w:rPr>
        <w:t xml:space="preserve">جامع البيان في تأويل القرآن</w:t>
      </w:r>
      <w:r>
        <w:t xml:space="preserve">. تحقيق: أحمد محمد شاكر. مؤسسة الرسالة، بيروت، 2000.</w:t>
      </w:r>
    </w:p>
    <w:bookmarkEnd w:id="70"/>
    <w:bookmarkStart w:id="71" w:name="ثانيا-الأبحاث-العلمية-المحكمة"/>
    <w:p>
      <w:pPr>
        <w:pStyle w:val="Heading2"/>
      </w:pPr>
      <w:r>
        <w:t xml:space="preserve">ثانياً: الأبحاث العلمية المحكّمة</w:t>
      </w:r>
    </w:p>
    <w:p>
      <w:pPr>
        <w:pStyle w:val="FirstParagraph"/>
      </w:pPr>
      <w:r>
        <w:t xml:space="preserve">Jumper, J., et al. (2021). Highly accurate protein structure prediction with AlphaFold.</w:t>
      </w:r>
      <w:r>
        <w:t xml:space="preserve"> </w:t>
      </w:r>
      <w:r>
        <w:rPr>
          <w:iCs/>
          <w:i/>
        </w:rPr>
        <w:t xml:space="preserve">Nature</w:t>
      </w:r>
      <w:r>
        <w:t xml:space="preserve">, 596(7873), 583–589.</w:t>
      </w:r>
    </w:p>
    <w:p>
      <w:pPr>
        <w:pStyle w:val="BodyText"/>
      </w:pPr>
      <w:r>
        <w:t xml:space="preserve">Abramson, J., et al. (2024). Accurate structure prediction of biomolecular interactions with AlphaFold 3.</w:t>
      </w:r>
      <w:r>
        <w:t xml:space="preserve"> </w:t>
      </w:r>
      <w:r>
        <w:rPr>
          <w:iCs/>
          <w:i/>
        </w:rPr>
        <w:t xml:space="preserve">Nature</w:t>
      </w:r>
      <w:r>
        <w:t xml:space="preserve">, 630, 493–500.</w:t>
      </w:r>
    </w:p>
    <w:p>
      <w:pPr>
        <w:pStyle w:val="BodyText"/>
      </w:pPr>
      <w:r>
        <w:t xml:space="preserve">Stokes, J. M., et al. (2020). A Deep Learning Approach to Antibiotic Discovery.</w:t>
      </w:r>
      <w:r>
        <w:t xml:space="preserve"> </w:t>
      </w:r>
      <w:r>
        <w:rPr>
          <w:iCs/>
          <w:i/>
        </w:rPr>
        <w:t xml:space="preserve">Cell</w:t>
      </w:r>
      <w:r>
        <w:t xml:space="preserve">, 180(4), 688–702.</w:t>
      </w:r>
    </w:p>
    <w:p>
      <w:pPr>
        <w:pStyle w:val="BodyText"/>
      </w:pPr>
      <w:r>
        <w:t xml:space="preserve">Zhavoronkov, A., et al. (2019). Deep learning enables rapid identification of potent DDR1 kinase inhibitors.</w:t>
      </w:r>
      <w:r>
        <w:t xml:space="preserve"> </w:t>
      </w:r>
      <w:r>
        <w:rPr>
          <w:iCs/>
          <w:i/>
        </w:rPr>
        <w:t xml:space="preserve">Nature Biotechnology</w:t>
      </w:r>
      <w:r>
        <w:t xml:space="preserve">, 37, 1038–1040.</w:t>
      </w:r>
    </w:p>
    <w:p>
      <w:pPr>
        <w:pStyle w:val="BodyText"/>
      </w:pPr>
      <w:r>
        <w:t xml:space="preserve">Senior, A. W., et al. (2020). Improved protein structure prediction using potentials from deep learning.</w:t>
      </w:r>
      <w:r>
        <w:t xml:space="preserve"> </w:t>
      </w:r>
      <w:r>
        <w:rPr>
          <w:iCs/>
          <w:i/>
        </w:rPr>
        <w:t xml:space="preserve">Nature</w:t>
      </w:r>
      <w:r>
        <w:t xml:space="preserve">, 577(7792), 706–710.</w:t>
      </w:r>
    </w:p>
    <w:p>
      <w:pPr>
        <w:pStyle w:val="BodyText"/>
      </w:pPr>
      <w:r>
        <w:t xml:space="preserve">Lin, Z., et al. (2023). Evolutionary-scale prediction of atomic-level protein structure with a language model.</w:t>
      </w:r>
      <w:r>
        <w:t xml:space="preserve"> </w:t>
      </w:r>
      <w:r>
        <w:rPr>
          <w:iCs/>
          <w:i/>
        </w:rPr>
        <w:t xml:space="preserve">Science</w:t>
      </w:r>
      <w:r>
        <w:t xml:space="preserve">, 379(6637), 1123–1130.</w:t>
      </w:r>
    </w:p>
    <w:bookmarkEnd w:id="71"/>
    <w:bookmarkStart w:id="72" w:name="ثالثا-الذكاء-الاصطناعي-وتعلم-الآلة"/>
    <w:p>
      <w:pPr>
        <w:pStyle w:val="Heading2"/>
      </w:pPr>
      <w:r>
        <w:t xml:space="preserve">ثالثاً: الذكاء الاصطناعي وتعلم الآلة</w:t>
      </w:r>
    </w:p>
    <w:p>
      <w:pPr>
        <w:pStyle w:val="FirstParagraph"/>
      </w:pPr>
      <w:r>
        <w:t xml:space="preserve">LeCun, Y., Bengio, Y., &amp; Hinton, G. (2015). Deep learning.</w:t>
      </w:r>
      <w:r>
        <w:t xml:space="preserve"> </w:t>
      </w:r>
      <w:r>
        <w:rPr>
          <w:iCs/>
          <w:i/>
        </w:rPr>
        <w:t xml:space="preserve">Nature</w:t>
      </w:r>
      <w:r>
        <w:t xml:space="preserve">, 521(7553), 436–444.</w:t>
      </w:r>
    </w:p>
    <w:p>
      <w:pPr>
        <w:pStyle w:val="BodyText"/>
      </w:pPr>
      <w:r>
        <w:t xml:space="preserve">Brown, T. B., et al. (2020). Language Models are Few-Shot Learners.</w:t>
      </w:r>
      <w:r>
        <w:t xml:space="preserve"> </w:t>
      </w:r>
      <w:r>
        <w:rPr>
          <w:iCs/>
          <w:i/>
        </w:rPr>
        <w:t xml:space="preserve">NeurIPS</w:t>
      </w:r>
      <w:r>
        <w:t xml:space="preserve">, 33, 1877–1901.</w:t>
      </w:r>
    </w:p>
    <w:p>
      <w:pPr>
        <w:pStyle w:val="BodyText"/>
      </w:pPr>
      <w:r>
        <w:t xml:space="preserve">Vaswani, A., et al. (2017). Attention Is All You Need.</w:t>
      </w:r>
      <w:r>
        <w:t xml:space="preserve"> </w:t>
      </w:r>
      <w:r>
        <w:rPr>
          <w:iCs/>
          <w:i/>
        </w:rPr>
        <w:t xml:space="preserve">NeurIPS</w:t>
      </w:r>
      <w:r>
        <w:t xml:space="preserve">, 30.</w:t>
      </w:r>
    </w:p>
    <w:bookmarkEnd w:id="72"/>
    <w:bookmarkStart w:id="73" w:name="رابعا-صناعة-الأدوية-والبيولوجيا-الحسابية"/>
    <w:p>
      <w:pPr>
        <w:pStyle w:val="Heading2"/>
      </w:pPr>
      <w:r>
        <w:t xml:space="preserve">رابعاً: صناعة الأدوية والبيولوجيا الحسابية</w:t>
      </w:r>
    </w:p>
    <w:p>
      <w:pPr>
        <w:pStyle w:val="FirstParagraph"/>
      </w:pPr>
      <w:r>
        <w:t xml:space="preserve">DiMasi, J. A., Grabowski, H. G., &amp; Hansen, R. W. (2016). Innovation in the pharmaceutical industry.</w:t>
      </w:r>
      <w:r>
        <w:t xml:space="preserve"> </w:t>
      </w:r>
      <w:r>
        <w:rPr>
          <w:iCs/>
          <w:i/>
        </w:rPr>
        <w:t xml:space="preserve">Journal of Health Economics</w:t>
      </w:r>
      <w:r>
        <w:t xml:space="preserve">, 47, 20–33.</w:t>
      </w:r>
    </w:p>
    <w:p>
      <w:pPr>
        <w:pStyle w:val="BodyText"/>
      </w:pPr>
      <w:r>
        <w:t xml:space="preserve">Schneider, P., et al. (2020). Rethinking drug design in the artificial intelligence era.</w:t>
      </w:r>
      <w:r>
        <w:t xml:space="preserve"> </w:t>
      </w:r>
      <w:r>
        <w:rPr>
          <w:iCs/>
          <w:i/>
        </w:rPr>
        <w:t xml:space="preserve">Nature Reviews Drug Discovery</w:t>
      </w:r>
      <w:r>
        <w:t xml:space="preserve">, 19(5), 353–364.</w:t>
      </w:r>
    </w:p>
    <w:p>
      <w:pPr>
        <w:pStyle w:val="BodyText"/>
      </w:pPr>
      <w:r>
        <w:t xml:space="preserve">Mullard, A. (2023). Drug repurposing programmes get lift from AI.</w:t>
      </w:r>
      <w:r>
        <w:t xml:space="preserve"> </w:t>
      </w:r>
      <w:r>
        <w:rPr>
          <w:iCs/>
          <w:i/>
        </w:rPr>
        <w:t xml:space="preserve">Nature Reviews Drug Discovery</w:t>
      </w:r>
      <w:r>
        <w:t xml:space="preserve">, 22, 84–86.</w:t>
      </w:r>
    </w:p>
    <w:p>
      <w:pPr>
        <w:pStyle w:val="BodyText"/>
      </w:pPr>
      <w:r>
        <w:t xml:space="preserve">Amazon Web Services. (2025). Amazon Bio Discovery: Technical Overview. AWS Documentation.</w:t>
      </w:r>
    </w:p>
    <w:p>
      <w:pPr>
        <w:pStyle w:val="BodyText"/>
      </w:pPr>
      <w:r>
        <w:t xml:space="preserve">Isomorphic Labs. (2023). Research Collaborations with Eli Lilly and Novartis. Isomorphic Labs Blog.</w:t>
      </w:r>
    </w:p>
    <w:bookmarkEnd w:id="73"/>
    <w:bookmarkStart w:id="74" w:name="خامسا-أخلاقيات-التقنية-والصحة-العامة"/>
    <w:p>
      <w:pPr>
        <w:pStyle w:val="Heading2"/>
      </w:pPr>
      <w:r>
        <w:t xml:space="preserve">خامساً: أخلاقيات التقنية والصحة العامة</w:t>
      </w:r>
    </w:p>
    <w:p>
      <w:pPr>
        <w:pStyle w:val="FirstParagraph"/>
      </w:pPr>
      <w:r>
        <w:t xml:space="preserve">Topol, E. J. (2019).</w:t>
      </w:r>
      <w:r>
        <w:t xml:space="preserve"> </w:t>
      </w:r>
      <w:r>
        <w:rPr>
          <w:iCs/>
          <w:i/>
        </w:rPr>
        <w:t xml:space="preserve">Deep Medicine</w:t>
      </w:r>
      <w:r>
        <w:t xml:space="preserve">. Basic Books, New York.</w:t>
      </w:r>
    </w:p>
    <w:p>
      <w:pPr>
        <w:pStyle w:val="BodyText"/>
      </w:pPr>
      <w:r>
        <w:t xml:space="preserve">Obermeyer, Z., &amp; Emanuel, E. J. (2016). Predicting the Future — Big Data, Machine Learning, and Clinical Medicine.</w:t>
      </w:r>
      <w:r>
        <w:t xml:space="preserve"> </w:t>
      </w:r>
      <w:r>
        <w:rPr>
          <w:iCs/>
          <w:i/>
        </w:rPr>
        <w:t xml:space="preserve">NEJM</w:t>
      </w:r>
      <w:r>
        <w:t xml:space="preserve">, 375(13), 1216–1219.</w:t>
      </w:r>
    </w:p>
    <w:p>
      <w:pPr>
        <w:pStyle w:val="BodyText"/>
      </w:pPr>
      <w:r>
        <w:t xml:space="preserve">WHO. (2021). Ethics and governance of artificial intelligence for health. World Health Organization, Geneva.</w:t>
      </w:r>
    </w:p>
    <w:bookmarkEnd w:id="74"/>
    <w:bookmarkEnd w:id="75"/>
    <w:bookmarkStart w:id="76" w:name="نبذة-عن-المؤلف"/>
    <w:p>
      <w:pPr>
        <w:pStyle w:val="Heading1"/>
      </w:pPr>
      <w:r>
        <w:t xml:space="preserve">نبذة عن المؤلف</w:t>
      </w:r>
    </w:p>
    <w:p>
      <w:pPr>
        <w:pStyle w:val="FirstParagraph"/>
      </w:pPr>
      <w:r>
        <w:t xml:space="preserve">د. فضل محمد الأكوع</w:t>
      </w:r>
    </w:p>
    <w:p>
      <w:r>
        <w:pict>
          <v:rect style="width:0;height:1.5pt" o:hralign="center" o:hrstd="t" o:hr="t"/>
        </w:pict>
      </w:r>
    </w:p>
    <w:p>
      <w:pPr>
        <w:pStyle w:val="FirstParagraph"/>
      </w:pPr>
      <w:r>
        <w:t xml:space="preserve">باحث ومفكر يمني متخصص في العلوم التطبيقية وقضايا الفكر المعاصر. يمزج في كتاباته بين الدقة العلمية ومتطلبات التأمل الإنساني، ساعياً إلى ردم الهوة بين المعرفة التجريبية والبنية الفكرية للقارئ العربي.</w:t>
      </w:r>
    </w:p>
    <w:p>
      <w:pPr>
        <w:pStyle w:val="BodyText"/>
      </w:pPr>
      <w:r>
        <w:t xml:space="preserve">صدرت له عدة مؤلفات في موضوعات تتراوح بين علوم الكون والقرآن الكريم وقضايا العقل والتقنية الحيوية، وقد حرص في جميعها على تقديم المعرفة العلمية بلغة عربية رصينة في متناول المثقف غير المتخصص.</w:t>
      </w:r>
    </w:p>
    <w:p>
      <w:pPr>
        <w:pStyle w:val="BodyText"/>
      </w:pPr>
      <w:r>
        <w:t xml:space="preserve">يؤمن المؤلف بأن العالم العربي في حاجة ماسة إلى أدبيات علمية موثوقة تُقرّب الثورات المعرفية الكبرى من القارئ العربي، وأن الكتاب المتخصص المكتوب بلغة سليمة واضحة هو أحد أهم أدوات التنوير في عصرنا.</w:t>
      </w:r>
    </w:p>
    <w:bookmarkEnd w:id="76"/>
    <w:bookmarkStart w:id="77" w:name="مؤلفات-المؤلف"/>
    <w:p>
      <w:pPr>
        <w:pStyle w:val="Heading1"/>
      </w:pPr>
      <w:r>
        <w:t xml:space="preserve">مؤلفات المؤلف</w:t>
      </w:r>
    </w:p>
    <w:p>
      <w:pPr>
        <w:numPr>
          <w:ilvl w:val="0"/>
          <w:numId w:val="1001"/>
        </w:numPr>
        <w:pStyle w:val="Compact"/>
      </w:pPr>
      <w:r>
        <w:t xml:space="preserve">2026</w:t>
      </w:r>
      <w:r>
        <w:t xml:space="preserve"> </w:t>
      </w:r>
      <w:r>
        <w:t xml:space="preserve">— نهاية الكون في القرآن الكريم — تحليل علمي شامل</w:t>
      </w:r>
    </w:p>
    <w:p>
      <w:pPr>
        <w:numPr>
          <w:ilvl w:val="0"/>
          <w:numId w:val="1001"/>
        </w:numPr>
        <w:pStyle w:val="Compact"/>
      </w:pPr>
      <w:r>
        <w:t xml:space="preserve">2026</w:t>
      </w:r>
      <w:r>
        <w:t xml:space="preserve"> </w:t>
      </w:r>
      <w:r>
        <w:t xml:space="preserve">— الذكاء الاصطناعي وثورة اكتشاف الأدوية — عندما تتحول المعادلات إلى علاج</w:t>
      </w:r>
    </w:p>
    <w:bookmarkEnd w:id="77"/>
    <w:p>
      <w:r>
        <w:pict>
          <v:rect style="width:0;height:1.5pt" o:hralign="center" o:hrstd="t" o:hr="t"/>
        </w:pict>
      </w:r>
    </w:p>
    <w:p>
      <w:pPr>
        <w:pStyle w:val="FirstParagraph"/>
      </w:pPr>
      <w:r>
        <w:t xml:space="preserve">Artificial Intelligence</w:t>
      </w:r>
      <w:r>
        <w:br/>
      </w:r>
      <w:r>
        <w:t xml:space="preserve">and the Drug Discovery Revolution</w:t>
      </w:r>
    </w:p>
    <w:p>
      <w:pPr>
        <w:pStyle w:val="BodyText"/>
      </w:pPr>
      <w:r>
        <w:t xml:space="preserve">When Equations Become Cures</w:t>
      </w:r>
    </w:p>
    <w:p>
      <w:r>
        <w:pict>
          <v:rect style="width:0;height:1.5pt" o:hralign="center" o:hrstd="t" o:hr="t"/>
        </w:pict>
      </w:r>
    </w:p>
    <w:p>
      <w:pPr>
        <w:pStyle w:val="FirstParagraph"/>
      </w:pPr>
      <w:r>
        <w:t xml:space="preserve">English Translation</w:t>
      </w:r>
    </w:p>
    <w:p>
      <w:pPr>
        <w:pStyle w:val="BodyText"/>
      </w:pPr>
      <w:r>
        <w:t xml:space="preserve">Dr. Fadhl Mohammed Al-Akwa'a</w:t>
      </w:r>
    </w:p>
    <w:bookmarkStart w:id="78" w:name="Xe933e571949670d948527e64b2c0cb6f965eb89"/>
    <w:p>
      <w:pPr>
        <w:pStyle w:val="Heading1"/>
      </w:pPr>
      <w:r>
        <w:t xml:space="preserve">Introduction: A New Dawn in Pharmaceutical Science</w:t>
      </w:r>
    </w:p>
    <w:p>
      <w:pPr>
        <w:pStyle w:val="FirstParagraph"/>
      </w:pPr>
      <w:r>
        <w:t xml:space="preserve">In 2012, a researcher at Amgen wrote a bold prediction in an internal document: the pharmaceutical sector would be disrupted by a major technology company by 2018. It did not happen on schedule, but what is unfolding today proves the prediction was not wrong in its essence — it was simply ahead of its time.</w:t>
      </w:r>
    </w:p>
    <w:p>
      <w:pPr>
        <w:pStyle w:val="BodyText"/>
      </w:pPr>
      <w:r>
        <w:t xml:space="preserve">Within two consecutive weeks in 2025, Anthropic announced its acquisition of Coefficient Bio, and Amazon Web Services launched Amazon Bio Discovery. This was no coincidence — it is part of a powerful wave sweeping through medicine and pharmaceuticals, carrying with it more than 40 fundamental biological AI models and agentic intelligence layers enabling biologists to run computational design workflows in plain natural language.</w:t>
      </w:r>
    </w:p>
    <w:p>
      <w:pPr>
        <w:pStyle w:val="BodyText"/>
      </w:pPr>
      <w:r>
        <w:t xml:space="preserve">This book sits at the heart of that quiet revolution. It seeks to understand what is happening, not merely document it — because what is being built now in the data centers of Amazon, Google, and Anthropic will determine the nature of medicines humans take a decade from now.</w:t>
      </w:r>
    </w:p>
    <w:bookmarkEnd w:id="78"/>
    <w:bookmarkStart w:id="83" w:name="X5f591251ec98bfd2c9443eded72ba11362211fd"/>
    <w:p>
      <w:pPr>
        <w:pStyle w:val="Heading1"/>
      </w:pPr>
      <w:r>
        <w:t xml:space="preserve">Chapter One: From the Laboratory to the Cloud</w:t>
      </w:r>
    </w:p>
    <w:bookmarkStart w:id="79" w:name="the-costs-of-traditional-discovery"/>
    <w:p>
      <w:pPr>
        <w:pStyle w:val="Heading2"/>
      </w:pPr>
      <w:r>
        <w:t xml:space="preserve">The Costs of Traditional Discovery</w:t>
      </w:r>
    </w:p>
    <w:p>
      <w:pPr>
        <w:pStyle w:val="FirstParagraph"/>
      </w:pPr>
      <w:r>
        <w:t xml:space="preserve">Discovering a single new drug takes an average of 12–15 years and costs over $2.6 billion. Most of this time and money goes down dead ends: candidate molecules that look promising in vitro but fail in vivo, unexpected side effects, and late-stage clinical trials that collapse after hundreds of millions have been invested.</w:t>
      </w:r>
    </w:p>
    <w:bookmarkEnd w:id="79"/>
    <w:bookmarkStart w:id="80" w:name="the-vast-possibility-space"/>
    <w:p>
      <w:pPr>
        <w:pStyle w:val="Heading2"/>
      </w:pPr>
      <w:r>
        <w:t xml:space="preserve">The Vast Possibility Space</w:t>
      </w:r>
    </w:p>
    <w:p>
      <w:pPr>
        <w:pStyle w:val="FirstParagraph"/>
      </w:pPr>
      <w:r>
        <w:t xml:space="preserve">The fundamental challenge is the immensity of the possibility space: a drug molecule is one specific chemical arrangement chosen from among 10</w:t>
      </w:r>
      <w:r>
        <w:rPr>
          <w:vertAlign w:val="superscript"/>
        </w:rPr>
        <w:t xml:space="preserve">60</w:t>
      </w:r>
      <w:r>
        <w:t xml:space="preserve"> </w:t>
      </w:r>
      <w:r>
        <w:t xml:space="preserve">possible structures — more than atoms in the observable universe. Even the most skilled chemists can only explore a tiny fraction of this space.</w:t>
      </w:r>
    </w:p>
    <w:bookmarkEnd w:id="80"/>
    <w:bookmarkStart w:id="81" w:name="biological-data-the-new-gold"/>
    <w:p>
      <w:pPr>
        <w:pStyle w:val="Heading2"/>
      </w:pPr>
      <w:r>
        <w:t xml:space="preserve">Biological Data: The New Gold</w:t>
      </w:r>
    </w:p>
    <w:p>
      <w:pPr>
        <w:pStyle w:val="FirstParagraph"/>
      </w:pPr>
      <w:r>
        <w:t xml:space="preserve">Companies like Recursion Pharmaceuticals operate robots completing hundreds of thousands of biological experiments weekly, feeding results directly into machine learning models searching for patterns invisible to the human eye. The traditional problem was always data fragmentation — some in proprietary databases, some in scattered research papers, some locked in CRO systems. This fragmentation is precisely what Amazon Bio Discovery aims to solve.</w:t>
      </w:r>
    </w:p>
    <w:bookmarkEnd w:id="81"/>
    <w:bookmarkStart w:id="82" w:name="a-paradigm-shift"/>
    <w:p>
      <w:pPr>
        <w:pStyle w:val="Heading2"/>
      </w:pPr>
      <w:r>
        <w:t xml:space="preserve">A Paradigm Shift</w:t>
      </w:r>
    </w:p>
    <w:p>
      <w:pPr>
        <w:pStyle w:val="FirstParagraph"/>
      </w:pPr>
      <w:r>
        <w:t xml:space="preserve">Traditional drug discovery asked: "Does this molecule work?" AI-powered drug discovery asks: "What is the optimal molecule from among a million possibilities for this specific biological target in this specific genetic context?" — and that is an entirely different question.</w:t>
      </w:r>
    </w:p>
    <w:bookmarkEnd w:id="82"/>
    <w:bookmarkEnd w:id="83"/>
    <w:bookmarkStart w:id="86" w:name="Xa08a5c6e1bb2e597cccfa77ab37c7f2a7c59815"/>
    <w:p>
      <w:pPr>
        <w:pStyle w:val="Heading1"/>
      </w:pPr>
      <w:r>
        <w:t xml:space="preserve">Chapter Two: The Digital Giants Enter Pharmacology</w:t>
      </w:r>
    </w:p>
    <w:bookmarkStart w:id="84" w:name="three-pivotal-players"/>
    <w:p>
      <w:pPr>
        <w:pStyle w:val="Heading2"/>
      </w:pPr>
      <w:r>
        <w:t xml:space="preserve">Three Pivotal Players</w:t>
      </w:r>
    </w:p>
    <w:p>
      <w:pPr>
        <w:pStyle w:val="FirstParagraph"/>
      </w:pPr>
      <w:r>
        <w:rPr>
          <w:bCs/>
          <w:b/>
        </w:rPr>
        <w:t xml:space="preserve">Google</w:t>
      </w:r>
      <w:r>
        <w:t xml:space="preserve"> </w:t>
      </w:r>
      <w:r>
        <w:t xml:space="preserve">chose a path grounded in deep scientific research. Its DeepMind laboratory produced AlphaFold — perhaps the greatest computational biological achievement in history. Isomorphic Labs was established as its commercial arm, with partnerships with Novartis and Eli Lilly totaling over $3 billion.</w:t>
      </w:r>
    </w:p>
    <w:p>
      <w:pPr>
        <w:pStyle w:val="BodyText"/>
      </w:pPr>
      <w:r>
        <w:rPr>
          <w:bCs/>
          <w:b/>
        </w:rPr>
        <w:t xml:space="preserve">Anthropic</w:t>
      </w:r>
      <w:r>
        <w:t xml:space="preserve"> </w:t>
      </w:r>
      <w:r>
        <w:t xml:space="preserve">took a different angle by acquiring Coefficient Bio, betting that generative AI — the same style that writes texts — will be capable of "writing" drug molecular sequences.</w:t>
      </w:r>
    </w:p>
    <w:p>
      <w:pPr>
        <w:pStyle w:val="BodyText"/>
      </w:pPr>
      <w:r>
        <w:rPr>
          <w:bCs/>
          <w:b/>
        </w:rPr>
        <w:t xml:space="preserve">Amazon</w:t>
      </w:r>
      <w:r>
        <w:t xml:space="preserve"> </w:t>
      </w:r>
      <w:r>
        <w:t xml:space="preserve">entered in its characteristic style: not fundamental research, but a platform. Just as AWS powers half the internet, Amazon Bio Discovery aims to power half the pharmaceutical industry — and 19 of the world's top 20 pharma companies already run on Amazon's cloud.</w:t>
      </w:r>
    </w:p>
    <w:bookmarkEnd w:id="84"/>
    <w:bookmarkStart w:id="85" w:name="the-computational-skills-gap"/>
    <w:p>
      <w:pPr>
        <w:pStyle w:val="Heading2"/>
      </w:pPr>
      <w:r>
        <w:t xml:space="preserve">The Computational Skills Gap</w:t>
      </w:r>
    </w:p>
    <w:p>
      <w:pPr>
        <w:pStyle w:val="FirstParagraph"/>
      </w:pPr>
      <w:r>
        <w:t xml:space="preserve">AWS VP Rajiv Chopra stated it directly: "The explosion of biology AI models has made computational biologists the bottleneck." Amazon's answer is an abstraction layer putting those models within reach of any biologist regardless of programming expertise.</w:t>
      </w:r>
    </w:p>
    <w:bookmarkEnd w:id="85"/>
    <w:bookmarkEnd w:id="86"/>
    <w:bookmarkStart w:id="91" w:name="X89e58110059cd8eade8877605a3ba3c4e9748ef"/>
    <w:p>
      <w:pPr>
        <w:pStyle w:val="Heading1"/>
      </w:pPr>
      <w:r>
        <w:t xml:space="preserve">Chapter Three: Amazon Bio Discovery — A Transformative Platform</w:t>
      </w:r>
    </w:p>
    <w:bookmarkStart w:id="87" w:name="the-architecture"/>
    <w:p>
      <w:pPr>
        <w:pStyle w:val="Heading2"/>
      </w:pPr>
      <w:r>
        <w:t xml:space="preserve">The Architecture</w:t>
      </w:r>
    </w:p>
    <w:p>
      <w:pPr>
        <w:pStyle w:val="FirstParagraph"/>
      </w:pPr>
      <w:r>
        <w:t xml:space="preserve">At its core, the platform houses 40+ specialized biological AI models: protein structure prediction, antibody design, small molecule property prediction, toxicity prediction, and genomic sequence analysis. Above this sits an AI agent that translates high-context requests into sequences of calls to appropriate models.</w:t>
      </w:r>
    </w:p>
    <w:bookmarkEnd w:id="87"/>
    <w:bookmarkStart w:id="88" w:name="integrated-cro-partners"/>
    <w:p>
      <w:pPr>
        <w:pStyle w:val="Heading2"/>
      </w:pPr>
      <w:r>
        <w:t xml:space="preserve">Integrated CRO Partners</w:t>
      </w:r>
    </w:p>
    <w:p>
      <w:pPr>
        <w:pStyle w:val="FirstParagraph"/>
      </w:pPr>
      <w:r>
        <w:t xml:space="preserve">Twist Bioscience and Ginkgo Bioworks represent a new model: the connected digital-physical laboratory. When the AI designs a candidate antibody sequence, it can be sent directly to Twist Bioscience for physical synthesis, then tested, with results flowing automatically back into the next design cycle. Transparent pricing and turnaround times are visible directly in the interface — transforming contract biochemistry from an opaque network into an organized transparent marketplace.</w:t>
      </w:r>
    </w:p>
    <w:bookmarkEnd w:id="88"/>
    <w:bookmarkStart w:id="89" w:name="X6be41d70cd657cd74ab859565f62f0cb46d5a56"/>
    <w:p>
      <w:pPr>
        <w:pStyle w:val="Heading2"/>
      </w:pPr>
      <w:r>
        <w:t xml:space="preserve">The Memorial Sloan Kettering Collaboration</w:t>
      </w:r>
    </w:p>
    <w:p>
      <w:pPr>
        <w:pStyle w:val="FirstParagraph"/>
      </w:pPr>
      <w:r>
        <w:t xml:space="preserve">The platform generated approximately 300,000 novel antibody molecules and narrowed them to 100,000 candidates for lab testing — in weeks instead of months. The necessary caveat: computational generation is not drug discovery. The gap between a candidate antibody and an approved drug remains vast.</w:t>
      </w:r>
    </w:p>
    <w:bookmarkEnd w:id="89"/>
    <w:bookmarkStart w:id="90" w:name="early-adopters"/>
    <w:p>
      <w:pPr>
        <w:pStyle w:val="Heading2"/>
      </w:pPr>
      <w:r>
        <w:t xml:space="preserve">Early Adopters</w:t>
      </w:r>
    </w:p>
    <w:p>
      <w:pPr>
        <w:pStyle w:val="FirstParagraph"/>
      </w:pPr>
      <w:r>
        <w:t xml:space="preserve">Bayer, the Broad Institute of MIT and Harvard, and Voyager Therapeutics are among the early adopters — a diverse set spanning a global corporation, an academic institute, and a specialized startup, indicating the platform targets a wide range of use cases.</w:t>
      </w:r>
    </w:p>
    <w:bookmarkEnd w:id="90"/>
    <w:bookmarkEnd w:id="91"/>
    <w:bookmarkStart w:id="95" w:name="X47084278570c331ef53787fda179e10f8de3f90"/>
    <w:p>
      <w:pPr>
        <w:pStyle w:val="Heading1"/>
      </w:pPr>
      <w:r>
        <w:t xml:space="preserve">Chapter Four: AlphaFold and the Age of Protein Folding</w:t>
      </w:r>
    </w:p>
    <w:bookmarkStart w:id="92" w:name="the-intractable-problem"/>
    <w:p>
      <w:pPr>
        <w:pStyle w:val="Heading2"/>
      </w:pPr>
      <w:r>
        <w:t xml:space="preserve">The "Intractable" Problem</w:t>
      </w:r>
    </w:p>
    <w:p>
      <w:pPr>
        <w:pStyle w:val="FirstParagraph"/>
      </w:pPr>
      <w:r>
        <w:t xml:space="preserve">For over fifty years, the protein folding problem was one of biology's greatest open challenges. A protein's three-dimensional structure determines its function — and determining that structure experimentally could take years and cost millions.</w:t>
      </w:r>
    </w:p>
    <w:bookmarkEnd w:id="92"/>
    <w:bookmarkStart w:id="93" w:name="the-2020-breakthrough"/>
    <w:p>
      <w:pPr>
        <w:pStyle w:val="Heading2"/>
      </w:pPr>
      <w:r>
        <w:t xml:space="preserve">The 2020 Breakthrough</w:t>
      </w:r>
    </w:p>
    <w:p>
      <w:pPr>
        <w:pStyle w:val="FirstParagraph"/>
      </w:pPr>
      <w:r>
        <w:t xml:space="preserve">In 2020, DeepMind's AlphaFold2 won the CASP14 competition by an unprecedented margin, achieving prediction accuracy rivaling experimental measurements. In 2022, DeepMind released a database of 200 million protein structures — surpassing everything humans had experimentally accumulated over five decades — freely to researchers worldwide.</w:t>
      </w:r>
    </w:p>
    <w:bookmarkEnd w:id="93"/>
    <w:bookmarkStart w:id="94" w:name="open-vs.-closed-models"/>
    <w:p>
      <w:pPr>
        <w:pStyle w:val="Heading2"/>
      </w:pPr>
      <w:r>
        <w:t xml:space="preserve">Open vs. Closed Models</w:t>
      </w:r>
    </w:p>
    <w:p>
      <w:pPr>
        <w:pStyle w:val="FirstParagraph"/>
      </w:pPr>
      <w:r>
        <w:t xml:space="preserve">AlphaFold 3 added the ability to model interactions between proteins, small molecules, and nucleic acids simultaneously. But Google's restrictions on distributing its model weights sparked significant controversy. ESMFold, OpenFold, and RoseTTAFold2 emerged as open-source alternatives — and this race between open and closed models will shape the future of drug discovery.</w:t>
      </w:r>
    </w:p>
    <w:bookmarkEnd w:id="94"/>
    <w:bookmarkEnd w:id="95"/>
    <w:bookmarkStart w:id="101" w:name="X705e3e353e7eae1497d036107e44f3103c05430"/>
    <w:p>
      <w:pPr>
        <w:pStyle w:val="Heading1"/>
      </w:pPr>
      <w:r>
        <w:t xml:space="preserve">Chapter Five: Coefficient Bio — Anthropic's Bet on the Future of Medicine</w:t>
      </w:r>
    </w:p>
    <w:bookmarkStart w:id="96" w:name="who-is-coefficient-bio"/>
    <w:p>
      <w:pPr>
        <w:pStyle w:val="Heading2"/>
      </w:pPr>
      <w:r>
        <w:t xml:space="preserve">Who Is Coefficient Bio?</w:t>
      </w:r>
    </w:p>
    <w:p>
      <w:pPr>
        <w:pStyle w:val="FirstParagraph"/>
      </w:pPr>
      <w:r>
        <w:t xml:space="preserve">To understand what Anthropic acquired, one must first understand the problem Coefficient Bio was founded to solve. The company was established in 2023 by a team of academic scientists and AI experts from institutions including MIT, Caltech, and the Broad Institute, driven by a specific thesis: large language models (LLMs) are not inherently designed to handle biological sequences — and this is a fundamental shortcoming that hampers the use of artificial intelligence in actual drug discovery.</w:t>
      </w:r>
    </w:p>
    <w:p>
      <w:pPr>
        <w:pStyle w:val="BodyText"/>
      </w:pPr>
      <w:r>
        <w:t xml:space="preserve">The founding principle emerges from a sharp observation: the genetic sequence of a protein (the chain of amino acids) structurally resembles a "language" with hidden grammatical rules — units arranged in a context that determines meaning (structure and function). Large language models that learned these implicit rules from human text can be retrained on "protein texts" to learn the same rules in molecular language. This is the essence of Protein Language Models (PLMs).</w:t>
      </w:r>
    </w:p>
    <w:bookmarkEnd w:id="96"/>
    <w:bookmarkStart w:id="97" w:name="X0294c634624b0c9215c068786f9de8f25b4d2af"/>
    <w:p>
      <w:pPr>
        <w:pStyle w:val="Heading2"/>
      </w:pPr>
      <w:r>
        <w:t xml:space="preserve">The Gap They Targeted: Between Model and Experiment</w:t>
      </w:r>
    </w:p>
    <w:p>
      <w:pPr>
        <w:pStyle w:val="FirstParagraph"/>
      </w:pPr>
      <w:r>
        <w:t xml:space="preserve">The technical gap that Coefficient Bio focused on can be described precisely. When a biological AI model generates a candidate sequence — whether a protein, an antibody, or an enzyme — that sequence passes through a chain of experimental validation steps: expression, purification, and biological activity assays. Each step takes time and generates data.</w:t>
      </w:r>
    </w:p>
    <w:p>
      <w:pPr>
        <w:pStyle w:val="BodyText"/>
      </w:pPr>
      <w:r>
        <w:t xml:space="preserve">The problem is that most available AI models cannot "understand" this experimental data retroactively — they cannot systematically absorb experimental results to improve the next prediction. The loop breaks at the closure point. Coefficient Bio designed its platform to be that closed-loop system, where every experimental result directly feeds back into the model to improve the next round of design.</w:t>
      </w:r>
    </w:p>
    <w:bookmarkEnd w:id="97"/>
    <w:bookmarkStart w:id="98" w:name="X889ed2ef3d6e3082f27e0080dc0159ad7cd4bc5"/>
    <w:p>
      <w:pPr>
        <w:pStyle w:val="Heading2"/>
      </w:pPr>
      <w:r>
        <w:t xml:space="preserve">The Technology: Specialized Biological Foundation Models</w:t>
      </w:r>
    </w:p>
    <w:p>
      <w:pPr>
        <w:pStyle w:val="FirstParagraph"/>
      </w:pPr>
      <w:r>
        <w:t xml:space="preserve">Coefficient Bio does not build a single model but a suite of specialized models that complement each other. The first model specializes in functional protein understanding: trained on massive databases like UniProt (which contains over 250 million protein sequences) and on functional activity data from hundreds of thousands of enzymes and receptors. This model represents the "general understanding" of molecular biology.</w:t>
      </w:r>
    </w:p>
    <w:p>
      <w:pPr>
        <w:pStyle w:val="BodyText"/>
      </w:pPr>
      <w:r>
        <w:t xml:space="preserve">The second model specializes in antibody design — an exceptional field in its own right. Antibodies follow special sequential rules: specific regions called Complementarity Determining Regions (CDRs) determine their binding to a target, while other regions ensure stability and immune tolerance. Coefficient's specialized antibody model learns these complex rules so that its output recommendations have far higher practical manufacturability and viability in the wet lab.</w:t>
      </w:r>
    </w:p>
    <w:p>
      <w:pPr>
        <w:pStyle w:val="BodyText"/>
      </w:pPr>
      <w:r>
        <w:t xml:space="preserve">The third model is the Property Prediction Model: it predicts critical traits such as solubility, thermal stability, target binding affinity, and cellular toxicity — before any laboratory experiment. This "computational filter" dramatically reduces the number of candidates sent to physical testing, saving enormous time and cost.</w:t>
      </w:r>
    </w:p>
    <w:bookmarkEnd w:id="98"/>
    <w:bookmarkStart w:id="99" w:name="X074cb44392f8bad08d06bc551f69f143a9a3820"/>
    <w:p>
      <w:pPr>
        <w:pStyle w:val="Heading2"/>
      </w:pPr>
      <w:r>
        <w:t xml:space="preserve">Why Anthropic Acquired Coefficient Bio Specifically</w:t>
      </w:r>
    </w:p>
    <w:p>
      <w:pPr>
        <w:pStyle w:val="FirstParagraph"/>
      </w:pPr>
      <w:r>
        <w:t xml:space="preserve">Understanding the strategic logic of this acquisition requires understanding what Anthropic possesses and what complements it. Anthropic owns Claude — one of the world's most capable large language models — and holds a deep philosophy of building safe, interpretable AI. What it lacked was specialized expertise in applied molecular biology and biological foundation models.</w:t>
      </w:r>
    </w:p>
    <w:p>
      <w:pPr>
        <w:pStyle w:val="BodyText"/>
      </w:pPr>
      <w:r>
        <w:t xml:space="preserve">Coefficient Bio carries precisely what fills that gap: a scientific team steeped in molecular biology, specialized biological foundation models, and most importantly — a design philosophy that mirrors Anthropic's own: interpretability, safety, and accountability. Coefficient had emphasized from its founding the building of models "whose decisions can be explained" — a concern shared with Anthropic in the context of general AI development.</w:t>
      </w:r>
    </w:p>
    <w:p>
      <w:pPr>
        <w:pStyle w:val="BodyText"/>
      </w:pPr>
      <w:r>
        <w:t xml:space="preserve">The deeper shared bet is this: general large language models like Claude can — with appropriate training and correct guidance — become "virtual biological scientists" capable of engaging with experimental data, proposing next experiments, and interpreting results in a continuous loop. This differs fundamentally from narrow drug discovery models that do one thing well. The vision is an AI collaborator that thinks across the entire drug discovery pipeline, not merely one step within it.</w:t>
      </w:r>
    </w:p>
    <w:bookmarkEnd w:id="99"/>
    <w:bookmarkStart w:id="100" w:name="Xb96c3cedad71ff3912e568c8b1f75098b31acc8"/>
    <w:p>
      <w:pPr>
        <w:pStyle w:val="Heading2"/>
      </w:pPr>
      <w:r>
        <w:t xml:space="preserve">What This Acquisition Means for the Patient</w:t>
      </w:r>
    </w:p>
    <w:p>
      <w:pPr>
        <w:pStyle w:val="FirstParagraph"/>
      </w:pPr>
      <w:r>
        <w:t xml:space="preserve">In the near term (3-5 years), the Anthropic-Coefficient Bio alliance is expected to yield tools that allow biology scientists without computational specialization to design proteins and antibodies using a natural conversational interface with Claude — they describe the biological target in their own language, and the system translates that into candidate molecular sequences. This represents a democratization of drug discovery.</w:t>
      </w:r>
    </w:p>
    <w:p>
      <w:pPr>
        <w:pStyle w:val="BodyText"/>
      </w:pPr>
      <w:r>
        <w:t xml:space="preserve">In the medium term (5-10 years), the ability to fine-tune biological foundation models on an individual patient's data — their genetic profile, their proteomic information, their response to prior treatments — could enable what is called True Personalized Medicine: treatments designed precisely for a person's biology, not for a disease as a general category.</w:t>
      </w:r>
    </w:p>
    <w:p>
      <w:pPr>
        <w:pStyle w:val="BodyText"/>
      </w:pPr>
      <w:r>
        <w:t xml:space="preserve">The greatest challenge remains: clinical trials. However capable the computational model becomes, careful laboratory and clinical validation cannot be replaced. The real impact of the acquisition will be measured by how many drugs generated from this alliance reach clinical trials in the coming years — a bet that remains open, but one that the world's most safety-focused AI company has staked real capital on.</w:t>
      </w:r>
    </w:p>
    <w:bookmarkEnd w:id="100"/>
    <w:bookmarkEnd w:id="101"/>
    <w:bookmarkStart w:id="105" w:name="X5e5225d1e8baecc21992fe30a503d21970a82ad"/>
    <w:p>
      <w:pPr>
        <w:pStyle w:val="Heading1"/>
      </w:pPr>
      <w:r>
        <w:t xml:space="preserve">Chapter Six: Antibodies and Designed Molecules</w:t>
      </w:r>
    </w:p>
    <w:bookmarkStart w:id="102" w:name="generative-design"/>
    <w:p>
      <w:pPr>
        <w:pStyle w:val="Heading2"/>
      </w:pPr>
      <w:r>
        <w:t xml:space="preserve">Generative Design</w:t>
      </w:r>
    </w:p>
    <w:p>
      <w:pPr>
        <w:pStyle w:val="FirstParagraph"/>
      </w:pPr>
      <w:r>
        <w:t xml:space="preserve">Rather than selecting from existing compounds, generative AI models produce entirely new molecular sequences theoretically optimized for binding to a desired target, then filter by immunological tolerability, producibility, stability, and absence of cross-reactions. This enabled generating 300,000 novel antibody candidates in weeks — impossible a decade ago.</w:t>
      </w:r>
    </w:p>
    <w:bookmarkEnd w:id="102"/>
    <w:bookmarkStart w:id="103" w:name="the-closed-feedback-loop"/>
    <w:p>
      <w:pPr>
        <w:pStyle w:val="Heading2"/>
      </w:pPr>
      <w:r>
        <w:t xml:space="preserve">The Closed Feedback Loop</w:t>
      </w:r>
    </w:p>
    <w:p>
      <w:pPr>
        <w:pStyle w:val="FirstParagraph"/>
      </w:pPr>
      <w:r>
        <w:t xml:space="preserve">What makes the platform unique is not just its algorithms but its integration with physical CRO partners. When the AI designs a DNA sequence encoding a candidate antibody, the platform sends a synthesis request to Twist Bioscience directly. After testing, results flow back to update models. This closed loop between computational design, physical experimentation, and automated retraining is the compounding advantage.</w:t>
      </w:r>
    </w:p>
    <w:bookmarkEnd w:id="103"/>
    <w:bookmarkStart w:id="104" w:name="unsolved-challenges"/>
    <w:p>
      <w:pPr>
        <w:pStyle w:val="Heading2"/>
      </w:pPr>
      <w:r>
        <w:t xml:space="preserve">Unsolved Challenges</w:t>
      </w:r>
    </w:p>
    <w:p>
      <w:pPr>
        <w:pStyle w:val="FirstParagraph"/>
      </w:pPr>
      <w:r>
        <w:t xml:space="preserve">Computational prediction remains approximate. Toxicity modeling — predicting whether a compound will damage the liver, kidneys, or heart — remains one of the most difficult challenges in biological modeling. Actual laboratory testing remains indispensable.</w:t>
      </w:r>
    </w:p>
    <w:bookmarkEnd w:id="104"/>
    <w:bookmarkEnd w:id="105"/>
    <w:bookmarkStart w:id="108" w:name="chapter-seven-the-feedback-loop"/>
    <w:p>
      <w:pPr>
        <w:pStyle w:val="Heading1"/>
      </w:pPr>
      <w:r>
        <w:t xml:space="preserve">Chapter Seven: The Feedback Loop</w:t>
      </w:r>
    </w:p>
    <w:bookmarkStart w:id="106" w:name="the-compounding-learning-principle"/>
    <w:p>
      <w:pPr>
        <w:pStyle w:val="Heading2"/>
      </w:pPr>
      <w:r>
        <w:t xml:space="preserve">The Compounding Learning Principle</w:t>
      </w:r>
    </w:p>
    <w:p>
      <w:pPr>
        <w:pStyle w:val="FirstParagraph"/>
      </w:pPr>
      <w:r>
        <w:t xml:space="preserve">Every experiment — successful or failed — is recorded with its full context: molecular sequence, experimental conditions, biological target, and quantitative result. Failure itself is valuable data. When a candidate antibody fails to bind its target, the model learns "what doesn't work" in this context — information that informs the next design round.</w:t>
      </w:r>
    </w:p>
    <w:bookmarkEnd w:id="106"/>
    <w:bookmarkStart w:id="107" w:name="toward-exponential-acceleration"/>
    <w:p>
      <w:pPr>
        <w:pStyle w:val="Heading2"/>
      </w:pPr>
      <w:r>
        <w:t xml:space="preserve">Toward Exponential Acceleration</w:t>
      </w:r>
    </w:p>
    <w:p>
      <w:pPr>
        <w:pStyle w:val="FirstParagraph"/>
      </w:pPr>
      <w:r>
        <w:t xml:space="preserve">If the integrated feedback loop succeeds, acceleration will not be linear but exponential. Each experimental round generates data that improves the next, and improvement in the next generates better data. Whoever builds this loop first — and ensures their data stays connected — will occupy an unrivaled competitive position. This is precisely what Amazon, Google, and Anthropic are betting on.</w:t>
      </w:r>
    </w:p>
    <w:bookmarkEnd w:id="107"/>
    <w:bookmarkEnd w:id="108"/>
    <w:bookmarkStart w:id="112" w:name="chapter-eight-ethics-of-ai-in-medicine"/>
    <w:p>
      <w:pPr>
        <w:pStyle w:val="Heading1"/>
      </w:pPr>
      <w:r>
        <w:t xml:space="preserve">Chapter Eight: Ethics of AI in Medicine</w:t>
      </w:r>
    </w:p>
    <w:bookmarkStart w:id="109" w:name="who-controls-the-data"/>
    <w:p>
      <w:pPr>
        <w:pStyle w:val="Heading2"/>
      </w:pPr>
      <w:r>
        <w:t xml:space="preserve">Who Controls the Data?</w:t>
      </w:r>
    </w:p>
    <w:p>
      <w:pPr>
        <w:pStyle w:val="FirstParagraph"/>
      </w:pPr>
      <w:r>
        <w:t xml:space="preserve">When a pharmaceutical company develops a drug using Amazon's platform and stores experimental data there — what happens to that data? Pharmaceutical data represents enormous investments and often constitutes the most valuable intellectual property a company holds. Transferring it to a cloud environment under non-transparent service agreements carries real risks.</w:t>
      </w:r>
    </w:p>
    <w:bookmarkEnd w:id="109"/>
    <w:bookmarkStart w:id="110" w:name="who-benefits"/>
    <w:p>
      <w:pPr>
        <w:pStyle w:val="Heading2"/>
      </w:pPr>
      <w:r>
        <w:t xml:space="preserve">Who Benefits?</w:t>
      </w:r>
    </w:p>
    <w:p>
      <w:pPr>
        <w:pStyle w:val="FirstParagraph"/>
      </w:pPr>
      <w:r>
        <w:t xml:space="preserve">If these technologies reduce costs and shorten timelines, who will access the resulting medicines? The optimistic answer: development of drugs for neglected diseases previously not economically viable. The pessimistic answer: major companies focusing even more on profitable diseases. The real answer is determined by policy and regulatory decisions that AI alone does not make.</w:t>
      </w:r>
    </w:p>
    <w:bookmarkEnd w:id="110"/>
    <w:bookmarkStart w:id="111" w:name="scientific-transparency"/>
    <w:p>
      <w:pPr>
        <w:pStyle w:val="Heading2"/>
      </w:pPr>
      <w:r>
        <w:t xml:space="preserve">Scientific Transparency</w:t>
      </w:r>
    </w:p>
    <w:p>
      <w:pPr>
        <w:pStyle w:val="FirstParagraph"/>
      </w:pPr>
      <w:r>
        <w:t xml:space="preserve">Science rests on reproducibility and verifiability. When research results depend on closed proprietary AI models that the scientific community cannot inspect, a fundamental pillar of scientific trust is threatened. Demands for publishing model weights, releasing training datasets, and independent performance verification are legitimate and necessary.</w:t>
      </w:r>
    </w:p>
    <w:bookmarkEnd w:id="111"/>
    <w:bookmarkEnd w:id="112"/>
    <w:bookmarkStart w:id="113" w:name="conclusion"/>
    <w:p>
      <w:pPr>
        <w:pStyle w:val="Heading1"/>
      </w:pPr>
      <w:r>
        <w:t xml:space="preserve">Conclusion</w:t>
      </w:r>
    </w:p>
    <w:p>
      <w:pPr>
        <w:pStyle w:val="FirstParagraph"/>
      </w:pPr>
      <w:r>
        <w:t xml:space="preserve">We return to the starting point, but from a wider angle. The Amgen researcher who predicted in 2012 that technology would redraw the pharmaceutical industry's map was not wrong — he was a decade ahead of his time. What began as an apparently exaggerated prophecy is today taking shape with rapidity that is simultaneously exciting and unsettling.</w:t>
      </w:r>
    </w:p>
    <w:p>
      <w:pPr>
        <w:pStyle w:val="BodyText"/>
      </w:pPr>
      <w:r>
        <w:t xml:space="preserve">Artificial intelligence is genuinely and demonstrably reshaping the early discovery phase. The subsequent stages — clinical trials, regulatory approval, human access — are still governed by far more complex and human factors.</w:t>
      </w:r>
    </w:p>
    <w:p>
      <w:pPr>
        <w:pStyle w:val="BodyText"/>
      </w:pPr>
      <w:r>
        <w:t xml:space="preserve">What we need is not only better algorithms, but better wisdom in using them: legal frameworks regulating pharmaceutical data ownership, pricing policies that deliver medicines to those who need them, and transparent research practices keeping the scientific model of independent verification alive.</w:t>
      </w:r>
    </w:p>
    <w:p>
      <w:pPr>
        <w:pStyle w:val="BodyText"/>
      </w:pPr>
      <w:r>
        <w:t xml:space="preserve">The algorithm is no substitute for the scientist's conscience. The speed of discovery is meaningless if it does not translate into healing within everyone's reach.</w:t>
      </w:r>
    </w:p>
    <w:p>
      <w:pPr>
        <w:pStyle w:val="BodyText"/>
      </w:pPr>
      <w:r>
        <w:t xml:space="preserve">And God Knows Best.</w:t>
      </w:r>
    </w:p>
    <w:bookmarkEnd w:id="113"/>
    <w:bookmarkStart w:id="114" w:name="about-the-author"/>
    <w:p>
      <w:pPr>
        <w:pStyle w:val="Heading1"/>
      </w:pPr>
      <w:r>
        <w:t xml:space="preserve">About the Author</w:t>
      </w:r>
    </w:p>
    <w:p>
      <w:pPr>
        <w:pStyle w:val="FirstParagraph"/>
      </w:pPr>
      <w:r>
        <w:t xml:space="preserve">Dr. Fadhl Mohammed Al-Akwa'a</w:t>
      </w:r>
    </w:p>
    <w:p>
      <w:r>
        <w:pict>
          <v:rect style="width:0;height:1.5pt" o:hralign="center" o:hrstd="t" o:hr="t"/>
        </w:pict>
      </w:r>
    </w:p>
    <w:p>
      <w:pPr>
        <w:pStyle w:val="FirstParagraph"/>
      </w:pPr>
      <w:r>
        <w:t xml:space="preserve">A Yemeni researcher and thinker specializing in applied sciences and contemporary intellectual issues. In his writings, he combines scientific precision with humanistic reflection, striving to bridge the gap between empirical knowledge and the intellectual framework of the Arab reader.</w:t>
      </w:r>
    </w:p>
    <w:p>
      <w:pPr>
        <w:pStyle w:val="BodyText"/>
      </w:pPr>
      <w:r>
        <w:t xml:space="preserve">He has published several works on topics ranging from cosmology and the Holy Quran to questions of the mind and biotechnology, consistently presenting scientific knowledge in refined Arabic accessible to the non-specialist intellectual.</w:t>
      </w:r>
    </w:p>
    <w:p>
      <w:pPr>
        <w:pStyle w:val="BodyText"/>
      </w:pPr>
      <w:r>
        <w:t xml:space="preserve">The author believes the Arab world urgently needs credible scientific literature bringing major knowledge revolutions closer to the Arab reader, and that a specialized book written in clear, correct language is one of the most important tools of enlightenment in our era.</w:t>
      </w:r>
    </w:p>
    <w:bookmarkEnd w:id="114"/>
    <w:bookmarkStart w:id="115" w:name="authors-publications"/>
    <w:p>
      <w:pPr>
        <w:pStyle w:val="Heading1"/>
      </w:pPr>
      <w:r>
        <w:t xml:space="preserve">Author's Publications</w:t>
      </w:r>
    </w:p>
    <w:p>
      <w:pPr>
        <w:numPr>
          <w:ilvl w:val="0"/>
          <w:numId w:val="1002"/>
        </w:numPr>
        <w:pStyle w:val="Compact"/>
      </w:pPr>
      <w:r>
        <w:t xml:space="preserve">2026</w:t>
      </w:r>
      <w:r>
        <w:t xml:space="preserve"> </w:t>
      </w:r>
      <w:r>
        <w:t xml:space="preserve">— The End of the Universe in the Holy Quran — A Comprehensive Scientific Analysis</w:t>
      </w:r>
      <w:r>
        <w:br/>
      </w:r>
      <w:r>
        <w:rPr>
          <w:iCs/>
          <w:i/>
        </w:rPr>
        <w:t xml:space="preserve">نهاية الكون في القرآن الكريم — تحليل علمي شامل</w:t>
      </w:r>
    </w:p>
    <w:p>
      <w:pPr>
        <w:numPr>
          <w:ilvl w:val="0"/>
          <w:numId w:val="1002"/>
        </w:numPr>
        <w:pStyle w:val="Compact"/>
      </w:pPr>
      <w:r>
        <w:t xml:space="preserve">2026</w:t>
      </w:r>
      <w:r>
        <w:t xml:space="preserve"> </w:t>
      </w:r>
      <w:r>
        <w:t xml:space="preserve">— Artificial Intelligence and the Drug Discovery Revolution — When Equations Become Cures</w:t>
      </w:r>
      <w:r>
        <w:br/>
      </w:r>
      <w:r>
        <w:rPr>
          <w:iCs/>
          <w:i/>
        </w:rPr>
        <w:t xml:space="preserve">الذكاء الاصطناعي وثورة اكتشاف الأدوية — عندما تتحول المعادلات إلى علاج</w:t>
      </w:r>
    </w:p>
    <w:bookmarkEnd w:id="115"/>
    <w:p>
      <w:pPr>
        <w:pStyle w:val="FirstParagraph"/>
      </w:pPr>
      <w:r>
        <w:drawing>
          <wp:inline>
            <wp:extent cx="5334000" cy="7548282"/>
            <wp:effectExtent b="0" l="0" r="0" t="0"/>
            <wp:docPr descr="back cover" title="" id="117" name="Picture"/>
            <a:graphic>
              <a:graphicData uri="http://schemas.openxmlformats.org/drawingml/2006/picture">
                <pic:pic>
                  <pic:nvPicPr>
                    <pic:cNvPr descr="file:///home/claude/book_work2/cover_back.png" id="118" name="Picture"/>
                    <pic:cNvPicPr>
                      <a:picLocks noChangeArrowheads="1" noChangeAspect="1"/>
                    </pic:cNvPicPr>
                  </pic:nvPicPr>
                  <pic:blipFill>
                    <a:blip r:embed="rId116"/>
                    <a:stretch>
                      <a:fillRect/>
                    </a:stretch>
                  </pic:blipFill>
                  <pic:spPr bwMode="auto">
                    <a:xfrm>
                      <a:off x="0" y="0"/>
                      <a:ext cx="5334000" cy="7548282"/>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6" Target="media/rId116.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الذكاء الاصطناعي وثورة اكتشاف الأدوية</dc:title>
  <dc:creator/>
  <dc:language>ar</dc:language>
  <cp:keywords/>
  <dcterms:created xsi:type="dcterms:W3CDTF">2026-04-17T12:13:19Z</dcterms:created>
  <dcterms:modified xsi:type="dcterms:W3CDTF">2026-04-17T12:13:19Z</dcterms:modified>
</cp:coreProperties>
</file>

<file path=docProps/custom.xml><?xml version="1.0" encoding="utf-8"?>
<Properties xmlns="http://schemas.openxmlformats.org/officeDocument/2006/custom-properties" xmlns:vt="http://schemas.openxmlformats.org/officeDocument/2006/docPropsVTypes"/>
</file>