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1.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67688"/>
            <wp:effectExtent b="0" l="0" r="0" t="0"/>
            <wp:docPr descr="cover" title="" id="21" name="Picture"/>
            <a:graphic>
              <a:graphicData uri="http://schemas.openxmlformats.org/drawingml/2006/picture">
                <pic:pic>
                  <pic:nvPicPr>
                    <pic:cNvPr descr="/home/claude/front_cover.png" id="22" name="Picture"/>
                    <pic:cNvPicPr>
                      <a:picLocks noChangeArrowheads="1" noChangeAspect="1"/>
                    </pic:cNvPicPr>
                  </pic:nvPicPr>
                  <pic:blipFill>
                    <a:blip r:embed="rId20"/>
                    <a:stretch>
                      <a:fillRect/>
                    </a:stretch>
                  </pic:blipFill>
                  <pic:spPr bwMode="auto">
                    <a:xfrm>
                      <a:off x="0" y="0"/>
                      <a:ext cx="5334000" cy="7567688"/>
                    </a:xfrm>
                    <a:prstGeom prst="rect">
                      <a:avLst/>
                    </a:prstGeom>
                    <a:noFill/>
                    <a:ln w="9525">
                      <a:noFill/>
                      <a:headEnd/>
                      <a:tailEnd/>
                    </a:ln>
                  </pic:spPr>
                </pic:pic>
              </a:graphicData>
            </a:graphic>
          </wp:inline>
        </w:drawing>
      </w:r>
    </w:p>
    <w:p>
      <w:pPr>
        <w:pStyle w:val="BodyText"/>
      </w:pPr>
      <w:r>
        <w:t xml:space="preserve">العملات الرقمية</w:t>
      </w:r>
    </w:p>
    <w:p>
      <w:pPr>
        <w:pStyle w:val="BodyText"/>
      </w:pPr>
      <w:r>
        <w:t xml:space="preserve">دليل شامل للمبتدئين</w:t>
      </w:r>
    </w:p>
    <w:p>
      <w:pPr>
        <w:pStyle w:val="BodyText"/>
      </w:pPr>
      <w:r>
        <w:t xml:space="preserve">من البيتكوين إلى عالم البلوكتشين</w:t>
      </w:r>
    </w:p>
    <w:p>
      <w:r>
        <w:pict>
          <v:rect style="width:0;height:1.5pt" o:hralign="center" o:hrstd="t" o:hr="t"/>
        </w:pict>
      </w:r>
    </w:p>
    <w:p>
      <w:pPr>
        <w:pStyle w:val="FirstParagraph"/>
      </w:pPr>
      <w:r>
        <w:t xml:space="preserve">Cryptocurrencies</w:t>
      </w:r>
    </w:p>
    <w:p>
      <w:pPr>
        <w:pStyle w:val="BodyText"/>
      </w:pPr>
      <w:r>
        <w:t xml:space="preserve">A Comprehensive Beginner's Guide</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p>
      <w:pPr>
        <w:pStyle w:val="BodyText"/>
      </w:pPr>
      <w:r>
        <w:t xml:space="preserve">✦ ✦ ✦</w:t>
      </w:r>
    </w:p>
    <w:p>
      <w:pPr>
        <w:pStyle w:val="BodyText"/>
      </w:pPr>
      <w:r>
        <w:t xml:space="preserve">بِسْمِ اللَّهِ الرَّحْمَٰنِ الرَّحِيمِ</w:t>
      </w:r>
    </w:p>
    <w:p>
      <w:pPr>
        <w:pStyle w:val="BodyText"/>
      </w:pPr>
      <w:r>
        <w:t xml:space="preserve">✦ ✦ ✦</w:t>
      </w:r>
    </w:p>
    <w:p>
      <w:pPr>
        <w:pStyle w:val="BodyText"/>
      </w:pPr>
      <w:r>
        <w:t xml:space="preserve">إهداء</w:t>
      </w:r>
    </w:p>
    <w:p>
      <w:pPr>
        <w:pStyle w:val="BodyText"/>
      </w:pPr>
      <w:r>
        <w:t xml:space="preserve">إلى كل من يسعى لفهم عالم التقنية المالية الجديد</w:t>
      </w:r>
      <w:r>
        <w:br/>
      </w:r>
      <w:r>
        <w:br/>
      </w:r>
      <w:r>
        <w:t xml:space="preserve">إلى الشباب العربي الطموح الذي يبحث عن المعرفة</w:t>
      </w:r>
      <w:r>
        <w:br/>
      </w:r>
      <w:r>
        <w:t xml:space="preserve">في عصر التحول الرقمي</w:t>
      </w:r>
      <w:r>
        <w:br/>
      </w:r>
      <w:r>
        <w:br/>
      </w:r>
      <w:r>
        <w:t xml:space="preserve">إلى كل مبتدئ يريد أن يفهم العملات الرقمية</w:t>
      </w:r>
      <w:r>
        <w:br/>
      </w:r>
      <w:r>
        <w:t xml:space="preserve">بطريقة واضحة ومبسطة</w:t>
      </w:r>
      <w:r>
        <w:br/>
      </w:r>
      <w:r>
        <w:br/>
      </w:r>
      <w:r>
        <w:t xml:space="preserve">وإلى والديّ رحمهما الله وأمي حفظها الله</w:t>
      </w:r>
      <w:r>
        <w:br/>
      </w:r>
      <w:r>
        <w:t xml:space="preserve">وزوجتي وأولادي وإخواني وأخواتي</w:t>
      </w:r>
    </w:p>
    <w:p>
      <w:pPr>
        <w:pStyle w:val="BodyText"/>
      </w:pPr>
      <w:r>
        <w:t xml:space="preserve">المحتويات</w:t>
      </w:r>
    </w:p>
    <w:p>
      <w:pPr>
        <w:pStyle w:val="BodyText"/>
      </w:pPr>
      <w:r>
        <w:t xml:space="preserve">المقدمة</w:t>
      </w:r>
    </w:p>
    <w:p>
      <w:pPr>
        <w:pStyle w:val="BodyText"/>
      </w:pPr>
      <w:r>
        <w:t xml:space="preserve">الفصل الأول: ما هي العملات الرقمية؟</w:t>
      </w:r>
    </w:p>
    <w:p>
      <w:pPr>
        <w:pStyle w:val="BodyText"/>
      </w:pPr>
      <w:r>
        <w:t xml:space="preserve">تعريف العملات الرقمية • الفرق بين العملات الرقمية والتقليدية • أنواع العملات الرقمية</w:t>
      </w:r>
    </w:p>
    <w:p>
      <w:pPr>
        <w:pStyle w:val="BodyText"/>
      </w:pPr>
      <w:r>
        <w:t xml:space="preserve">الفصل الثاني: تاريخ العملات الرقمية ونشأتها</w:t>
      </w:r>
    </w:p>
    <w:p>
      <w:pPr>
        <w:pStyle w:val="BodyText"/>
      </w:pPr>
      <w:r>
        <w:t xml:space="preserve">محاولات ما قبل البيتكوين • ساتوشي ناكاموتو • المراحل التاريخية الرئيسية</w:t>
      </w:r>
    </w:p>
    <w:p>
      <w:pPr>
        <w:pStyle w:val="BodyText"/>
      </w:pPr>
      <w:r>
        <w:t xml:space="preserve">الفصل الثالث: تقنية البلوكتشين — كيف تعمل؟</w:t>
      </w:r>
    </w:p>
    <w:p>
      <w:pPr>
        <w:pStyle w:val="BodyText"/>
      </w:pPr>
      <w:r>
        <w:t xml:space="preserve">مفهوم السلسلة • الكتل والتشفير • التعدين وإثبات العمل • العقود الذكية</w:t>
      </w:r>
    </w:p>
    <w:p>
      <w:pPr>
        <w:pStyle w:val="BodyText"/>
      </w:pPr>
      <w:r>
        <w:t xml:space="preserve">الفصل الرابع: البيتكوين — العملة الأولى</w:t>
      </w:r>
    </w:p>
    <w:p>
      <w:pPr>
        <w:pStyle w:val="BodyText"/>
      </w:pPr>
      <w:r>
        <w:t xml:space="preserve">كيف يعمل البيتكوين • التعدين • التنصيف • القيمة السوقية</w:t>
      </w:r>
    </w:p>
    <w:p>
      <w:pPr>
        <w:pStyle w:val="BodyText"/>
      </w:pPr>
      <w:r>
        <w:t xml:space="preserve">الفصل الخامس: أهم العملات الرقمية في العالم</w:t>
      </w:r>
    </w:p>
    <w:p>
      <w:pPr>
        <w:pStyle w:val="BodyText"/>
      </w:pPr>
      <w:r>
        <w:t xml:space="preserve">إيثيريوم • ريبل • سولانا • كاردانو • العملات المستقرة</w:t>
      </w:r>
    </w:p>
    <w:p>
      <w:pPr>
        <w:pStyle w:val="BodyText"/>
      </w:pPr>
      <w:r>
        <w:t xml:space="preserve">الفصل السادس: أهم الشركات والمنصات</w:t>
      </w:r>
    </w:p>
    <w:p>
      <w:pPr>
        <w:pStyle w:val="BodyText"/>
      </w:pPr>
      <w:r>
        <w:t xml:space="preserve">بينانس • كوينبيس • كراكن • صناديق ETF • شركات التعدين</w:t>
      </w:r>
    </w:p>
    <w:p>
      <w:pPr>
        <w:pStyle w:val="BodyText"/>
      </w:pPr>
      <w:r>
        <w:t xml:space="preserve">الفصل السابع: كيف تشتري وتحفظ العملات الرقمية</w:t>
      </w:r>
    </w:p>
    <w:p>
      <w:pPr>
        <w:pStyle w:val="BodyText"/>
      </w:pPr>
      <w:r>
        <w:t xml:space="preserve">المحافظ الرقمية • خطوات الشراء • التخزين الآمن</w:t>
      </w:r>
    </w:p>
    <w:p>
      <w:pPr>
        <w:pStyle w:val="BodyText"/>
      </w:pPr>
      <w:r>
        <w:t xml:space="preserve">الفصل الثامن: إيجابيات العملات الرقمية</w:t>
      </w:r>
    </w:p>
    <w:p>
      <w:pPr>
        <w:pStyle w:val="BodyText"/>
      </w:pPr>
      <w:r>
        <w:t xml:space="preserve">الفصل التاسع: مخاطر العملات الرقمية وتحدياتها</w:t>
      </w:r>
    </w:p>
    <w:p>
      <w:pPr>
        <w:pStyle w:val="BodyText"/>
      </w:pPr>
      <w:r>
        <w:t xml:space="preserve">الفصل العاشر: حجم السوق والأرقام الكبرى</w:t>
      </w:r>
    </w:p>
    <w:p>
      <w:pPr>
        <w:pStyle w:val="BodyText"/>
      </w:pPr>
      <w:r>
        <w:t xml:space="preserve">الفصل الحادي عشر: التنظيم القانوني حول العالم</w:t>
      </w:r>
    </w:p>
    <w:p>
      <w:pPr>
        <w:pStyle w:val="BodyText"/>
      </w:pPr>
      <w:r>
        <w:t xml:space="preserve">الفصل الثاني عشر: مستقبل العملات الرقمية</w:t>
      </w:r>
    </w:p>
    <w:p>
      <w:pPr>
        <w:pStyle w:val="BodyText"/>
      </w:pPr>
      <w:r>
        <w:t xml:space="preserve">الخاتمة</w:t>
      </w:r>
    </w:p>
    <w:p>
      <w:pPr>
        <w:pStyle w:val="BodyText"/>
      </w:pPr>
      <w:r>
        <w:t xml:space="preserve">المراجع العلمية</w:t>
      </w:r>
    </w:p>
    <w:p>
      <w:pPr>
        <w:pStyle w:val="BodyText"/>
      </w:pPr>
      <w:r>
        <w:t xml:space="preserve">القسم الإنجليزي — English Section</w:t>
      </w:r>
    </w:p>
    <w:p>
      <w:pPr>
        <w:pStyle w:val="BodyText"/>
      </w:pPr>
      <w:r>
        <w:t xml:space="preserve">نبذة عن المؤلف</w:t>
      </w:r>
    </w:p>
    <w:p>
      <w:pPr>
        <w:pStyle w:val="BodyText"/>
      </w:pPr>
      <w:r>
        <w:t xml:space="preserve">مؤلفات المؤلف</w:t>
      </w:r>
    </w:p>
    <w:bookmarkStart w:id="23" w:name="المقدمة"/>
    <w:p>
      <w:pPr>
        <w:pStyle w:val="Heading1"/>
      </w:pPr>
      <w:r>
        <w:t xml:space="preserve">المقدمة</w:t>
      </w:r>
    </w:p>
    <w:p>
      <w:pPr>
        <w:pStyle w:val="FirstParagraph"/>
      </w:pPr>
      <w:r>
        <w:t xml:space="preserve">﴿ وَأَنفِقُوا مِن مَّا رَزَقْنَاكُم مِّن قَبْلِ أَن يَأْتِيَ أَحَدَكُمُ الْمَوْتُ ﴾</w:t>
      </w:r>
      <w:r>
        <w:t xml:space="preserve"> </w:t>
      </w:r>
      <w:r>
        <w:t xml:space="preserve">سورة المنافقون — الآية 10</w:t>
      </w:r>
    </w:p>
    <w:p>
      <w:pPr>
        <w:pStyle w:val="BodyText"/>
      </w:pPr>
      <w:r>
        <w:t xml:space="preserve">شهد العالم خلال العقدين الأخيرين ثورة مالية وتقنية غير مسبوقة، تمثّلت في ظهور العملات الرقمية المشفّرة (Cryptocurrencies) التي أعادت تشكيل مفهوم المال والتبادل المالي. منذ أن نشر شخص مجهول الهوية يُعرف باسم «ساتوشي ناكاموتو» ورقته البيضاء عام 2008، تحوّل العالم تحوّلاً جذرياً في طريقة التفكير بالنقود والمعاملات المالية.</w:t>
      </w:r>
    </w:p>
    <w:p>
      <w:pPr>
        <w:pStyle w:val="BodyText"/>
      </w:pPr>
      <w:r>
        <w:t xml:space="preserve">لم تعد العملات الرقمية مجرد ظاهرة تقنية هامشية، بل أصبحت جزءاً لا يتجزأ من النظام المالي العالمي. ففي عام 2026، تجاوزت القيمة السوقية الإجمالية لسوق العملات الرقمية حاجز 2.5 تريليون دولار أمريكي، ويمتلك أكثر من 560 مليون شخص حول العالم عملات رقمية بشكل أو بآخر، وهو ما يمثل نحو 10% من سكان العالم المتصلين بالإنترنت.</w:t>
      </w:r>
    </w:p>
    <w:p>
      <w:pPr>
        <w:pStyle w:val="BodyText"/>
      </w:pPr>
      <w:r>
        <w:t xml:space="preserve">يأتي هذا الكتاب ليكون دليلاً شاملاً ومبسّطاً لكل من يريد فهم هذا العالم الجديد من البداية. سواء كنت طالباً، أو رجل أعمال، أو مستثمراً مبتدئاً، أو حتى قارئاً فضولياً، ستجد في هذا الكتاب إجابات واضحة عن الأسئلة الجوهرية: ما هي العملات الرقمية؟ كيف نشأت؟ كيف تعمل تقنية البلوكتشين؟ ما هي أهم العملات والشركات؟ ما إيجابياتها ومخاطرها؟ وما مستقبلها؟</w:t>
      </w:r>
    </w:p>
    <w:p>
      <w:pPr>
        <w:pStyle w:val="BodyText"/>
      </w:pPr>
      <w:r>
        <w:t xml:space="preserve">حرصت في هذا الكتاب على تقديم المعلومات بأسلوب واضح يخاطب المبتدئ دون إغفال العمق العلمي، مع الاستعانة بأحدث البيانات والإحصائيات المتاحة حتى الربع الأول من عام 2026. والله الموفق والهادي إلى سواء السبيل.</w:t>
      </w:r>
    </w:p>
    <w:bookmarkEnd w:id="23"/>
    <w:bookmarkStart w:id="27" w:name="الفصل-الأول-ما-هي-العملات-الرقمية"/>
    <w:p>
      <w:pPr>
        <w:pStyle w:val="Heading1"/>
      </w:pPr>
      <w:r>
        <w:t xml:space="preserve">الفصل الأول: ما هي العملات الرقمية؟</w:t>
      </w:r>
    </w:p>
    <w:p>
      <w:pPr>
        <w:pStyle w:val="FirstParagraph"/>
      </w:pPr>
      <w:r>
        <w:t xml:space="preserve">﴿ وَاللَّهُ فَضَّلَ بَعْضَكُمْ عَلَىٰ بَعْضٍ فِي الرِّزْقِ ﴾</w:t>
      </w:r>
      <w:r>
        <w:t xml:space="preserve"> </w:t>
      </w:r>
      <w:r>
        <w:t xml:space="preserve">سورة النحل — الآية 71</w:t>
      </w:r>
    </w:p>
    <w:bookmarkStart w:id="24" w:name="تعريف-العملات-الرقمية"/>
    <w:p>
      <w:pPr>
        <w:pStyle w:val="Heading2"/>
      </w:pPr>
      <w:r>
        <w:t xml:space="preserve">تعريف العملات الرقمية</w:t>
      </w:r>
    </w:p>
    <w:p>
      <w:pPr>
        <w:pStyle w:val="FirstParagraph"/>
      </w:pPr>
      <w:r>
        <w:t xml:space="preserve">العملات الرقمية (Cryptocurrencies) هي شكل من أشكال النقود الإلكترونية التي تعتمد على تقنية التشفير لتأمين المعاملات المالية والتحكم في إنشاء وحدات جديدة منها. وعلى خلاف العملات التقليدية التي تصدرها البنوك المركزية (مثل الدولار والريال واليورو)، فإن العملات الرقمية المشفّرة تعمل بنظام لامركزي لا يخضع لسيطرة جهة واحدة، بل تتم إدارته عبر شبكة من الحواسيب المنتشرة حول العالم.</w:t>
      </w:r>
    </w:p>
    <w:p>
      <w:pPr>
        <w:pStyle w:val="BodyText"/>
      </w:pPr>
      <w:r>
        <w:t xml:space="preserve">كلمة «Crypto» مشتقة من الكلمة اليونانية «κρυπτός» التي تعني «مخفي» أو «سري»، وهي إشارة إلى تقنيات التشفير المتقدمة التي تحمي هذه العملات وتضمن أمان معاملاتها. أما كلمة «Currency» فتعني عملة أو نقد، فيكون المعنى الحرفي: «عملة مشفّرة» أو «نقد مؤمّن بالتشفير».</w:t>
      </w:r>
    </w:p>
    <w:bookmarkEnd w:id="24"/>
    <w:bookmarkStart w:id="25" w:name="X1af50e6271d6a3b52f4128205147973f9a02b2c"/>
    <w:p>
      <w:pPr>
        <w:pStyle w:val="Heading2"/>
      </w:pPr>
      <w:r>
        <w:t xml:space="preserve">الفرق بين العملات الرقمية والعملات التقليدية</w:t>
      </w:r>
    </w:p>
    <w:p>
      <w:pPr>
        <w:pStyle w:val="FirstParagraph"/>
      </w:pPr>
      <w:r>
        <w:t xml:space="preserve">لفهم العملات الرقمية بشكل أعمق، من المفيد مقارنتها بالعملات التقليدية التي نستخدمها يومياً: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المعيار</w:t>
            </w:r>
          </w:p>
        </w:tc>
        <w:tc>
          <w:tcPr/>
          <w:p>
            <w:pPr>
              <w:pStyle w:val="Compact"/>
              <w:jc w:val="left"/>
            </w:pPr>
            <w:r>
              <w:t xml:space="preserve">العملات التقليدية</w:t>
            </w:r>
          </w:p>
        </w:tc>
        <w:tc>
          <w:tcPr/>
          <w:p>
            <w:pPr>
              <w:pStyle w:val="Compact"/>
              <w:jc w:val="left"/>
            </w:pPr>
            <w:r>
              <w:t xml:space="preserve">العملات الرقمية</w:t>
            </w:r>
          </w:p>
        </w:tc>
      </w:tr>
      <w:tr>
        <w:tc>
          <w:tcPr/>
          <w:p>
            <w:pPr>
              <w:pStyle w:val="Compact"/>
              <w:jc w:val="left"/>
            </w:pPr>
            <w:r>
              <w:t xml:space="preserve">الجهة المصدرة</w:t>
            </w:r>
          </w:p>
        </w:tc>
        <w:tc>
          <w:tcPr/>
          <w:p>
            <w:pPr>
              <w:pStyle w:val="Compact"/>
              <w:jc w:val="left"/>
            </w:pPr>
            <w:r>
              <w:t xml:space="preserve">البنوك المركزية والحكومات</w:t>
            </w:r>
          </w:p>
        </w:tc>
        <w:tc>
          <w:tcPr/>
          <w:p>
            <w:pPr>
              <w:pStyle w:val="Compact"/>
              <w:jc w:val="left"/>
            </w:pPr>
            <w:r>
              <w:t xml:space="preserve">لا توجد جهة مركزية</w:t>
            </w:r>
          </w:p>
        </w:tc>
      </w:tr>
      <w:tr>
        <w:tc>
          <w:tcPr/>
          <w:p>
            <w:pPr>
              <w:pStyle w:val="Compact"/>
              <w:jc w:val="left"/>
            </w:pPr>
            <w:r>
              <w:t xml:space="preserve">الشكل</w:t>
            </w:r>
          </w:p>
        </w:tc>
        <w:tc>
          <w:tcPr/>
          <w:p>
            <w:pPr>
              <w:pStyle w:val="Compact"/>
              <w:jc w:val="left"/>
            </w:pPr>
            <w:r>
              <w:t xml:space="preserve">أوراق نقدية وعملات معدنية</w:t>
            </w:r>
          </w:p>
        </w:tc>
        <w:tc>
          <w:tcPr/>
          <w:p>
            <w:pPr>
              <w:pStyle w:val="Compact"/>
              <w:jc w:val="left"/>
            </w:pPr>
            <w:r>
              <w:t xml:space="preserve">رقمية بالكامل</w:t>
            </w:r>
          </w:p>
        </w:tc>
      </w:tr>
      <w:tr>
        <w:tc>
          <w:tcPr/>
          <w:p>
            <w:pPr>
              <w:pStyle w:val="Compact"/>
              <w:jc w:val="left"/>
            </w:pPr>
            <w:r>
              <w:t xml:space="preserve">الرقابة</w:t>
            </w:r>
          </w:p>
        </w:tc>
        <w:tc>
          <w:tcPr/>
          <w:p>
            <w:pPr>
              <w:pStyle w:val="Compact"/>
              <w:jc w:val="left"/>
            </w:pPr>
            <w:r>
              <w:t xml:space="preserve">تخضع لرقابة حكومية كاملة</w:t>
            </w:r>
          </w:p>
        </w:tc>
        <w:tc>
          <w:tcPr/>
          <w:p>
            <w:pPr>
              <w:pStyle w:val="Compact"/>
              <w:jc w:val="left"/>
            </w:pPr>
            <w:r>
              <w:t xml:space="preserve">لامركزية وشفافة</w:t>
            </w:r>
          </w:p>
        </w:tc>
      </w:tr>
      <w:tr>
        <w:tc>
          <w:tcPr/>
          <w:p>
            <w:pPr>
              <w:pStyle w:val="Compact"/>
              <w:jc w:val="left"/>
            </w:pPr>
            <w:r>
              <w:t xml:space="preserve">التحويلات</w:t>
            </w:r>
          </w:p>
        </w:tc>
        <w:tc>
          <w:tcPr/>
          <w:p>
            <w:pPr>
              <w:pStyle w:val="Compact"/>
              <w:jc w:val="left"/>
            </w:pPr>
            <w:r>
              <w:t xml:space="preserve">تمر عبر وسطاء (بنوك)</w:t>
            </w:r>
          </w:p>
        </w:tc>
        <w:tc>
          <w:tcPr/>
          <w:p>
            <w:pPr>
              <w:pStyle w:val="Compact"/>
              <w:jc w:val="left"/>
            </w:pPr>
            <w:r>
              <w:t xml:space="preserve">مباشرة بين الأطراف (P2P)</w:t>
            </w:r>
          </w:p>
        </w:tc>
      </w:tr>
      <w:tr>
        <w:tc>
          <w:tcPr/>
          <w:p>
            <w:pPr>
              <w:pStyle w:val="Compact"/>
              <w:jc w:val="left"/>
            </w:pPr>
            <w:r>
              <w:t xml:space="preserve">السرعة</w:t>
            </w:r>
          </w:p>
        </w:tc>
        <w:tc>
          <w:tcPr/>
          <w:p>
            <w:pPr>
              <w:pStyle w:val="Compact"/>
              <w:jc w:val="left"/>
            </w:pPr>
            <w:r>
              <w:t xml:space="preserve">قد تستغرق أياماً للتحويل الدولي</w:t>
            </w:r>
          </w:p>
        </w:tc>
        <w:tc>
          <w:tcPr/>
          <w:p>
            <w:pPr>
              <w:pStyle w:val="Compact"/>
              <w:jc w:val="left"/>
            </w:pPr>
            <w:r>
              <w:t xml:space="preserve">دقائق معدودة</w:t>
            </w:r>
          </w:p>
        </w:tc>
      </w:tr>
      <w:tr>
        <w:tc>
          <w:tcPr/>
          <w:p>
            <w:pPr>
              <w:pStyle w:val="Compact"/>
              <w:jc w:val="left"/>
            </w:pPr>
            <w:r>
              <w:t xml:space="preserve">الرسوم</w:t>
            </w:r>
          </w:p>
        </w:tc>
        <w:tc>
          <w:tcPr/>
          <w:p>
            <w:pPr>
              <w:pStyle w:val="Compact"/>
              <w:jc w:val="left"/>
            </w:pPr>
            <w:r>
              <w:t xml:space="preserve">رسوم بنكية مرتفعة نسبياً</w:t>
            </w:r>
          </w:p>
        </w:tc>
        <w:tc>
          <w:tcPr/>
          <w:p>
            <w:pPr>
              <w:pStyle w:val="Compact"/>
              <w:jc w:val="left"/>
            </w:pPr>
            <w:r>
              <w:t xml:space="preserve">رسوم أقل عادةً</w:t>
            </w:r>
          </w:p>
        </w:tc>
      </w:tr>
      <w:tr>
        <w:tc>
          <w:tcPr/>
          <w:p>
            <w:pPr>
              <w:pStyle w:val="Compact"/>
              <w:jc w:val="left"/>
            </w:pPr>
            <w:r>
              <w:t xml:space="preserve">الشفافية</w:t>
            </w:r>
          </w:p>
        </w:tc>
        <w:tc>
          <w:tcPr/>
          <w:p>
            <w:pPr>
              <w:pStyle w:val="Compact"/>
              <w:jc w:val="left"/>
            </w:pPr>
            <w:r>
              <w:t xml:space="preserve">سجلات مغلقة</w:t>
            </w:r>
          </w:p>
        </w:tc>
        <w:tc>
          <w:tcPr/>
          <w:p>
            <w:pPr>
              <w:pStyle w:val="Compact"/>
              <w:jc w:val="left"/>
            </w:pPr>
            <w:r>
              <w:t xml:space="preserve">سجل عام (البلوكتشين)</w:t>
            </w:r>
          </w:p>
        </w:tc>
      </w:tr>
      <w:tr>
        <w:tc>
          <w:tcPr/>
          <w:p>
            <w:pPr>
              <w:pStyle w:val="Compact"/>
              <w:jc w:val="left"/>
            </w:pPr>
            <w:r>
              <w:t xml:space="preserve">التضخم</w:t>
            </w:r>
          </w:p>
        </w:tc>
        <w:tc>
          <w:tcPr/>
          <w:p>
            <w:pPr>
              <w:pStyle w:val="Compact"/>
              <w:jc w:val="left"/>
            </w:pPr>
            <w:r>
              <w:t xml:space="preserve">عرضة للتضخم بسبب الطباعة</w:t>
            </w:r>
          </w:p>
        </w:tc>
        <w:tc>
          <w:tcPr/>
          <w:p>
            <w:pPr>
              <w:pStyle w:val="Compact"/>
              <w:jc w:val="left"/>
            </w:pPr>
            <w:r>
              <w:t xml:space="preserve">كثير منها محدود العرض</w:t>
            </w:r>
          </w:p>
        </w:tc>
      </w:tr>
      <w:tr>
        <w:tc>
          <w:tcPr/>
          <w:p>
            <w:pPr>
              <w:pStyle w:val="Compact"/>
              <w:jc w:val="left"/>
            </w:pPr>
            <w:r>
              <w:t xml:space="preserve">الوصول</w:t>
            </w:r>
          </w:p>
        </w:tc>
        <w:tc>
          <w:tcPr/>
          <w:p>
            <w:pPr>
              <w:pStyle w:val="Compact"/>
              <w:jc w:val="left"/>
            </w:pPr>
            <w:r>
              <w:t xml:space="preserve">يتطلب حساباً بنكياً</w:t>
            </w:r>
          </w:p>
        </w:tc>
        <w:tc>
          <w:tcPr/>
          <w:p>
            <w:pPr>
              <w:pStyle w:val="Compact"/>
              <w:jc w:val="left"/>
            </w:pPr>
            <w:r>
              <w:t xml:space="preserve">يكفي اتصال بالإنترنت</w:t>
            </w:r>
          </w:p>
        </w:tc>
      </w:tr>
    </w:tbl>
    <w:bookmarkEnd w:id="25"/>
    <w:bookmarkStart w:id="26" w:name="أنواع-العملات-الرقمية"/>
    <w:p>
      <w:pPr>
        <w:pStyle w:val="Heading2"/>
      </w:pPr>
      <w:r>
        <w:t xml:space="preserve">أنواع العملات الرقمية</w:t>
      </w:r>
    </w:p>
    <w:p>
      <w:pPr>
        <w:pStyle w:val="FirstParagraph"/>
      </w:pPr>
      <w:r>
        <w:t xml:space="preserve">يمكن تصنيف العملات الرقمية إلى عدة فئات رئيسية تساعد المبتدئ على فهم هذا العالم الواسع:</w:t>
      </w:r>
    </w:p>
    <w:p>
      <w:pPr>
        <w:pStyle w:val="BodyText"/>
      </w:pPr>
      <w:r>
        <w:rPr>
          <w:bCs/>
          <w:b/>
        </w:rPr>
        <w:t xml:space="preserve">أولاً — العملات المشفّرة الأساسية (Coins):</w:t>
      </w:r>
      <w:r>
        <w:t xml:space="preserve"> </w:t>
      </w:r>
      <w:r>
        <w:t xml:space="preserve">هي عملات تمتلك بلوكتشين خاصاً بها، مثل البيتكوين (Bitcoin) الذي يمثل أول وأشهر عملة رقمية في التاريخ، والإيثيريوم (Ethereum) الذي أضاف بُعداً جديداً عبر العقود الذكية. تشمل هذه الفئة أيضاً عملات مثل سولانا (Solana) وكاردانو (Cardano) وريبل (XRP).</w:t>
      </w:r>
    </w:p>
    <w:p>
      <w:pPr>
        <w:pStyle w:val="BodyText"/>
      </w:pPr>
      <w:r>
        <w:rPr>
          <w:bCs/>
          <w:b/>
        </w:rPr>
        <w:t xml:space="preserve">ثانياً — الرموز المميزة (Tokens):</w:t>
      </w:r>
      <w:r>
        <w:t xml:space="preserve"> </w:t>
      </w:r>
      <w:r>
        <w:t xml:space="preserve">هي عملات رقمية تعمل على بلوكتشين عملة أخرى، وأشهر مثال هو رموز ERC-20 التي تعمل على شبكة الإيثيريوم. تشمل هذه الرموز أنواعاً متعددة منها رموز الخدمات (Utility Tokens) ورموز الحوكمة (Governance Tokens) والرموز غير القابلة للاستبدال (NFTs).</w:t>
      </w:r>
    </w:p>
    <w:p>
      <w:pPr>
        <w:pStyle w:val="BodyText"/>
      </w:pPr>
      <w:r>
        <w:rPr>
          <w:bCs/>
          <w:b/>
        </w:rPr>
        <w:t xml:space="preserve">ثالثاً — العملات المستقرة (Stablecoins):</w:t>
      </w:r>
      <w:r>
        <w:t xml:space="preserve"> </w:t>
      </w:r>
      <w:r>
        <w:t xml:space="preserve">هي عملات رقمية مصممة للحفاظ على قيمة ثابتة مرتبطة عادةً بالدولار الأمريكي، مثل تيثر (USDT) ويو إس دي كوين (USDC). تُستخدم هذه العملات كملاذ آمن داخل سوق العملات الرقمية المتقلب، وقد تجاوزت قيمتها السوقية مجتمعة 210 مليار دولار في الربع الأول من 2026.</w:t>
      </w:r>
    </w:p>
    <w:p>
      <w:pPr>
        <w:pStyle w:val="BodyText"/>
      </w:pPr>
      <w:r>
        <w:rPr>
          <w:bCs/>
          <w:b/>
        </w:rPr>
        <w:t xml:space="preserve">رابعاً — عملات الميم (Meme Coins):</w:t>
      </w:r>
      <w:r>
        <w:t xml:space="preserve"> </w:t>
      </w:r>
      <w:r>
        <w:t xml:space="preserve">هي عملات نشأت في الغالب كمزحة أو ظاهرة ثقافية على الإنترنت، مثل دوجكوين (Dogecoin) وشيبا إينو (Shiba Inu). رغم عدم وجود قيمة تقنية واضحة لكثير منها، إلا أنها اكتسبت شعبية واسعة بفضل وسائل التواصل الاجتماعي ودعم بعض المشاهير.</w:t>
      </w:r>
    </w:p>
    <w:p>
      <w:pPr>
        <w:pStyle w:val="BodyText"/>
      </w:pPr>
      <w:r>
        <w:rPr>
          <w:bCs/>
          <w:b/>
        </w:rPr>
        <w:t xml:space="preserve">خامساً — العملات الرقمية للبنوك المركزية (CBDCs):</w:t>
      </w:r>
      <w:r>
        <w:t xml:space="preserve"> </w:t>
      </w:r>
      <w:r>
        <w:t xml:space="preserve">هي عملات رقمية تصدرها البنوك المركزية للدول، وتجمع بين مزايا التقنية الرقمية والرقابة الحكومية. تعمل دول عديدة على تطوير عملاتها الرقمية الخاصة، مثل اليوان الرقمي الصيني (e-CNY) الذي يُعدّ من أكثر المشاريع تقدّماً في هذا المجال.</w:t>
      </w:r>
    </w:p>
    <w:bookmarkEnd w:id="26"/>
    <w:bookmarkEnd w:id="27"/>
    <w:bookmarkStart w:id="31" w:name="X3a668e65700b7218db90e50b0c9c4947f9396bf"/>
    <w:p>
      <w:pPr>
        <w:pStyle w:val="Heading1"/>
      </w:pPr>
      <w:r>
        <w:t xml:space="preserve">الفصل الثاني: تاريخ العملات الرقمية ونشأتها</w:t>
      </w:r>
    </w:p>
    <w:p>
      <w:pPr>
        <w:pStyle w:val="FirstParagraph"/>
      </w:pPr>
      <w:r>
        <w:t xml:space="preserve">﴿ إِنَّ فِي خَلْقِ السَّمَاوَاتِ وَالْأَرْضِ وَاخْتِلَافِ اللَّيْلِ وَالنَّهَارِ لَآيَاتٍ لِّأُولِي الْأَلْبَابِ ﴾</w:t>
      </w:r>
      <w:r>
        <w:t xml:space="preserve"> </w:t>
      </w:r>
      <w:r>
        <w:t xml:space="preserve">سورة آل عمران — الآية 190</w:t>
      </w:r>
    </w:p>
    <w:bookmarkStart w:id="28" w:name="محاولات-ما-قبل-البيتكوين"/>
    <w:p>
      <w:pPr>
        <w:pStyle w:val="Heading2"/>
      </w:pPr>
      <w:r>
        <w:t xml:space="preserve">محاولات ما قبل البيتكوين</w:t>
      </w:r>
    </w:p>
    <w:p>
      <w:pPr>
        <w:pStyle w:val="FirstParagraph"/>
      </w:pPr>
      <w:r>
        <w:t xml:space="preserve">لم تظهر فكرة العملات الرقمية فجأة من العدم، بل كانت نتيجة عقود من البحث والتطوير في مجالات التشفير وعلوم الحاسوب. في ثمانينيات القرن العشرين، طوّر عالم التشفير الأمريكي ديفيد تشاوم (David Chaum) نظام «eCash» الذي يُعدّ أول محاولة جدية لإنشاء نقد رقمي مجهول الهوية. وفي عام 1998، اقترح وي داي (Wei Dai) مفهوم «b-money»، وقدّم نيك سابو (Nick Szabo) فكرة «Bit Gold»، وكلاهما وضعا أسساً نظرية مهمة لما سيأتي لاحقاً.</w:t>
      </w:r>
    </w:p>
    <w:p>
      <w:pPr>
        <w:pStyle w:val="BodyText"/>
      </w:pPr>
      <w:r>
        <w:t xml:space="preserve">كذلك ساهم آدم باك (Adam Back) بنظام «Hashcash» الذي استخدم مفهوم إثبات العمل (Proof of Work) لمكافحة البريد المزعج، وهو المفهوم ذاته الذي سيصبح لاحقاً ركيزة أساسية في عمل البيتكوين. إلا أن جميع هذه المحاولات واجهت مشكلة «الإنفاق المزدوج» — أي إمكانية إنفاق النقود الرقمية نفسها أكثر من مرة — دون حل مقنع.</w:t>
      </w:r>
    </w:p>
    <w:bookmarkEnd w:id="28"/>
    <w:bookmarkStart w:id="29" w:name="ساتوشي-ناكاموتو-وولادة-البيتكوين"/>
    <w:p>
      <w:pPr>
        <w:pStyle w:val="Heading2"/>
      </w:pPr>
      <w:r>
        <w:t xml:space="preserve">ساتوشي ناكاموتو وولادة البيتكوين</w:t>
      </w:r>
    </w:p>
    <w:p>
      <w:pPr>
        <w:pStyle w:val="FirstParagraph"/>
      </w:pPr>
      <w:r>
        <w:t xml:space="preserve">في 31 أكتوبر 2008، وفي خضم الأزمة المالية العالمية التي هزّت أركان النظام المصرفي الدولي، نشر شخص مجهول الهوية يستخدم اسم «ساتوشي ناكاموتو» (Satoshi Nakamoto) ورقة بيضاء بعنوان «Bitcoin: A Peer-to-Peer Electronic Cash System» على قائمة بريدية متخصصة في التشفير. قدّمت هذه الورقة المكونة من تسع صفحات حلاً مبتكراً لمشكلة الإنفاق المزدوج دون الحاجة إلى وسيط مركزي، وذلك عبر نظام لامركزي يعتمد على التشفير والتحقق الجماعي.</w:t>
      </w:r>
    </w:p>
    <w:p>
      <w:pPr>
        <w:pStyle w:val="BodyText"/>
      </w:pPr>
      <w:r>
        <w:t xml:space="preserve">في 3 يناير 2009، قام ناكاموتو بتعدين أول كتلة في سلسلة البيتكوين، والمعروفة بـ «كتلة التكوين» (Genesis Block). وقد ضمّن في هذه الكتلة رسالة تاريخية مأخوذة من عنوان صحيفة ذا تايمز البريطانية: «Chancellor on brink of second bailout for banks» (المستشار على وشك إنقاذ ثانٍ للبنوك)، في إشارة واضحة إلى فشل النظام المالي التقليدي.</w:t>
      </w:r>
    </w:p>
    <w:p>
      <w:pPr>
        <w:pStyle w:val="BodyText"/>
      </w:pPr>
      <w:r>
        <w:t xml:space="preserve">بعد تسعة أيام، أجرى ناكاموتو أول تحويل بيتكوين في التاريخ، حيث أرسل 10 بيتكوينات إلى هال فيني (Hal Finney)، وهو عالم تشفير بارز كان من أوائل الداعمين للمشروع. واستمر ناكاموتو في تطوير البرنامج والتواصل مع المجتمع حتى عام 2010، ثم اختفى تماماً دون أن يكشف عن هويته الحقيقية، تاركاً وراءه محفظة تحتوي على ما يقدر بنحو 1.1 مليون بيتكوين لم تُحرَّك قط.</w:t>
      </w:r>
    </w:p>
    <w:bookmarkEnd w:id="29"/>
    <w:bookmarkStart w:id="30" w:name="المراحل-التاريخية-الرئيسية"/>
    <w:p>
      <w:pPr>
        <w:pStyle w:val="Heading2"/>
      </w:pPr>
      <w:r>
        <w:t xml:space="preserve">المراحل التاريخية الرئيسية</w:t>
      </w:r>
    </w:p>
    <w:p>
      <w:pPr>
        <w:pStyle w:val="FirstParagraph"/>
      </w:pPr>
      <w:r>
        <w:rPr>
          <w:bCs/>
          <w:b/>
        </w:rPr>
        <w:t xml:space="preserve">2010 — أول معاملة تجارية:</w:t>
      </w:r>
      <w:r>
        <w:t xml:space="preserve"> </w:t>
      </w:r>
      <w:r>
        <w:t xml:space="preserve">في 22 مايو 2010، اشترى المبرمج لازلو هانييتش (Laszlo Hanyecz) قطعتي بيتزا مقابل 10,000 بيتكوين، فيما أصبح يُعرف بـ «يوم بيتزا البيتكوين». هذه البيتكوينات تساوي اليوم مئات الملايين من الدولارات.</w:t>
      </w:r>
    </w:p>
    <w:p>
      <w:pPr>
        <w:pStyle w:val="BodyText"/>
      </w:pPr>
      <w:r>
        <w:rPr>
          <w:bCs/>
          <w:b/>
        </w:rPr>
        <w:t xml:space="preserve">2011-2013 — بداية الانتشار:</w:t>
      </w:r>
      <w:r>
        <w:t xml:space="preserve"> </w:t>
      </w:r>
      <w:r>
        <w:t xml:space="preserve">ظهرت منصات التداول الأولى مثل Mt. Gox، وبدأت عملات رقمية جديدة في الظهور مثل لايتكوين (Litecoin) في 2011. وصل سعر البيتكوين إلى 1,000 دولار لأول مرة في نوفمبر 2013.</w:t>
      </w:r>
    </w:p>
    <w:p>
      <w:pPr>
        <w:pStyle w:val="BodyText"/>
      </w:pPr>
      <w:r>
        <w:rPr>
          <w:bCs/>
          <w:b/>
        </w:rPr>
        <w:t xml:space="preserve">2014-2016 — الأزمات والنضج:</w:t>
      </w:r>
      <w:r>
        <w:t xml:space="preserve"> </w:t>
      </w:r>
      <w:r>
        <w:t xml:space="preserve">تعرّضت منصة Mt. Gox للاختراق وأُعلن إفلاسها في 2014 بعد سرقة 850,000 بيتكوين. أطلق فيتاليك بوتيرين (Vitalik Buterin) شبكة الإيثيريوم في 2015، مقدّماً مفهوم العقود الذكية.</w:t>
      </w:r>
    </w:p>
    <w:p>
      <w:pPr>
        <w:pStyle w:val="BodyText"/>
      </w:pPr>
      <w:r>
        <w:rPr>
          <w:bCs/>
          <w:b/>
        </w:rPr>
        <w:t xml:space="preserve">2017 — طفرة العروض الأولية:</w:t>
      </w:r>
      <w:r>
        <w:t xml:space="preserve"> </w:t>
      </w:r>
      <w:r>
        <w:t xml:space="preserve">شهد العام انفجاراً في عروض العملات الأولية (ICOs)، وارتفع سعر البيتكوين إلى قرابة 20,000 دولار في ديسمبر 2017 قبل أن ينهار بشكل حاد.</w:t>
      </w:r>
    </w:p>
    <w:p>
      <w:pPr>
        <w:pStyle w:val="BodyText"/>
      </w:pPr>
      <w:r>
        <w:rPr>
          <w:bCs/>
          <w:b/>
        </w:rPr>
        <w:t xml:space="preserve">2020-2021 — الدخول المؤسسي:</w:t>
      </w:r>
      <w:r>
        <w:t xml:space="preserve"> </w:t>
      </w:r>
      <w:r>
        <w:t xml:space="preserve">بدأت المؤسسات الكبرى في تبني البيتكوين، حيث اشترت شركة تسلا بيتكوين بقيمة 1.5 مليار دولار. وصل سعر البيتكوين إلى 69,000 دولار في نوفمبر 2021.</w:t>
      </w:r>
    </w:p>
    <w:p>
      <w:pPr>
        <w:pStyle w:val="BodyText"/>
      </w:pPr>
      <w:r>
        <w:rPr>
          <w:bCs/>
          <w:b/>
        </w:rPr>
        <w:t xml:space="preserve">2022 — شتاء العملات الرقمية:</w:t>
      </w:r>
      <w:r>
        <w:t xml:space="preserve"> </w:t>
      </w:r>
      <w:r>
        <w:t xml:space="preserve">شهد العام انهيارات كبرى، أبرزها سقوط عملة تيرا/لونا وإفلاس منصة FTX، ما أدى إلى خسائر بمليارات الدولارات وهزّ ثقة المستثمرين.</w:t>
      </w:r>
    </w:p>
    <w:p>
      <w:pPr>
        <w:pStyle w:val="BodyText"/>
      </w:pPr>
      <w:r>
        <w:rPr>
          <w:bCs/>
          <w:b/>
        </w:rPr>
        <w:t xml:space="preserve">2023-2024 — التعافي والاعتراف المؤسسي:</w:t>
      </w:r>
      <w:r>
        <w:t xml:space="preserve"> </w:t>
      </w:r>
      <w:r>
        <w:t xml:space="preserve">وافقت هيئة الأوراق المالية الأمريكية (SEC) على صناديق ETF للبيتكوين في يناير 2024، ما فتح الباب أمام المستثمرين المؤسسيين. تجاوز سعر البيتكوين حاجز 100,000 دولار لأول مرة في أواخر 2024.</w:t>
      </w:r>
    </w:p>
    <w:p>
      <w:pPr>
        <w:pStyle w:val="BodyText"/>
      </w:pPr>
      <w:r>
        <w:rPr>
          <w:bCs/>
          <w:b/>
        </w:rPr>
        <w:t xml:space="preserve">2025-2026 — مرحلة النضج:</w:t>
      </w:r>
      <w:r>
        <w:t xml:space="preserve"> </w:t>
      </w:r>
      <w:r>
        <w:t xml:space="preserve">يشهد السوق استقراراً نسبياً مع تزايد التنظيمات القانونية حول العالم، وتبلغ القيمة السوقية الإجمالية حوالي 2.5 تريليون دولار في مارس 2026.</w:t>
      </w:r>
    </w:p>
    <w:bookmarkEnd w:id="30"/>
    <w:bookmarkEnd w:id="31"/>
    <w:bookmarkStart w:id="38" w:name="الفصل-الثالث-تقنية-البلوكتشين-كيف-تعمل"/>
    <w:p>
      <w:pPr>
        <w:pStyle w:val="Heading1"/>
      </w:pPr>
      <w:r>
        <w:t xml:space="preserve">الفصل الثالث: تقنية البلوكتشين — كيف تعمل؟</w:t>
      </w:r>
    </w:p>
    <w:p>
      <w:pPr>
        <w:pStyle w:val="FirstParagraph"/>
      </w:pPr>
      <w:r>
        <w:t xml:space="preserve">﴿ وَكُلَّ شَيْءٍ أَحْصَيْنَاهُ فِي إِمَامٍ مُّبِينٍ ﴾</w:t>
      </w:r>
      <w:r>
        <w:t xml:space="preserve"> </w:t>
      </w:r>
      <w:r>
        <w:t xml:space="preserve">سورة يس — الآية 12</w:t>
      </w:r>
    </w:p>
    <w:bookmarkStart w:id="32" w:name="مفهوم-البلوكتشين-سلسلة-الكتل"/>
    <w:p>
      <w:pPr>
        <w:pStyle w:val="Heading2"/>
      </w:pPr>
      <w:r>
        <w:t xml:space="preserve">مفهوم البلوكتشين (سلسلة الكتل)</w:t>
      </w:r>
    </w:p>
    <w:p>
      <w:pPr>
        <w:pStyle w:val="FirstParagraph"/>
      </w:pPr>
      <w:r>
        <w:t xml:space="preserve">تُعدّ تقنية البلوكتشين (Blockchain) العمود الفقري لجميع العملات الرقمية المشفّرة. وببساطة شديدة، يمكن تشبيه البلوكتشين بدفتر حسابات رقمي ضخم ومشترك، يتم توزيع نسخ منه على آلاف الحواسيب حول العالم، بحيث يمكن لأي شخص الاطلاع عليه ولكن لا يستطيع أحد تعديله بشكل فردي أو التلاعب به.</w:t>
      </w:r>
    </w:p>
    <w:p>
      <w:pPr>
        <w:pStyle w:val="BodyText"/>
      </w:pPr>
      <w:r>
        <w:t xml:space="preserve">يتكون هذا الدفتر من سلسلة متصلة من «الكتل» (Blocks)، حيث تحتوي كل كتلة على مجموعة من المعاملات المالية المؤكّدة. وكل كتلة مرتبطة بالكتلة التي قبلها عبر «بصمة رقمية» فريدة تُسمى «هاش» (Hash)، مما يجعل من المستحيل عملياً تغيير أي معاملة مسجلة دون تغيير جميع الكتل اللاحقة — وهو أمر يتطلب قدرة حاسوبية هائلة تتجاوز قدرة أي جهة منفردة.</w:t>
      </w:r>
    </w:p>
    <w:bookmarkEnd w:id="32"/>
    <w:bookmarkStart w:id="33" w:name="كيف-تتم-المعاملة"/>
    <w:p>
      <w:pPr>
        <w:pStyle w:val="Heading2"/>
      </w:pPr>
      <w:r>
        <w:t xml:space="preserve">كيف تتم المعاملة؟</w:t>
      </w:r>
    </w:p>
    <w:p>
      <w:pPr>
        <w:pStyle w:val="FirstParagraph"/>
      </w:pPr>
      <w:r>
        <w:t xml:space="preserve">عندما يريد شخص ما إرسال عملات رقمية إلى شخص آخر، تمر المعاملة بعدة خطوات متتالية. أولاً، يقوم المُرسِل بتوقيع المعاملة رقمياً باستخدام مفتاحه الخاص (Private Key)، وهو رمز سري لا يعرفه أحد غيره. ثم تُبثّ هذه المعاملة إلى شبكة الحواسيب (العقد) المنتشرة حول العالم. تقوم هذه العقد بالتحقق من صحة المعاملة — هل المُرسِل يملك فعلاً الرصيد الكافي؟ هل التوقيع الرقمي صحيح؟ بعد التحقق، تُجمَع المعاملة مع معاملات أخرى في كتلة جديدة، ثم يتنافس «المعدّنون» على إضافة هذه الكتلة إلى السلسلة.</w:t>
      </w:r>
    </w:p>
    <w:bookmarkEnd w:id="33"/>
    <w:bookmarkStart w:id="34" w:name="التعدين-وإثبات-العمل"/>
    <w:p>
      <w:pPr>
        <w:pStyle w:val="Heading2"/>
      </w:pPr>
      <w:r>
        <w:t xml:space="preserve">التعدين وإثبات العمل</w:t>
      </w:r>
    </w:p>
    <w:p>
      <w:pPr>
        <w:pStyle w:val="FirstParagraph"/>
      </w:pPr>
      <w:r>
        <w:t xml:space="preserve">التعدين (Mining) هو العملية التي يتم بها التحقق من المعاملات وإضافتها إلى البلوكتشين. في نظام إثبات العمل (Proof of Work) الذي يستخدمه البيتكوين، يتنافس المعدّنون على حل مسألة رياضية معقّدة — وهي في جوهرها عملية تخمين عشوائي تتطلب قدرة حاسوبية هائلة. أول مُعدّن يحل المسألة يحصل على حق إضافة الكتلة الجديدة ويُكافأ بعملات بيتكوين جديدة (حالياً 3.125 بيتكوين لكل كتلة بعد التنصيف الأخير في أبريل 2024).</w:t>
      </w:r>
    </w:p>
    <w:p>
      <w:pPr>
        <w:pStyle w:val="BodyText"/>
      </w:pPr>
      <w:r>
        <w:t xml:space="preserve">هذا النظام يضمن أمان الشبكة لأن أي محاولة للغش تتطلب السيطرة على أكثر من 50% من القدرة الحاسوبية للشبكة بأكملها — وهو ما يُعرف بـ «هجوم 51%» — وهو أمر شبه مستحيل عملياً نظراً للتكلفة الهائلة التي يتطلبها.</w:t>
      </w:r>
    </w:p>
    <w:bookmarkEnd w:id="34"/>
    <w:bookmarkStart w:id="35" w:name="إثبات-الحصة-proof-of-stake"/>
    <w:p>
      <w:pPr>
        <w:pStyle w:val="Heading2"/>
      </w:pPr>
      <w:r>
        <w:t xml:space="preserve">إثبات الحصة (Proof of Stake)</w:t>
      </w:r>
    </w:p>
    <w:p>
      <w:pPr>
        <w:pStyle w:val="FirstParagraph"/>
      </w:pPr>
      <w:r>
        <w:t xml:space="preserve">نظراً لاستهلاك إثبات العمل لكميات هائلة من الطاقة الكهربائية، طوّرت بعض الشبكات آلية بديلة تُسمى «إثبات الحصة» (Proof of Stake). في هذا النظام، لا يتنافس المشاركون على حل مسائل رياضية، بل يُختار المُصادِق (Validator) بناءً على كمية العملات التي يحتفظ بها ويضعها كضمان (Staking). انتقلت شبكة الإيثيريوم إلى هذا النظام في سبتمبر 2022 فيما عُرف بـ «The Merge»، مما خفّض استهلاكها للطاقة بنسبة تزيد عن 99%.</w:t>
      </w:r>
    </w:p>
    <w:bookmarkEnd w:id="35"/>
    <w:bookmarkStart w:id="36" w:name="العقود-الذكية-smart-contracts"/>
    <w:p>
      <w:pPr>
        <w:pStyle w:val="Heading2"/>
      </w:pPr>
      <w:r>
        <w:t xml:space="preserve">العقود الذكية (Smart Contracts)</w:t>
      </w:r>
    </w:p>
    <w:p>
      <w:pPr>
        <w:pStyle w:val="FirstParagraph"/>
      </w:pPr>
      <w:r>
        <w:t xml:space="preserve">العقود الذكية هي برامج حاسوبية تعمل على البلوكتشين وتُنفَّذ تلقائياً عند تحقق شروط محددة مسبقاً، دون الحاجة إلى وسيط بشري. قدّمها فيتاليك بوتيرين عبر شبكة الإيثيريوم في 2015، وهي تشكّل الأساس التقني للتمويل اللامركزي (DeFi) والرموز غير القابلة للاستبدال (NFTs) والتطبيقات اللامركزية (dApps).</w:t>
      </w:r>
    </w:p>
    <w:p>
      <w:pPr>
        <w:pStyle w:val="BodyText"/>
      </w:pPr>
      <w:r>
        <w:t xml:space="preserve">على سبيل المثال، يمكن لعقد ذكي أن ينص على: «إذا وصل سعر البيتكوين إلى 100,000 دولار، قم تلقائياً ببيع 10% من حصتي». وسيُنفَّذ هذا الأمر تلقائياً دون تدخل أي طرف ثالث. هذه التقنية فتحت آفاقاً واسعة لتطبيقات تتجاوز المال لتشمل سلاسل التوريد والتصويت الإلكتروني والتأمين وغيرها.</w:t>
      </w:r>
    </w:p>
    <w:bookmarkEnd w:id="36"/>
    <w:bookmarkStart w:id="37" w:name="التشفير-والمفاتيح"/>
    <w:p>
      <w:pPr>
        <w:pStyle w:val="Heading2"/>
      </w:pPr>
      <w:r>
        <w:t xml:space="preserve">التشفير والمفاتيح</w:t>
      </w:r>
    </w:p>
    <w:p>
      <w:pPr>
        <w:pStyle w:val="FirstParagraph"/>
      </w:pPr>
      <w:r>
        <w:t xml:space="preserve">يعتمد أمان العملات الرقمية على نظام المفتاح العام والمفتاح الخاص. المفتاح العام (Public Key) يشبه رقم حسابك البنكي الذي يمكنك مشاركته مع الآخرين لتلقي الأموال. أما المفتاح الخاص (Private Key) فهو بمثابة كلمة السر الخاصة بك — من يملكه يستطيع التصرف في عملاتك. لذا فإن حفظ المفتاح الخاص هو أهم قاعدة في عالم العملات الرقمية، وفقدانه يعني فقدان العملات إلى الأبد.</w:t>
      </w:r>
    </w:p>
    <w:bookmarkEnd w:id="37"/>
    <w:bookmarkEnd w:id="38"/>
    <w:bookmarkStart w:id="43" w:name="X62ebeba6b9401bcb83c3a976a31498c63f4e3ee"/>
    <w:p>
      <w:pPr>
        <w:pStyle w:val="Heading1"/>
      </w:pPr>
      <w:r>
        <w:t xml:space="preserve">الفصل الرابع: البيتكوين — العملة الرقمية الأولى</w:t>
      </w:r>
    </w:p>
    <w:p>
      <w:pPr>
        <w:pStyle w:val="FirstParagraph"/>
      </w:pPr>
      <w:r>
        <w:t xml:space="preserve">﴿ وَلَقَدْ خَلَقْنَا الْإِنسَانَ وَنَعْلَمُ مَا تُوَسْوِسُ بِهِ نَفْسُهُ ﴾</w:t>
      </w:r>
      <w:r>
        <w:t xml:space="preserve"> </w:t>
      </w:r>
      <w:r>
        <w:t xml:space="preserve">سورة ق — الآية 16</w:t>
      </w:r>
    </w:p>
    <w:bookmarkStart w:id="39" w:name="ما-هو-البيتكوين"/>
    <w:p>
      <w:pPr>
        <w:pStyle w:val="Heading2"/>
      </w:pPr>
      <w:r>
        <w:t xml:space="preserve">ما هو البيتكوين؟</w:t>
      </w:r>
    </w:p>
    <w:p>
      <w:pPr>
        <w:pStyle w:val="FirstParagraph"/>
      </w:pPr>
      <w:r>
        <w:t xml:space="preserve">البيتكوين (Bitcoin — BTC) هو أول عملة رقمية مشفّرة لامركزية في التاريخ، أُنشئت عام 2009 على يد ساتوشي ناكاموتو. يعمل البيتكوين على شبكة نظير إلى نظير (Peer-to-Peer) بدون وسطاء، ويُتيح إجراء تحويلات مالية عبر الحدود بسرعة وبرسوم منخفضة نسبياً. يُشار إلى البيتكوين أحياناً بـ «الذهب الرقمي» نظراً لمحدودية عرضه (21 مليون وحدة فقط) وخصائصه كمخزن للقيمة.</w:t>
      </w:r>
    </w:p>
    <w:bookmarkEnd w:id="39"/>
    <w:bookmarkStart w:id="40" w:name="خصائص-البيتكوين-الأساسية"/>
    <w:p>
      <w:pPr>
        <w:pStyle w:val="Heading2"/>
      </w:pPr>
      <w:r>
        <w:t xml:space="preserve">خصائص البيتكوين الأساسية</w:t>
      </w:r>
    </w:p>
    <w:p>
      <w:pPr>
        <w:pStyle w:val="FirstParagraph"/>
      </w:pPr>
      <w:r>
        <w:rPr>
          <w:bCs/>
          <w:b/>
        </w:rPr>
        <w:t xml:space="preserve">المحدودية:</w:t>
      </w:r>
      <w:r>
        <w:t xml:space="preserve"> </w:t>
      </w:r>
      <w:r>
        <w:t xml:space="preserve">لن يُنتَج أكثر من 21 مليون بيتكوين على الإطلاق. هذه الندرة المبرمجة تجعله مختلفاً جذرياً عن العملات الورقية التي يمكن طباعتها بلا حدود. حتى الآن، تم تعدين نحو 19.8 مليون بيتكوين، والباقي سيُعدَّن تدريجياً حتى عام 2140 تقريباً.</w:t>
      </w:r>
    </w:p>
    <w:p>
      <w:pPr>
        <w:pStyle w:val="BodyText"/>
      </w:pPr>
      <w:r>
        <w:rPr>
          <w:bCs/>
          <w:b/>
        </w:rPr>
        <w:t xml:space="preserve">القابلية للتجزئة:</w:t>
      </w:r>
      <w:r>
        <w:t xml:space="preserve"> </w:t>
      </w:r>
      <w:r>
        <w:t xml:space="preserve">يمكن تقسيم البيتكوين الواحد إلى 100 مليون وحدة صغرى تُسمى «ساتوشي» (Satoshi) نسبة إلى مخترعه. هذا يعني أنه يمكنك شراء جزء صغير جداً من البيتكوين — لا يلزم شراء بيتكوين كامل.</w:t>
      </w:r>
    </w:p>
    <w:p>
      <w:pPr>
        <w:pStyle w:val="BodyText"/>
      </w:pPr>
      <w:r>
        <w:rPr>
          <w:bCs/>
          <w:b/>
        </w:rPr>
        <w:t xml:space="preserve">اللامركزية:</w:t>
      </w:r>
      <w:r>
        <w:t xml:space="preserve"> </w:t>
      </w:r>
      <w:r>
        <w:t xml:space="preserve">لا تسيطر عليه حكومة أو بنك أو شركة. يتم تشغيله بواسطة شبكة عالمية من الحواسيب تعمل معاً وفق بروتوكول متفق عليه.</w:t>
      </w:r>
    </w:p>
    <w:bookmarkEnd w:id="40"/>
    <w:bookmarkStart w:id="41" w:name="التنصيف-halving"/>
    <w:p>
      <w:pPr>
        <w:pStyle w:val="Heading2"/>
      </w:pPr>
      <w:r>
        <w:t xml:space="preserve">التنصيف (Halving)</w:t>
      </w:r>
    </w:p>
    <w:p>
      <w:pPr>
        <w:pStyle w:val="FirstParagraph"/>
      </w:pPr>
      <w:r>
        <w:t xml:space="preserve">كل أربع سنوات تقريباً (أو كل 210,000 كتلة)، يتم تخفيض مكافأة تعدين البيتكوين إلى النصف، فيما يُعرف بـ «التنصيف» (Halving). بدأت المكافأة بـ 50 بيتكوين لكل كتلة في 2009، ثم انخفضت إلى 25 في 2012، ثم 12.5 في 2016، ثم 6.25 في 2020، والآن 3.125 بيتكوين بعد التنصيف الأخير في أبريل 2024. هذه الآلية تضمن تقليل معدل إنتاج البيتكوين بمرور الوقت، مما يزيد من ندرته.</w:t>
      </w:r>
    </w:p>
    <w:bookmarkEnd w:id="41"/>
    <w:bookmarkStart w:id="42" w:name="البيتكوين-كمخزن-للقيمة"/>
    <w:p>
      <w:pPr>
        <w:pStyle w:val="Heading2"/>
      </w:pPr>
      <w:r>
        <w:t xml:space="preserve">البيتكوين كمخزن للقيمة</w:t>
      </w:r>
    </w:p>
    <w:p>
      <w:pPr>
        <w:pStyle w:val="FirstParagraph"/>
      </w:pPr>
      <w:r>
        <w:t xml:space="preserve">يرى كثير من المستثمرين والمحللين أن البيتكوين يشبه الذهب في كونه مخزناً للقيمة وملاذاً آمناً ضد التضخم. وقد عزز هذا الاتجاه دخول المؤسسات الكبرى إلى السوق، حيث تبلغ أصول صناديق ETF للبيتكوين في الولايات المتحدة أكثر من 128 مليار دولار، بحصة سوقية تقودها شركة بلاك روك (BlackRock) بنسبة 45%. يبلغ سعر البيتكوين الواحد حوالي 84,000 دولار في أوائل أبريل 2026، مع هيمنة على السوق تبلغ نحو 57%.</w:t>
      </w:r>
    </w:p>
    <w:bookmarkEnd w:id="42"/>
    <w:bookmarkEnd w:id="43"/>
    <w:bookmarkStart w:id="50" w:name="X199963f70479702d60a7fac01bc96b497c25e55"/>
    <w:p>
      <w:pPr>
        <w:pStyle w:val="Heading1"/>
      </w:pPr>
      <w:r>
        <w:t xml:space="preserve">الفصل الخامس: أهم العملات الرقمية في العالم</w:t>
      </w:r>
    </w:p>
    <w:p>
      <w:pPr>
        <w:pStyle w:val="FirstParagraph"/>
      </w:pPr>
      <w:r>
        <w:t xml:space="preserve">﴿ وَفِي الْأَرْضِ قِطَعٌ مُّتَجَاوِرَاتٌ ﴾</w:t>
      </w:r>
      <w:r>
        <w:t xml:space="preserve"> </w:t>
      </w:r>
      <w:r>
        <w:t xml:space="preserve">سورة الرعد — الآية 4</w:t>
      </w:r>
    </w:p>
    <w:p>
      <w:pPr>
        <w:pStyle w:val="BodyText"/>
      </w:pPr>
      <w:r>
        <w:t xml:space="preserve">بينما يتصدّر البيتكوين قائمة العملات الرقمية، يوجد الآلاف من العملات الأخرى التي يطلق عليها مجتمعة اسم «العملات البديلة» (Altcoins). إليك أبرز العملات الرقمية وأهمها:</w:t>
      </w:r>
    </w:p>
    <w:bookmarkStart w:id="44" w:name="الإيثيريوم-ethereum-eth"/>
    <w:p>
      <w:pPr>
        <w:pStyle w:val="Heading2"/>
      </w:pPr>
      <w:r>
        <w:t xml:space="preserve">١. الإيثيريوم (Ethereum — ETH)</w:t>
      </w:r>
    </w:p>
    <w:p>
      <w:pPr>
        <w:pStyle w:val="FirstParagraph"/>
      </w:pPr>
      <w:r>
        <w:t xml:space="preserve">أطلقه فيتاليك بوتيرين عام 2015، وهو ثاني أكبر عملة رقمية بقيمة سوقية تبلغ نحو 500 مليار دولار. يتميز الإيثيريوم بدعمه للعقود الذكية والتطبيقات اللامركزية، ويستضيف نحو 68% من التمويل اللامركزي (DeFi) العالمي. انتقل إلى نظام إثبات الحصة في 2022. يبلغ سعره حوالي 1,800 دولار في أبريل 2026.</w:t>
      </w:r>
    </w:p>
    <w:bookmarkEnd w:id="44"/>
    <w:bookmarkStart w:id="45" w:name="ريبل-xrp"/>
    <w:p>
      <w:pPr>
        <w:pStyle w:val="Heading2"/>
      </w:pPr>
      <w:r>
        <w:t xml:space="preserve">٢. ريبل (XRP)</w:t>
      </w:r>
    </w:p>
    <w:p>
      <w:pPr>
        <w:pStyle w:val="FirstParagraph"/>
      </w:pPr>
      <w:r>
        <w:t xml:space="preserve">تُركّز عملة ريبل على تسهيل التحويلات المالية الدولية بين البنوك والمؤسسات المالية بسرعة فائقة (3-5 ثوانٍ) وبتكلفة منخفضة جداً. تتميز بشراكات مع مئات المؤسسات المالية حول العالم، وتحتل مركزاً متقدماً بين أكبر العملات الرقمية من حيث القيمة السوقية.</w:t>
      </w:r>
    </w:p>
    <w:bookmarkEnd w:id="45"/>
    <w:bookmarkStart w:id="46" w:name="سولانا-solana-sol"/>
    <w:p>
      <w:pPr>
        <w:pStyle w:val="Heading2"/>
      </w:pPr>
      <w:r>
        <w:t xml:space="preserve">٣. سولانا (Solana — SOL)</w:t>
      </w:r>
    </w:p>
    <w:p>
      <w:pPr>
        <w:pStyle w:val="FirstParagraph"/>
      </w:pPr>
      <w:r>
        <w:t xml:space="preserve">تتميز سولانا بسرعتها الفائقة في معالجة المعاملات (حتى 65,000 معاملة في الثانية نظرياً) ورسومها المنخفضة جداً. أصبحت منصة شائعة للتطبيقات اللامركزية وخاصة في مجال الرموز غير القابلة للاستبدال (NFTs) والتمويل اللامركزي.</w:t>
      </w:r>
    </w:p>
    <w:bookmarkEnd w:id="46"/>
    <w:bookmarkStart w:id="47" w:name="كاردانو-cardano-ada"/>
    <w:p>
      <w:pPr>
        <w:pStyle w:val="Heading2"/>
      </w:pPr>
      <w:r>
        <w:t xml:space="preserve">٤. كاردانو (Cardano — ADA)</w:t>
      </w:r>
    </w:p>
    <w:p>
      <w:pPr>
        <w:pStyle w:val="FirstParagraph"/>
      </w:pPr>
      <w:r>
        <w:t xml:space="preserve">أسسها تشارلز هوسكينسون (أحد مؤسسي الإيثيريوم) في 2017. تتميز كاردانو بمنهجيتها الأكاديمية في التطوير والتركيز على الاستدامة والأمان، وتستخدم نظام إثبات حصة متقدم يُسمى «أوروبوروس» (Ouroboros).</w:t>
      </w:r>
    </w:p>
    <w:bookmarkEnd w:id="47"/>
    <w:bookmarkStart w:id="48" w:name="بولكادوت-polkadot-dot"/>
    <w:p>
      <w:pPr>
        <w:pStyle w:val="Heading2"/>
      </w:pPr>
      <w:r>
        <w:t xml:space="preserve">٥. بولكادوت (Polkadot — DOT)</w:t>
      </w:r>
    </w:p>
    <w:p>
      <w:pPr>
        <w:pStyle w:val="FirstParagraph"/>
      </w:pPr>
      <w:r>
        <w:t xml:space="preserve">أسسها غافين وود (المؤسس المشارك للإيثيريوم) بهدف إنشاء شبكة تربط بين سلاسل البلوكتشين المختلفة وتمكّنها من التواصل والتبادل فيما بينها، مما يحل مشكلة «العزلة» بين الشبكات المختلفة.</w:t>
      </w:r>
    </w:p>
    <w:bookmarkEnd w:id="48"/>
    <w:bookmarkStart w:id="49" w:name="العملات-المستقرة-الرئيسية"/>
    <w:p>
      <w:pPr>
        <w:pStyle w:val="Heading2"/>
      </w:pPr>
      <w:r>
        <w:t xml:space="preserve">٦. العملات المستقرة الرئيسية</w:t>
      </w:r>
    </w:p>
    <w:p>
      <w:pPr>
        <w:pStyle w:val="FirstParagraph"/>
      </w:pPr>
      <w:r>
        <w:rPr>
          <w:bCs/>
          <w:b/>
        </w:rPr>
        <w:t xml:space="preserve">تيثر (USDT):</w:t>
      </w:r>
      <w:r>
        <w:t xml:space="preserve"> </w:t>
      </w:r>
      <w:r>
        <w:t xml:space="preserve">أكبر عملة مستقرة بقيمة سوقية تتجاوز 140 مليار دولار، مربوطة بالدولار الأمريكي بنسبة 1:1.</w:t>
      </w:r>
    </w:p>
    <w:p>
      <w:pPr>
        <w:pStyle w:val="BodyText"/>
      </w:pPr>
      <w:r>
        <w:rPr>
          <w:bCs/>
          <w:b/>
        </w:rPr>
        <w:t xml:space="preserve">يو إس دي كوين (USDC):</w:t>
      </w:r>
      <w:r>
        <w:t xml:space="preserve"> </w:t>
      </w:r>
      <w:r>
        <w:t xml:space="preserve">عملة مستقرة تُصدرها شركة Circle، تتميز بشفافية أكبر في الاحتياطيات وتحظى بتنظيم أوضح.</w:t>
      </w:r>
    </w:p>
    <w:p>
      <w:pPr>
        <w:pStyle w:val="BodyText"/>
      </w:pPr>
      <w:r>
        <w:t xml:space="preserve">تجاوز حجم التداول السنوي للعملات المستقرة 33 تريليون دولار في عام 2025، وهو رقم يتجاوز حجم المعالجات المالية لشبكة فيزا البالغة 14 تريليون دولار.</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العملة</w:t>
            </w:r>
          </w:p>
        </w:tc>
        <w:tc>
          <w:tcPr/>
          <w:p>
            <w:pPr>
              <w:pStyle w:val="Compact"/>
              <w:jc w:val="left"/>
            </w:pPr>
            <w:r>
              <w:t xml:space="preserve">الرمز</w:t>
            </w:r>
          </w:p>
        </w:tc>
        <w:tc>
          <w:tcPr/>
          <w:p>
            <w:pPr>
              <w:pStyle w:val="Compact"/>
              <w:jc w:val="left"/>
            </w:pPr>
            <w:r>
              <w:t xml:space="preserve">سنة الإطلاق</w:t>
            </w:r>
          </w:p>
        </w:tc>
        <w:tc>
          <w:tcPr/>
          <w:p>
            <w:pPr>
              <w:pStyle w:val="Compact"/>
              <w:jc w:val="left"/>
            </w:pPr>
            <w:r>
              <w:t xml:space="preserve">الاستخدام الرئيسي</w:t>
            </w:r>
          </w:p>
        </w:tc>
        <w:tc>
          <w:tcPr/>
          <w:p>
            <w:pPr>
              <w:pStyle w:val="Compact"/>
              <w:jc w:val="left"/>
            </w:pPr>
            <w:r>
              <w:t xml:space="preserve">آلية الإجماع</w:t>
            </w:r>
          </w:p>
        </w:tc>
      </w:tr>
      <w:tr>
        <w:tc>
          <w:tcPr/>
          <w:p>
            <w:pPr>
              <w:pStyle w:val="Compact"/>
              <w:jc w:val="left"/>
            </w:pPr>
            <w:r>
              <w:t xml:space="preserve">بيتكوين</w:t>
            </w:r>
          </w:p>
        </w:tc>
        <w:tc>
          <w:tcPr/>
          <w:p>
            <w:pPr>
              <w:pStyle w:val="Compact"/>
              <w:jc w:val="left"/>
            </w:pPr>
            <w:r>
              <w:t xml:space="preserve">BTC</w:t>
            </w:r>
          </w:p>
        </w:tc>
        <w:tc>
          <w:tcPr/>
          <w:p>
            <w:pPr>
              <w:pStyle w:val="Compact"/>
              <w:jc w:val="left"/>
            </w:pPr>
            <w:r>
              <w:t xml:space="preserve">2009</w:t>
            </w:r>
          </w:p>
        </w:tc>
        <w:tc>
          <w:tcPr/>
          <w:p>
            <w:pPr>
              <w:pStyle w:val="Compact"/>
              <w:jc w:val="left"/>
            </w:pPr>
            <w:r>
              <w:t xml:space="preserve">مخزن قيمة / عملة</w:t>
            </w:r>
          </w:p>
        </w:tc>
        <w:tc>
          <w:tcPr/>
          <w:p>
            <w:pPr>
              <w:pStyle w:val="Compact"/>
              <w:jc w:val="left"/>
            </w:pPr>
            <w:r>
              <w:t xml:space="preserve">إثبات العمل</w:t>
            </w:r>
          </w:p>
        </w:tc>
      </w:tr>
      <w:tr>
        <w:tc>
          <w:tcPr/>
          <w:p>
            <w:pPr>
              <w:pStyle w:val="Compact"/>
              <w:jc w:val="left"/>
            </w:pPr>
            <w:r>
              <w:t xml:space="preserve">إيثيريوم</w:t>
            </w:r>
          </w:p>
        </w:tc>
        <w:tc>
          <w:tcPr/>
          <w:p>
            <w:pPr>
              <w:pStyle w:val="Compact"/>
              <w:jc w:val="left"/>
            </w:pPr>
            <w:r>
              <w:t xml:space="preserve">ETH</w:t>
            </w:r>
          </w:p>
        </w:tc>
        <w:tc>
          <w:tcPr/>
          <w:p>
            <w:pPr>
              <w:pStyle w:val="Compact"/>
              <w:jc w:val="left"/>
            </w:pPr>
            <w:r>
              <w:t xml:space="preserve">2015</w:t>
            </w:r>
          </w:p>
        </w:tc>
        <w:tc>
          <w:tcPr/>
          <w:p>
            <w:pPr>
              <w:pStyle w:val="Compact"/>
              <w:jc w:val="left"/>
            </w:pPr>
            <w:r>
              <w:t xml:space="preserve">عقود ذكية / DeFi</w:t>
            </w:r>
          </w:p>
        </w:tc>
        <w:tc>
          <w:tcPr/>
          <w:p>
            <w:pPr>
              <w:pStyle w:val="Compact"/>
              <w:jc w:val="left"/>
            </w:pPr>
            <w:r>
              <w:t xml:space="preserve">إثبات الحصة</w:t>
            </w:r>
          </w:p>
        </w:tc>
      </w:tr>
      <w:tr>
        <w:tc>
          <w:tcPr/>
          <w:p>
            <w:pPr>
              <w:pStyle w:val="Compact"/>
              <w:jc w:val="left"/>
            </w:pPr>
            <w:r>
              <w:t xml:space="preserve">ريبل</w:t>
            </w:r>
          </w:p>
        </w:tc>
        <w:tc>
          <w:tcPr/>
          <w:p>
            <w:pPr>
              <w:pStyle w:val="Compact"/>
              <w:jc w:val="left"/>
            </w:pPr>
            <w:r>
              <w:t xml:space="preserve">XRP</w:t>
            </w:r>
          </w:p>
        </w:tc>
        <w:tc>
          <w:tcPr/>
          <w:p>
            <w:pPr>
              <w:pStyle w:val="Compact"/>
              <w:jc w:val="left"/>
            </w:pPr>
            <w:r>
              <w:t xml:space="preserve">2012</w:t>
            </w:r>
          </w:p>
        </w:tc>
        <w:tc>
          <w:tcPr/>
          <w:p>
            <w:pPr>
              <w:pStyle w:val="Compact"/>
              <w:jc w:val="left"/>
            </w:pPr>
            <w:r>
              <w:t xml:space="preserve">تحويلات مالية</w:t>
            </w:r>
          </w:p>
        </w:tc>
        <w:tc>
          <w:tcPr/>
          <w:p>
            <w:pPr>
              <w:pStyle w:val="Compact"/>
              <w:jc w:val="left"/>
            </w:pPr>
            <w:r>
              <w:t xml:space="preserve">بروتوكول خاص</w:t>
            </w:r>
          </w:p>
        </w:tc>
      </w:tr>
      <w:tr>
        <w:tc>
          <w:tcPr/>
          <w:p>
            <w:pPr>
              <w:pStyle w:val="Compact"/>
              <w:jc w:val="left"/>
            </w:pPr>
            <w:r>
              <w:t xml:space="preserve">سولانا</w:t>
            </w:r>
          </w:p>
        </w:tc>
        <w:tc>
          <w:tcPr/>
          <w:p>
            <w:pPr>
              <w:pStyle w:val="Compact"/>
              <w:jc w:val="left"/>
            </w:pPr>
            <w:r>
              <w:t xml:space="preserve">SOL</w:t>
            </w:r>
          </w:p>
        </w:tc>
        <w:tc>
          <w:tcPr/>
          <w:p>
            <w:pPr>
              <w:pStyle w:val="Compact"/>
              <w:jc w:val="left"/>
            </w:pPr>
            <w:r>
              <w:t xml:space="preserve">2020</w:t>
            </w:r>
          </w:p>
        </w:tc>
        <w:tc>
          <w:tcPr/>
          <w:p>
            <w:pPr>
              <w:pStyle w:val="Compact"/>
              <w:jc w:val="left"/>
            </w:pPr>
            <w:r>
              <w:t xml:space="preserve">تطبيقات لامركزية</w:t>
            </w:r>
          </w:p>
        </w:tc>
        <w:tc>
          <w:tcPr/>
          <w:p>
            <w:pPr>
              <w:pStyle w:val="Compact"/>
              <w:jc w:val="left"/>
            </w:pPr>
            <w:r>
              <w:t xml:space="preserve">إثبات التاريخ</w:t>
            </w:r>
          </w:p>
        </w:tc>
      </w:tr>
      <w:tr>
        <w:tc>
          <w:tcPr/>
          <w:p>
            <w:pPr>
              <w:pStyle w:val="Compact"/>
              <w:jc w:val="left"/>
            </w:pPr>
            <w:r>
              <w:t xml:space="preserve">كاردانو</w:t>
            </w:r>
          </w:p>
        </w:tc>
        <w:tc>
          <w:tcPr/>
          <w:p>
            <w:pPr>
              <w:pStyle w:val="Compact"/>
              <w:jc w:val="left"/>
            </w:pPr>
            <w:r>
              <w:t xml:space="preserve">ADA</w:t>
            </w:r>
          </w:p>
        </w:tc>
        <w:tc>
          <w:tcPr/>
          <w:p>
            <w:pPr>
              <w:pStyle w:val="Compact"/>
              <w:jc w:val="left"/>
            </w:pPr>
            <w:r>
              <w:t xml:space="preserve">2017</w:t>
            </w:r>
          </w:p>
        </w:tc>
        <w:tc>
          <w:tcPr/>
          <w:p>
            <w:pPr>
              <w:pStyle w:val="Compact"/>
              <w:jc w:val="left"/>
            </w:pPr>
            <w:r>
              <w:t xml:space="preserve">عقود ذكية</w:t>
            </w:r>
          </w:p>
        </w:tc>
        <w:tc>
          <w:tcPr/>
          <w:p>
            <w:pPr>
              <w:pStyle w:val="Compact"/>
              <w:jc w:val="left"/>
            </w:pPr>
            <w:r>
              <w:t xml:space="preserve">إثبات الحصة</w:t>
            </w:r>
          </w:p>
        </w:tc>
      </w:tr>
      <w:tr>
        <w:tc>
          <w:tcPr/>
          <w:p>
            <w:pPr>
              <w:pStyle w:val="Compact"/>
              <w:jc w:val="left"/>
            </w:pPr>
            <w:r>
              <w:t xml:space="preserve">تيثر</w:t>
            </w:r>
          </w:p>
        </w:tc>
        <w:tc>
          <w:tcPr/>
          <w:p>
            <w:pPr>
              <w:pStyle w:val="Compact"/>
              <w:jc w:val="left"/>
            </w:pPr>
            <w:r>
              <w:t xml:space="preserve">USDT</w:t>
            </w:r>
          </w:p>
        </w:tc>
        <w:tc>
          <w:tcPr/>
          <w:p>
            <w:pPr>
              <w:pStyle w:val="Compact"/>
              <w:jc w:val="left"/>
            </w:pPr>
            <w:r>
              <w:t xml:space="preserve">2014</w:t>
            </w:r>
          </w:p>
        </w:tc>
        <w:tc>
          <w:tcPr/>
          <w:p>
            <w:pPr>
              <w:pStyle w:val="Compact"/>
              <w:jc w:val="left"/>
            </w:pPr>
            <w:r>
              <w:t xml:space="preserve">عملة مستقرة</w:t>
            </w:r>
          </w:p>
        </w:tc>
        <w:tc>
          <w:tcPr/>
          <w:p>
            <w:pPr>
              <w:pStyle w:val="Compact"/>
              <w:jc w:val="left"/>
            </w:pPr>
            <w:r>
              <w:t xml:space="preserve">—</w:t>
            </w:r>
          </w:p>
        </w:tc>
      </w:tr>
      <w:tr>
        <w:tc>
          <w:tcPr/>
          <w:p>
            <w:pPr>
              <w:pStyle w:val="Compact"/>
              <w:jc w:val="left"/>
            </w:pPr>
            <w:r>
              <w:t xml:space="preserve">يو إس دي كوين</w:t>
            </w:r>
          </w:p>
        </w:tc>
        <w:tc>
          <w:tcPr/>
          <w:p>
            <w:pPr>
              <w:pStyle w:val="Compact"/>
              <w:jc w:val="left"/>
            </w:pPr>
            <w:r>
              <w:t xml:space="preserve">USDC</w:t>
            </w:r>
          </w:p>
        </w:tc>
        <w:tc>
          <w:tcPr/>
          <w:p>
            <w:pPr>
              <w:pStyle w:val="Compact"/>
              <w:jc w:val="left"/>
            </w:pPr>
            <w:r>
              <w:t xml:space="preserve">2018</w:t>
            </w:r>
          </w:p>
        </w:tc>
        <w:tc>
          <w:tcPr/>
          <w:p>
            <w:pPr>
              <w:pStyle w:val="Compact"/>
              <w:jc w:val="left"/>
            </w:pPr>
            <w:r>
              <w:t xml:space="preserve">عملة مستقرة</w:t>
            </w:r>
          </w:p>
        </w:tc>
        <w:tc>
          <w:tcPr/>
          <w:p>
            <w:pPr>
              <w:pStyle w:val="Compact"/>
              <w:jc w:val="left"/>
            </w:pPr>
            <w:r>
              <w:t xml:space="preserve">—</w:t>
            </w:r>
          </w:p>
        </w:tc>
      </w:tr>
    </w:tbl>
    <w:bookmarkEnd w:id="49"/>
    <w:bookmarkEnd w:id="50"/>
    <w:bookmarkStart w:id="55" w:name="الفصل-السادس-أهم-الشركات-والمنصات"/>
    <w:p>
      <w:pPr>
        <w:pStyle w:val="Heading1"/>
      </w:pPr>
      <w:r>
        <w:t xml:space="preserve">الفصل السادس: أهم الشركات والمنصات</w:t>
      </w:r>
    </w:p>
    <w:p>
      <w:pPr>
        <w:pStyle w:val="FirstParagraph"/>
      </w:pPr>
      <w:r>
        <w:t xml:space="preserve">﴿ وَتَعَاوَنُوا عَلَى الْبِرِّ وَالتَّقْوَىٰ ﴾</w:t>
      </w:r>
      <w:r>
        <w:t xml:space="preserve"> </w:t>
      </w:r>
      <w:r>
        <w:t xml:space="preserve">سورة المائدة — الآية 2</w:t>
      </w:r>
    </w:p>
    <w:bookmarkStart w:id="51" w:name="منصات-التداول-الكبرى"/>
    <w:p>
      <w:pPr>
        <w:pStyle w:val="Heading2"/>
      </w:pPr>
      <w:r>
        <w:t xml:space="preserve">منصات التداول الكبرى</w:t>
      </w:r>
    </w:p>
    <w:p>
      <w:pPr>
        <w:pStyle w:val="FirstParagraph"/>
      </w:pPr>
      <w:r>
        <w:rPr>
          <w:bCs/>
          <w:b/>
        </w:rPr>
        <w:t xml:space="preserve">بينانس (Binance):</w:t>
      </w:r>
      <w:r>
        <w:t xml:space="preserve"> </w:t>
      </w:r>
      <w:r>
        <w:t xml:space="preserve">أكبر منصة لتداول العملات الرقمية في العالم من حيث حجم التداول. أسسها تشانغبنغ تشاو (CZ) عام 2017، وتسيطر على أكثر من 71% من سيولة العملات المستقرة على المنصات المركزية. تدعم أكثر من 600 عملة رقمية وتخدم مستخدمين في معظم دول العالم.</w:t>
      </w:r>
    </w:p>
    <w:p>
      <w:pPr>
        <w:pStyle w:val="BodyText"/>
      </w:pPr>
      <w:r>
        <w:rPr>
          <w:bCs/>
          <w:b/>
        </w:rPr>
        <w:t xml:space="preserve">كوينبيس (Coinbase):</w:t>
      </w:r>
      <w:r>
        <w:t xml:space="preserve"> </w:t>
      </w:r>
      <w:r>
        <w:t xml:space="preserve">أكبر منصة تداول في الولايات المتحدة، تأسست عام 2012 وأصبحت أول منصة عملات رقمية تُدرج في بورصة ناسداك عام 2021. تتميز بالتزامها بالتنظيمات القانونية وسهولة استخدامها للمبتدئين.</w:t>
      </w:r>
    </w:p>
    <w:p>
      <w:pPr>
        <w:pStyle w:val="BodyText"/>
      </w:pPr>
      <w:r>
        <w:rPr>
          <w:bCs/>
          <w:b/>
        </w:rPr>
        <w:t xml:space="preserve">كراكن (Kraken):</w:t>
      </w:r>
      <w:r>
        <w:t xml:space="preserve"> </w:t>
      </w:r>
      <w:r>
        <w:t xml:space="preserve">منصة أمريكية تأسست عام 2011، تتميز بأدوات تداول متقدمة وسمعة قوية في الأمان.</w:t>
      </w:r>
    </w:p>
    <w:p>
      <w:pPr>
        <w:pStyle w:val="BodyText"/>
      </w:pPr>
      <w:r>
        <w:rPr>
          <w:bCs/>
          <w:b/>
        </w:rPr>
        <w:t xml:space="preserve">Gate.io:</w:t>
      </w:r>
      <w:r>
        <w:t xml:space="preserve"> </w:t>
      </w:r>
      <w:r>
        <w:t xml:space="preserve">منصة تدعم أكثر من 3,600 عملة رقمية، وتقدم إمكانية الوصول إلى مشاريع ناشئة ومتنوعة.</w:t>
      </w:r>
    </w:p>
    <w:bookmarkEnd w:id="51"/>
    <w:bookmarkStart w:id="52" w:name="شركات-إدارة-الأصول-الرقمية"/>
    <w:p>
      <w:pPr>
        <w:pStyle w:val="Heading2"/>
      </w:pPr>
      <w:r>
        <w:t xml:space="preserve">شركات إدارة الأصول الرقمية</w:t>
      </w:r>
    </w:p>
    <w:p>
      <w:pPr>
        <w:pStyle w:val="FirstParagraph"/>
      </w:pPr>
      <w:r>
        <w:rPr>
          <w:bCs/>
          <w:b/>
        </w:rPr>
        <w:t xml:space="preserve">بلاك روك (BlackRock):</w:t>
      </w:r>
      <w:r>
        <w:t xml:space="preserve"> </w:t>
      </w:r>
      <w:r>
        <w:t xml:space="preserve">أكبر شركة لإدارة الأصول في العالم، دخلت سوق العملات الرقمية بقوة عبر صندوق iShares Bitcoin Trust (IBIT) الذي يملك حصة سوقية تبلغ 45% من صناديق ETF للبيتكوين في أمريكا.</w:t>
      </w:r>
    </w:p>
    <w:p>
      <w:pPr>
        <w:pStyle w:val="BodyText"/>
      </w:pPr>
      <w:r>
        <w:rPr>
          <w:bCs/>
          <w:b/>
        </w:rPr>
        <w:t xml:space="preserve">غراي سكيل (Grayscale):</w:t>
      </w:r>
      <w:r>
        <w:t xml:space="preserve"> </w:t>
      </w:r>
      <w:r>
        <w:t xml:space="preserve">من أوائل الشركات التي قدمت منتجات استثمارية مؤسسية في العملات الرقمية، وتدير صناديق متعددة للبيتكوين والإيثيريوم وعملات أخرى.</w:t>
      </w:r>
    </w:p>
    <w:p>
      <w:pPr>
        <w:pStyle w:val="BodyText"/>
      </w:pPr>
      <w:r>
        <w:rPr>
          <w:bCs/>
          <w:b/>
        </w:rPr>
        <w:t xml:space="preserve">فيديليتي (Fidelity):</w:t>
      </w:r>
      <w:r>
        <w:t xml:space="preserve"> </w:t>
      </w:r>
      <w:r>
        <w:t xml:space="preserve">عملاق إدارة الأصول التقليدي الذي أطلق خدمات حفظ وتداول العملات الرقمية للمستثمرين المؤسسيين.</w:t>
      </w:r>
    </w:p>
    <w:bookmarkEnd w:id="52"/>
    <w:bookmarkStart w:id="53" w:name="شركات-التعدين"/>
    <w:p>
      <w:pPr>
        <w:pStyle w:val="Heading2"/>
      </w:pPr>
      <w:r>
        <w:t xml:space="preserve">شركات التعدين</w:t>
      </w:r>
    </w:p>
    <w:p>
      <w:pPr>
        <w:pStyle w:val="FirstParagraph"/>
      </w:pPr>
      <w:r>
        <w:rPr>
          <w:bCs/>
          <w:b/>
        </w:rPr>
        <w:t xml:space="preserve">ماراثون ديجيتال (Marathon Digital):</w:t>
      </w:r>
      <w:r>
        <w:t xml:space="preserve"> </w:t>
      </w:r>
      <w:r>
        <w:t xml:space="preserve">أكبر شركة تعدين بيتكوين مدرجة في البورصة الأمريكية من حيث القدرة الحاسوبية.</w:t>
      </w:r>
    </w:p>
    <w:p>
      <w:pPr>
        <w:pStyle w:val="BodyText"/>
      </w:pPr>
      <w:r>
        <w:rPr>
          <w:bCs/>
          <w:b/>
        </w:rPr>
        <w:t xml:space="preserve">رايت بلاتفورمز (Riot Platforms):</w:t>
      </w:r>
      <w:r>
        <w:t xml:space="preserve"> </w:t>
      </w:r>
      <w:r>
        <w:t xml:space="preserve">شركة تعدين أمريكية كبرى تمتلك مرافق ضخمة في ولاية تكساس.</w:t>
      </w:r>
    </w:p>
    <w:p>
      <w:pPr>
        <w:pStyle w:val="BodyText"/>
      </w:pPr>
      <w:r>
        <w:t xml:space="preserve">تبلغ القيمة السوقية العالمية لقطاع أجهزة تعدين العملات الرقمية حوالي 23.7 مليار دولار، مع توقعات بأن تصل إلى 51.8 مليار دولار بحلول عام 2030.</w:t>
      </w:r>
    </w:p>
    <w:bookmarkEnd w:id="53"/>
    <w:bookmarkStart w:id="54" w:name="شركات-التقنية-والبلوكتشين"/>
    <w:p>
      <w:pPr>
        <w:pStyle w:val="Heading2"/>
      </w:pPr>
      <w:r>
        <w:t xml:space="preserve">شركات التقنية والبلوكتشين</w:t>
      </w:r>
    </w:p>
    <w:p>
      <w:pPr>
        <w:pStyle w:val="FirstParagraph"/>
      </w:pPr>
      <w:r>
        <w:rPr>
          <w:bCs/>
          <w:b/>
        </w:rPr>
        <w:t xml:space="preserve">كونسنسيس (ConsenSys):</w:t>
      </w:r>
      <w:r>
        <w:t xml:space="preserve"> </w:t>
      </w:r>
      <w:r>
        <w:t xml:space="preserve">تطوّر أدوات وبنية تحتية لشبكة الإيثيريوم، وهي الشركة التي تقف وراء محفظة ميتاماسك (MetaMask) الشهيرة.</w:t>
      </w:r>
    </w:p>
    <w:p>
      <w:pPr>
        <w:pStyle w:val="BodyText"/>
      </w:pPr>
      <w:r>
        <w:rPr>
          <w:bCs/>
          <w:b/>
        </w:rPr>
        <w:t xml:space="preserve">تشين أناليسيس (Chainalysis):</w:t>
      </w:r>
      <w:r>
        <w:t xml:space="preserve"> </w:t>
      </w:r>
      <w:r>
        <w:t xml:space="preserve">متخصصة في تحليل بيانات البلوكتشين للمؤسسات الحكومية والشركات، وتلعب دوراً مهماً في مكافحة غسيل الأموال والجرائم المالية.</w:t>
      </w:r>
    </w:p>
    <w:p>
      <w:pPr>
        <w:pStyle w:val="BodyText"/>
      </w:pPr>
      <w:r>
        <w:rPr>
          <w:bCs/>
          <w:b/>
        </w:rPr>
        <w:t xml:space="preserve">ريبل لابز (Ripple Labs):</w:t>
      </w:r>
      <w:r>
        <w:t xml:space="preserve"> </w:t>
      </w:r>
      <w:r>
        <w:t xml:space="preserve">الشركة المطورة لشبكة ريبل وعملة XRP، مع شراكات واسعة في القطاع المصرفي العالمي.</w:t>
      </w:r>
    </w:p>
    <w:bookmarkEnd w:id="54"/>
    <w:bookmarkEnd w:id="55"/>
    <w:bookmarkStart w:id="59" w:name="X64bda95d3392e6c5b15b43cb1bf0c62c6c27ff5"/>
    <w:p>
      <w:pPr>
        <w:pStyle w:val="Heading1"/>
      </w:pPr>
      <w:r>
        <w:t xml:space="preserve">الفصل السابع: كيف تشتري وتحفظ العملات الرقمية</w:t>
      </w:r>
    </w:p>
    <w:p>
      <w:pPr>
        <w:pStyle w:val="FirstParagraph"/>
      </w:pPr>
      <w:r>
        <w:t xml:space="preserve">﴿ يَا أَيُّهَا الَّذِينَ آمَنُوا لَا تَأْكُلُوا أَمْوَالَكُم بَيْنَكُم بِالْبَاطِلِ إِلَّا أَن تَكُونَ تِجَارَةً عَن تَرَاضٍ مِّنكُمْ ﴾</w:t>
      </w:r>
      <w:r>
        <w:t xml:space="preserve"> </w:t>
      </w:r>
      <w:r>
        <w:t xml:space="preserve">سورة النساء — الآية 29</w:t>
      </w:r>
    </w:p>
    <w:bookmarkStart w:id="56" w:name="خطوات-شراء-العملات-الرقمية"/>
    <w:p>
      <w:pPr>
        <w:pStyle w:val="Heading2"/>
      </w:pPr>
      <w:r>
        <w:t xml:space="preserve">خطوات شراء العملات الرقمية</w:t>
      </w:r>
    </w:p>
    <w:p>
      <w:pPr>
        <w:pStyle w:val="FirstParagraph"/>
      </w:pPr>
      <w:r>
        <w:rPr>
          <w:bCs/>
          <w:b/>
        </w:rPr>
        <w:t xml:space="preserve">الخطوة الأولى — اختيار المنصة:</w:t>
      </w:r>
      <w:r>
        <w:t xml:space="preserve"> </w:t>
      </w:r>
      <w:r>
        <w:t xml:space="preserve">اختر منصة تداول موثوقة ومرخّصة. للمبتدئين، تُعدّ منصات مثل كوينبيس وبينانس خياراً جيداً نظراً لسهولة واجهتها ودعمها لعدد كبير من الدول. تأكد من أن المنصة مرخّصة في بلدك وتدعم عملتك المحلية.</w:t>
      </w:r>
    </w:p>
    <w:p>
      <w:pPr>
        <w:pStyle w:val="BodyText"/>
      </w:pPr>
      <w:r>
        <w:rPr>
          <w:bCs/>
          <w:b/>
        </w:rPr>
        <w:t xml:space="preserve">الخطوة الثانية — إنشاء حساب والتحقق:</w:t>
      </w:r>
      <w:r>
        <w:t xml:space="preserve"> </w:t>
      </w:r>
      <w:r>
        <w:t xml:space="preserve">سجّل حساباً جديداً وأكمل عملية التحقق من الهوية (KYC — Know Your Customer). ستحتاج عادةً إلى تقديم صورة من هويتك الرسمية وصورة شخصية وإثبات عنوان سكنك.</w:t>
      </w:r>
    </w:p>
    <w:p>
      <w:pPr>
        <w:pStyle w:val="BodyText"/>
      </w:pPr>
      <w:r>
        <w:rPr>
          <w:bCs/>
          <w:b/>
        </w:rPr>
        <w:t xml:space="preserve">الخطوة الثالثة — إيداع الأموال:</w:t>
      </w:r>
      <w:r>
        <w:t xml:space="preserve"> </w:t>
      </w:r>
      <w:r>
        <w:t xml:space="preserve">أودع أموالاً في حسابك عبر التحويل البنكي أو بطاقة الائتمان أو وسائل الدفع المحلية المتاحة. لاحظ أن الرسوم تختلف باختلاف طريقة الدفع.</w:t>
      </w:r>
    </w:p>
    <w:p>
      <w:pPr>
        <w:pStyle w:val="BodyText"/>
      </w:pPr>
      <w:r>
        <w:rPr>
          <w:bCs/>
          <w:b/>
        </w:rPr>
        <w:t xml:space="preserve">الخطوة الرابعة — الشراء:</w:t>
      </w:r>
      <w:r>
        <w:t xml:space="preserve"> </w:t>
      </w:r>
      <w:r>
        <w:t xml:space="preserve">ابحث عن العملة التي تريد شراءها، حدد المبلغ، وأكد عملية الشراء. يمكنك شراء أجزاء صغيرة من أي عملة — لا يلزم شراء وحدة كاملة.</w:t>
      </w:r>
    </w:p>
    <w:bookmarkEnd w:id="56"/>
    <w:bookmarkStart w:id="57" w:name="المحافظ-الرقمية-wallets"/>
    <w:p>
      <w:pPr>
        <w:pStyle w:val="Heading2"/>
      </w:pPr>
      <w:r>
        <w:t xml:space="preserve">المحافظ الرقمية (Wallets)</w:t>
      </w:r>
    </w:p>
    <w:p>
      <w:pPr>
        <w:pStyle w:val="FirstParagraph"/>
      </w:pPr>
      <w:r>
        <w:t xml:space="preserve">بعد شراء العملات الرقمية، تحتاج إلى تخزينها بطريقة آمنة. هناك عدة أنواع من المحافظ:</w:t>
      </w:r>
    </w:p>
    <w:p>
      <w:pPr>
        <w:pStyle w:val="BodyText"/>
      </w:pPr>
      <w:r>
        <w:rPr>
          <w:bCs/>
          <w:b/>
        </w:rPr>
        <w:t xml:space="preserve">محافظ المنصة (Exchange Wallets):</w:t>
      </w:r>
      <w:r>
        <w:t xml:space="preserve"> </w:t>
      </w:r>
      <w:r>
        <w:t xml:space="preserve">تبقي عملاتك مخزنة على المنصة نفسها. وهي الأسهل للمبتدئين لكنها الأقل أماناً لأنك تعتمد على المنصة في حماية أموالك.</w:t>
      </w:r>
    </w:p>
    <w:p>
      <w:pPr>
        <w:pStyle w:val="BodyText"/>
      </w:pPr>
      <w:r>
        <w:rPr>
          <w:bCs/>
          <w:b/>
        </w:rPr>
        <w:t xml:space="preserve">المحافظ الساخنة (Hot Wallets):</w:t>
      </w:r>
      <w:r>
        <w:t xml:space="preserve"> </w:t>
      </w:r>
      <w:r>
        <w:t xml:space="preserve">تطبيقات على الهاتف أو الحاسوب متصلة بالإنترنت، مثل ميتاماسك (MetaMask) وترست واليت (Trust Wallet) وفانتوم (Phantom). توفر توازناً بين السهولة والأمان.</w:t>
      </w:r>
    </w:p>
    <w:p>
      <w:pPr>
        <w:pStyle w:val="BodyText"/>
      </w:pPr>
      <w:r>
        <w:rPr>
          <w:bCs/>
          <w:b/>
        </w:rPr>
        <w:t xml:space="preserve">المحافظ الباردة (Cold Wallets):</w:t>
      </w:r>
      <w:r>
        <w:t xml:space="preserve"> </w:t>
      </w:r>
      <w:r>
        <w:t xml:space="preserve">أجهزة مادية غير متصلة بالإنترنت، مثل ليدجر (Ledger) وتريزور (Trezor). تُعدّ الخيار الأكثر أماناً للتخزين طويل المدى لأنها معزولة عن الإنترنت وبالتالي محمية من الاختراقات.</w:t>
      </w:r>
    </w:p>
    <w:p>
      <w:pPr>
        <w:pStyle w:val="BodyText"/>
      </w:pPr>
      <w:r>
        <w:rPr>
          <w:bCs/>
          <w:b/>
        </w:rPr>
        <w:t xml:space="preserve">المحافظ الورقية (Paper Wallets):</w:t>
      </w:r>
      <w:r>
        <w:t xml:space="preserve"> </w:t>
      </w:r>
      <w:r>
        <w:t xml:space="preserve">طباعة المفاتيح الخاصة والعامة على ورقة وحفظها في مكان آمن. رغم بساطتها، فهي عرضة للتلف المادي.</w:t>
      </w:r>
    </w:p>
    <w:p>
      <w:pPr>
        <w:pStyle w:val="BodyText"/>
      </w:pPr>
      <w:r>
        <w:rPr>
          <w:bCs/>
          <w:b/>
        </w:rPr>
        <w:t xml:space="preserve">نصيحة مهمة:</w:t>
      </w:r>
      <w:r>
        <w:t xml:space="preserve"> </w:t>
      </w:r>
      <w:r>
        <w:t xml:space="preserve">القاعدة الذهبية في عالم العملات الرقمية هي: «ليست مفاتيحك، ليست عملاتك» (Not your keys, not your coins). إذا لم تكن تملك المفاتيح الخاصة لعملاتك، فأنت لا تملكها فعلياً — بل تعتمد على طرف ثالث في حفظها لك.</w:t>
      </w:r>
    </w:p>
    <w:bookmarkEnd w:id="57"/>
    <w:bookmarkStart w:id="58" w:name="نصائح-أمنية-للمبتدئين"/>
    <w:p>
      <w:pPr>
        <w:pStyle w:val="Heading2"/>
      </w:pPr>
      <w:r>
        <w:t xml:space="preserve">نصائح أمنية للمبتدئين</w:t>
      </w:r>
    </w:p>
    <w:p>
      <w:pPr>
        <w:pStyle w:val="FirstParagraph"/>
      </w:pPr>
      <w:r>
        <w:t xml:space="preserve">أولاً، فعّل دائماً المصادقة الثنائية (2FA) على حسابك في أي منصة تداول. ثانياً، لا تشارك مفتاحك الخاص أو عبارة الاسترداد (Seed Phrase) مع أي شخص مطلقاً. ثالثاً، احذر من رسائل التصيّد الاحتيالي التي تتظاهر بأنها من المنصة. رابعاً، لا تحفظ كميات كبيرة من العملات على المنصات — استخدم محفظة باردة للمبالغ الكبيرة. خامساً، احتفظ بنسخة احتياطية من عبارة الاسترداد في مكان آمن ومختلف عن مكان تخزين الجهاز.</w:t>
      </w:r>
    </w:p>
    <w:bookmarkEnd w:id="58"/>
    <w:bookmarkEnd w:id="59"/>
    <w:bookmarkStart w:id="67" w:name="الفصل-الثامن-إيجابيات-العملات-الرقمية"/>
    <w:p>
      <w:pPr>
        <w:pStyle w:val="Heading1"/>
      </w:pPr>
      <w:r>
        <w:t xml:space="preserve">الفصل الثامن: إيجابيات العملات الرقمية</w:t>
      </w:r>
    </w:p>
    <w:p>
      <w:pPr>
        <w:pStyle w:val="FirstParagraph"/>
      </w:pPr>
      <w:r>
        <w:t xml:space="preserve">﴿ وَابْتَغِ فِيمَا آتَاكَ اللَّهُ الدَّارَ الْآخِرَةَ وَلَا تَنسَ نَصِيبَكَ مِنَ الدُّنْيَا ﴾</w:t>
      </w:r>
      <w:r>
        <w:t xml:space="preserve"> </w:t>
      </w:r>
      <w:r>
        <w:t xml:space="preserve">سورة القصص — الآية 77</w:t>
      </w:r>
    </w:p>
    <w:bookmarkStart w:id="60" w:name="الشمول-المالي"/>
    <w:p>
      <w:pPr>
        <w:pStyle w:val="Heading2"/>
      </w:pPr>
      <w:r>
        <w:t xml:space="preserve">١. الشمول المالي</w:t>
      </w:r>
    </w:p>
    <w:p>
      <w:pPr>
        <w:pStyle w:val="FirstParagraph"/>
      </w:pPr>
      <w:r>
        <w:t xml:space="preserve">تتيح العملات الرقمية الوصول إلى الخدمات المالية لأكثر من 1.4 مليار شخص حول العالم لا يملكون حسابات بنكية. كل ما يحتاجه الشخص هو هاتف ذكي واتصال بالإنترنت ليتمكن من إرسال واستقبال الأموال وتخزين القيمة. هذا أمر ثوري خاصة في الدول النامية حيث البنية التحتية المصرفية ضعيفة.</w:t>
      </w:r>
    </w:p>
    <w:bookmarkEnd w:id="60"/>
    <w:bookmarkStart w:id="61" w:name="تحويلات-دولية-سريعة-ومنخفضة-التكلفة"/>
    <w:p>
      <w:pPr>
        <w:pStyle w:val="Heading2"/>
      </w:pPr>
      <w:r>
        <w:t xml:space="preserve">٢. تحويلات دولية سريعة ومنخفضة التكلفة</w:t>
      </w:r>
    </w:p>
    <w:p>
      <w:pPr>
        <w:pStyle w:val="FirstParagraph"/>
      </w:pPr>
      <w:r>
        <w:t xml:space="preserve">بينما قد يستغرق التحويل البنكي الدولي من 3 إلى 5 أيام عمل مع رسوم تتراوح بين 25 و50 دولاراً، يمكن تحويل مبالغ كبيرة عبر البيتكوين خلال دقائق معدودة بتكلفة أقل بكثير. بالنسبة للعمالة الوافدة التي ترسل تحويلات مالية إلى بلدانها، يمكن أن توفر العملات الرقمية مبالغ كبيرة في الرسوم.</w:t>
      </w:r>
    </w:p>
    <w:bookmarkEnd w:id="61"/>
    <w:bookmarkStart w:id="62" w:name="الشفافية-ومقاومة-التزوير"/>
    <w:p>
      <w:pPr>
        <w:pStyle w:val="Heading2"/>
      </w:pPr>
      <w:r>
        <w:t xml:space="preserve">٣. الشفافية ومقاومة التزوير</w:t>
      </w:r>
    </w:p>
    <w:p>
      <w:pPr>
        <w:pStyle w:val="FirstParagraph"/>
      </w:pPr>
      <w:r>
        <w:t xml:space="preserve">جميع المعاملات على البلوكتشين مسجلة بشكل عام ودائم ولا يمكن تعديلها أو حذفها. هذه الشفافية تجعل من الصعب جداً التزوير أو التلاعب بالسجلات المالية، وهي ميزة قيّمة في مكافحة الفساد.</w:t>
      </w:r>
    </w:p>
    <w:bookmarkEnd w:id="62"/>
    <w:bookmarkStart w:id="63" w:name="الحماية-من-التضخم"/>
    <w:p>
      <w:pPr>
        <w:pStyle w:val="Heading2"/>
      </w:pPr>
      <w:r>
        <w:t xml:space="preserve">٤. الحماية من التضخم</w:t>
      </w:r>
    </w:p>
    <w:p>
      <w:pPr>
        <w:pStyle w:val="FirstParagraph"/>
      </w:pPr>
      <w:r>
        <w:t xml:space="preserve">العملات ذات العرض المحدود مثل البيتكوين (21 مليون وحدة فقط) توفر حماية نظرية من التضخم، على عكس العملات الورقية التي يمكن طباعة كميات غير محدودة منها. هذه الخاصية جعلت البيتكوين جذاباً في الدول التي تعاني من تضخم مرتفع مثل فنزويلا وتركيا والأرجنتين.</w:t>
      </w:r>
    </w:p>
    <w:bookmarkEnd w:id="63"/>
    <w:bookmarkStart w:id="64" w:name="الابتكار-التقني"/>
    <w:p>
      <w:pPr>
        <w:pStyle w:val="Heading2"/>
      </w:pPr>
      <w:r>
        <w:t xml:space="preserve">٥. الابتكار التقني</w:t>
      </w:r>
    </w:p>
    <w:p>
      <w:pPr>
        <w:pStyle w:val="FirstParagraph"/>
      </w:pPr>
      <w:r>
        <w:t xml:space="preserve">أدّت العملات الرقمية إلى ابتكارات ثورية تتجاوز المال، من التمويل اللامركزي (DeFi) الذي يُتيح الإقراض والاقتراض بدون بنوك، إلى الرموز غير القابلة للاستبدال (NFTs) التي أعادت تشكيل مفهوم الملكية الرقمية، إلى المنظمات اللامركزية المستقلة (DAOs) التي تُدار جماعياً بدون إدارة مركزية.</w:t>
      </w:r>
    </w:p>
    <w:bookmarkEnd w:id="64"/>
    <w:bookmarkStart w:id="65" w:name="الملكية-الكاملة-والسيادة-المالية"/>
    <w:p>
      <w:pPr>
        <w:pStyle w:val="Heading2"/>
      </w:pPr>
      <w:r>
        <w:t xml:space="preserve">٦. الملكية الكاملة والسيادة المالية</w:t>
      </w:r>
    </w:p>
    <w:p>
      <w:pPr>
        <w:pStyle w:val="FirstParagraph"/>
      </w:pPr>
      <w:r>
        <w:t xml:space="preserve">مع العملات الرقمية، أنت تملك أموالك بشكل مباشر دون وسيط. لا يمكن لأي حكومة أو بنك تجميد حسابك أو مصادرة أموالك إذا كنت تحتفظ بمفاتيحك الخاصة. هذه السيادة المالية تُعدّ ميزة جوهرية خاصة في البلدان التي تعاني من عدم استقرار سياسي أو اقتصادي.</w:t>
      </w:r>
    </w:p>
    <w:bookmarkEnd w:id="65"/>
    <w:bookmarkStart w:id="66" w:name="فرص-استثمارية"/>
    <w:p>
      <w:pPr>
        <w:pStyle w:val="Heading2"/>
      </w:pPr>
      <w:r>
        <w:t xml:space="preserve">٧. فرص استثمارية</w:t>
      </w:r>
    </w:p>
    <w:p>
      <w:pPr>
        <w:pStyle w:val="FirstParagraph"/>
      </w:pPr>
      <w:r>
        <w:t xml:space="preserve">رغم التقلبات الحادة، حقق البيتكوين عوائد استثنائية على المدى الطويل. من يشترى بيتكوين بقيمة 100 دولار في عام 2011 عندما كان سعره أقل من دولار واحد، يملك اليوم ثروة تقدر بملايين الدولارات. بالطبع، هذا لا يضمن عوائد مستقبلية مماثلة، لكنه يوضح الإمكانات الكبيرة لهذه الفئة من الأصول.</w:t>
      </w:r>
    </w:p>
    <w:bookmarkEnd w:id="66"/>
    <w:bookmarkEnd w:id="67"/>
    <w:bookmarkStart w:id="75" w:name="Xaa76a434d7515180f1dd1c1ae729563b03a675e"/>
    <w:p>
      <w:pPr>
        <w:pStyle w:val="Heading1"/>
      </w:pPr>
      <w:r>
        <w:t xml:space="preserve">الفصل التاسع: مخاطر العملات الرقمية وتحدياتها</w:t>
      </w:r>
    </w:p>
    <w:p>
      <w:pPr>
        <w:pStyle w:val="FirstParagraph"/>
      </w:pPr>
      <w:r>
        <w:t xml:space="preserve">﴿ وَلَا تُلْقُوا بِأَيْدِيكُمْ إِلَى التَّهْلُكَةِ ﴾</w:t>
      </w:r>
      <w:r>
        <w:t xml:space="preserve"> </w:t>
      </w:r>
      <w:r>
        <w:t xml:space="preserve">سورة البقرة — الآية 195</w:t>
      </w:r>
    </w:p>
    <w:bookmarkStart w:id="68" w:name="التقلبات-الحادة-في-الأسعار"/>
    <w:p>
      <w:pPr>
        <w:pStyle w:val="Heading2"/>
      </w:pPr>
      <w:r>
        <w:t xml:space="preserve">١. التقلبات الحادة في الأسعار</w:t>
      </w:r>
    </w:p>
    <w:p>
      <w:pPr>
        <w:pStyle w:val="FirstParagraph"/>
      </w:pPr>
      <w:r>
        <w:t xml:space="preserve">تُعدّ التقلبات السعرية من أبرز مخاطر العملات الرقمية. فالبيتكوين مثلاً شهد أربع فترات انخفاض حاد منذ انطلاقه، حيث فقد أكثر من 50% من قيمته في كل مرة. في نوفمبر 2021 وصل إلى 69,000 دولار ثم انهار إلى أقل من 20,000 دولار بنهاية 2022. مثل هذه التقلبات يمكن أن تؤدي إلى خسائر فادحة للمستثمرين غير المستعدين.</w:t>
      </w:r>
    </w:p>
    <w:bookmarkEnd w:id="68"/>
    <w:bookmarkStart w:id="69" w:name="الاحتيال-والسرقة"/>
    <w:p>
      <w:pPr>
        <w:pStyle w:val="Heading2"/>
      </w:pPr>
      <w:r>
        <w:t xml:space="preserve">٢. الاحتيال والسرقة</w:t>
      </w:r>
    </w:p>
    <w:p>
      <w:pPr>
        <w:pStyle w:val="FirstParagraph"/>
      </w:pPr>
      <w:r>
        <w:t xml:space="preserve">يتعرض سوق العملات الرقمية لمستويات مقلقة من الاحتيال والسرقة. وفقاً لتقارير شركة تشين أناليسيس، بلغت السرقات عبر الاختراقات 3.4 مليار دولار في عام 2025 وحده، وعند إضافة عمليات الاحتيال تصل الخسائر إلى 17 مليار دولار. تتنوع أساليب الاحتيال من مشاريع وهمية (Rug Pulls) إلى التصيّد الاحتيالي (Phishing) إلى المخططات الهرمية (Ponzi Schemes).</w:t>
      </w:r>
    </w:p>
    <w:bookmarkEnd w:id="69"/>
    <w:bookmarkStart w:id="70" w:name="فقدان-المفاتيح-الخاصة"/>
    <w:p>
      <w:pPr>
        <w:pStyle w:val="Heading2"/>
      </w:pPr>
      <w:r>
        <w:t xml:space="preserve">٣. فقدان المفاتيح الخاصة</w:t>
      </w:r>
    </w:p>
    <w:p>
      <w:pPr>
        <w:pStyle w:val="FirstParagraph"/>
      </w:pPr>
      <w:r>
        <w:t xml:space="preserve">إذا فقدت مفتاحك الخاص أو عبارة الاسترداد، تفقد عملاتك إلى الأبد دون أي إمكانية لاستعادتها. لا يوجد «نسيت كلمة المرور» في عالم العملات الرقمية. تشير التقديرات إلى أن نحو 20% من جميع البيتكوينات المُعدَّنة (ما يعادل 140 مليار دولار تقريباً) مفقودة نهائياً بسبب فقدان المفاتيح.</w:t>
      </w:r>
    </w:p>
    <w:bookmarkEnd w:id="70"/>
    <w:bookmarkStart w:id="71" w:name="المخاطر-التنظيمية-والقانونية"/>
    <w:p>
      <w:pPr>
        <w:pStyle w:val="Heading2"/>
      </w:pPr>
      <w:r>
        <w:t xml:space="preserve">٤. المخاطر التنظيمية والقانونية</w:t>
      </w:r>
    </w:p>
    <w:p>
      <w:pPr>
        <w:pStyle w:val="FirstParagraph"/>
      </w:pPr>
      <w:r>
        <w:t xml:space="preserve">تتباين المواقف القانونية تجاه العملات الرقمية بشكل كبير من دولة لأخرى. فبينما تسمح بها نحو 91 دولة، تحظرها دول أخرى مثل الصين وبنغلاديش وبوليفيا. يمكن أن تؤدي تغييرات تنظيمية مفاجئة إلى هبوط حاد في الأسعار أو تقييد قدرتك على تداول عملاتك.</w:t>
      </w:r>
    </w:p>
    <w:bookmarkEnd w:id="71"/>
    <w:bookmarkStart w:id="72" w:name="استهلاك-الطاقة"/>
    <w:p>
      <w:pPr>
        <w:pStyle w:val="Heading2"/>
      </w:pPr>
      <w:r>
        <w:t xml:space="preserve">٥. استهلاك الطاقة</w:t>
      </w:r>
    </w:p>
    <w:p>
      <w:pPr>
        <w:pStyle w:val="FirstParagraph"/>
      </w:pPr>
      <w:r>
        <w:t xml:space="preserve">يستهلك تعدين البيتكوين كميات هائلة من الكهرباء — تقدّر بعض الدراسات أن شبكة البيتكوين تستهلك طاقة تعادل ما تستهلكه دول بأكملها مثل فنلندا. هذا يثير مخاوف بيئية جدية، رغم أن بعض المعدّنين يتحولون تدريجياً إلى مصادر الطاقة المتجددة.</w:t>
      </w:r>
    </w:p>
    <w:bookmarkEnd w:id="72"/>
    <w:bookmarkStart w:id="73" w:name="التعقيد-التقني"/>
    <w:p>
      <w:pPr>
        <w:pStyle w:val="Heading2"/>
      </w:pPr>
      <w:r>
        <w:t xml:space="preserve">٦. التعقيد التقني</w:t>
      </w:r>
    </w:p>
    <w:p>
      <w:pPr>
        <w:pStyle w:val="FirstParagraph"/>
      </w:pPr>
      <w:r>
        <w:t xml:space="preserve">يظل عالم العملات الرقمية معقداً تقنياً بالنسبة للمبتدئين. فهم المحافظ والمفاتيح الخاصة وعناوين الشبكات والرسوم يتطلب منحنى تعلّم حاداً. والخطأ في إرسال العملات إلى عنوان خاطئ أو شبكة خاطئة قد يعني فقدانها نهائياً.</w:t>
      </w:r>
    </w:p>
    <w:bookmarkEnd w:id="73"/>
    <w:bookmarkStart w:id="74" w:name="مخاطر-المشاريع-الفاشلة"/>
    <w:p>
      <w:pPr>
        <w:pStyle w:val="Heading2"/>
      </w:pPr>
      <w:r>
        <w:t xml:space="preserve">٧. مخاطر المشاريع الفاشلة</w:t>
      </w:r>
    </w:p>
    <w:p>
      <w:pPr>
        <w:pStyle w:val="FirstParagraph"/>
      </w:pPr>
      <w:r>
        <w:t xml:space="preserve">من بين آلاف العملات الرقمية المتداولة، ينتهي كثير منها بالفشل. أبرز مثال هو انهيار عملة تيرا/لونا في مايو 2022 الذي محا نحو 60 مليار دولار من القيمة السوقية في غضون أيام، وإفلاس منصة FTX في نوفمبر 2022 الذي أدى إلى خسارة أموال ملايين المستخدمين.</w:t>
      </w:r>
    </w:p>
    <w:p>
      <w:pPr>
        <w:pStyle w:val="BodyText"/>
      </w:pPr>
      <w:r>
        <w:rPr>
          <w:bCs/>
          <w:b/>
        </w:rPr>
        <w:t xml:space="preserve">تحذير مهم للمبتدئين:</w:t>
      </w:r>
      <w:r>
        <w:t xml:space="preserve"> </w:t>
      </w:r>
      <w:r>
        <w:t xml:space="preserve">لا تستثمر أبداً أكثر مما يمكنك تحمّل خسارته بالكامل. العملات الرقمية أصول عالية المخاطر، والأداء السابق لا يضمن نتائج مستقبلية. قم بالبحث الخاص بك (DYOR — Do Your Own Research) قبل أي قرار استثماري.</w:t>
      </w:r>
    </w:p>
    <w:bookmarkEnd w:id="74"/>
    <w:bookmarkEnd w:id="75"/>
    <w:bookmarkStart w:id="80" w:name="الفصل-العاشر-حجم-السوق-والأرقام-الكبرى"/>
    <w:p>
      <w:pPr>
        <w:pStyle w:val="Heading1"/>
      </w:pPr>
      <w:r>
        <w:t xml:space="preserve">الفصل العاشر: حجم السوق والأرقام الكبرى</w:t>
      </w:r>
    </w:p>
    <w:p>
      <w:pPr>
        <w:pStyle w:val="FirstParagraph"/>
      </w:pPr>
      <w:r>
        <w:t xml:space="preserve">﴿ وَأَحْصَىٰ كُلَّ شَيْءٍ عَدَدًا ﴾</w:t>
      </w:r>
      <w:r>
        <w:t xml:space="preserve"> </w:t>
      </w:r>
      <w:r>
        <w:t xml:space="preserve">سورة الجن — الآية 28</w:t>
      </w:r>
    </w:p>
    <w:p>
      <w:pPr>
        <w:pStyle w:val="BodyText"/>
      </w:pPr>
      <w:r>
        <w:t xml:space="preserve">يُعدّ سوق العملات الرقمية واحداً من أسرع الأسواق المالية نمواً في التاريخ الحديث. إليك أبرز الأرقام والإحصائيات التي تعطي صورة واضحة عن حجم هذا السوق:</w:t>
      </w:r>
    </w:p>
    <w:bookmarkStart w:id="76" w:name="الأرقام-الرئيسية-حتى-الربع-الأول-من-2026"/>
    <w:p>
      <w:pPr>
        <w:pStyle w:val="Heading2"/>
      </w:pPr>
      <w:r>
        <w:t xml:space="preserve">الأرقام الرئيسية (حتى الربع الأول من 2026)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المؤشر</w:t>
            </w:r>
          </w:p>
        </w:tc>
        <w:tc>
          <w:tcPr/>
          <w:p>
            <w:pPr>
              <w:pStyle w:val="Compact"/>
              <w:jc w:val="left"/>
            </w:pPr>
            <w:r>
              <w:t xml:space="preserve">القيمة</w:t>
            </w:r>
          </w:p>
        </w:tc>
      </w:tr>
      <w:tr>
        <w:tc>
          <w:tcPr/>
          <w:p>
            <w:pPr>
              <w:pStyle w:val="Compact"/>
              <w:jc w:val="left"/>
            </w:pPr>
            <w:r>
              <w:t xml:space="preserve">القيمة السوقية الإجمالية</w:t>
            </w:r>
          </w:p>
        </w:tc>
        <w:tc>
          <w:tcPr/>
          <w:p>
            <w:pPr>
              <w:pStyle w:val="Compact"/>
              <w:jc w:val="left"/>
            </w:pPr>
            <w:r>
              <w:t xml:space="preserve">~2.5 تريليون دولار</w:t>
            </w:r>
          </w:p>
        </w:tc>
      </w:tr>
      <w:tr>
        <w:tc>
          <w:tcPr/>
          <w:p>
            <w:pPr>
              <w:pStyle w:val="Compact"/>
              <w:jc w:val="left"/>
            </w:pPr>
            <w:r>
              <w:t xml:space="preserve">ذروة القيمة السوقية (أواخر 2024)</w:t>
            </w:r>
          </w:p>
        </w:tc>
        <w:tc>
          <w:tcPr/>
          <w:p>
            <w:pPr>
              <w:pStyle w:val="Compact"/>
              <w:jc w:val="left"/>
            </w:pPr>
            <w:r>
              <w:t xml:space="preserve">~3.8 تريليون دولار</w:t>
            </w:r>
          </w:p>
        </w:tc>
      </w:tr>
      <w:tr>
        <w:tc>
          <w:tcPr/>
          <w:p>
            <w:pPr>
              <w:pStyle w:val="Compact"/>
              <w:jc w:val="left"/>
            </w:pPr>
            <w:r>
              <w:t xml:space="preserve">حجم التداول اليومي</w:t>
            </w:r>
          </w:p>
        </w:tc>
        <w:tc>
          <w:tcPr/>
          <w:p>
            <w:pPr>
              <w:pStyle w:val="Compact"/>
              <w:jc w:val="left"/>
            </w:pPr>
            <w:r>
              <w:t xml:space="preserve">أكثر من 100 مليار دولار</w:t>
            </w:r>
          </w:p>
        </w:tc>
      </w:tr>
      <w:tr>
        <w:tc>
          <w:tcPr/>
          <w:p>
            <w:pPr>
              <w:pStyle w:val="Compact"/>
              <w:jc w:val="left"/>
            </w:pPr>
            <w:r>
              <w:t xml:space="preserve">هيمنة البيتكوين</w:t>
            </w:r>
          </w:p>
        </w:tc>
        <w:tc>
          <w:tcPr/>
          <w:p>
            <w:pPr>
              <w:pStyle w:val="Compact"/>
              <w:jc w:val="left"/>
            </w:pPr>
            <w:r>
              <w:t xml:space="preserve">~57%</w:t>
            </w:r>
          </w:p>
        </w:tc>
      </w:tr>
      <w:tr>
        <w:tc>
          <w:tcPr/>
          <w:p>
            <w:pPr>
              <w:pStyle w:val="Compact"/>
              <w:jc w:val="left"/>
            </w:pPr>
            <w:r>
              <w:t xml:space="preserve">هيمنة الإيثيريوم</w:t>
            </w:r>
          </w:p>
        </w:tc>
        <w:tc>
          <w:tcPr/>
          <w:p>
            <w:pPr>
              <w:pStyle w:val="Compact"/>
              <w:jc w:val="left"/>
            </w:pPr>
            <w:r>
              <w:t xml:space="preserve">~10%</w:t>
            </w:r>
          </w:p>
        </w:tc>
      </w:tr>
      <w:tr>
        <w:tc>
          <w:tcPr/>
          <w:p>
            <w:pPr>
              <w:pStyle w:val="Compact"/>
              <w:jc w:val="left"/>
            </w:pPr>
            <w:r>
              <w:t xml:space="preserve">عدد العملات النشطة</w:t>
            </w:r>
          </w:p>
        </w:tc>
        <w:tc>
          <w:tcPr/>
          <w:p>
            <w:pPr>
              <w:pStyle w:val="Compact"/>
              <w:jc w:val="left"/>
            </w:pPr>
            <w:r>
              <w:t xml:space="preserve">أكثر من 18,000</w:t>
            </w:r>
          </w:p>
        </w:tc>
      </w:tr>
      <w:tr>
        <w:tc>
          <w:tcPr/>
          <w:p>
            <w:pPr>
              <w:pStyle w:val="Compact"/>
              <w:jc w:val="left"/>
            </w:pPr>
            <w:r>
              <w:t xml:space="preserve">عدد منصات التداول</w:t>
            </w:r>
          </w:p>
        </w:tc>
        <w:tc>
          <w:tcPr/>
          <w:p>
            <w:pPr>
              <w:pStyle w:val="Compact"/>
              <w:jc w:val="left"/>
            </w:pPr>
            <w:r>
              <w:t xml:space="preserve">~1,500</w:t>
            </w:r>
          </w:p>
        </w:tc>
      </w:tr>
      <w:tr>
        <w:tc>
          <w:tcPr/>
          <w:p>
            <w:pPr>
              <w:pStyle w:val="Compact"/>
              <w:jc w:val="left"/>
            </w:pPr>
            <w:r>
              <w:t xml:space="preserve">عدد حاملي العملات الرقمية عالمياً</w:t>
            </w:r>
          </w:p>
        </w:tc>
        <w:tc>
          <w:tcPr/>
          <w:p>
            <w:pPr>
              <w:pStyle w:val="Compact"/>
              <w:jc w:val="left"/>
            </w:pPr>
            <w:r>
              <w:t xml:space="preserve">~560 مليون شخص</w:t>
            </w:r>
          </w:p>
        </w:tc>
      </w:tr>
      <w:tr>
        <w:tc>
          <w:tcPr/>
          <w:p>
            <w:pPr>
              <w:pStyle w:val="Compact"/>
              <w:jc w:val="left"/>
            </w:pPr>
            <w:r>
              <w:t xml:space="preserve">نسبة الأمريكيين الذين يملكون عملات رقمية</w:t>
            </w:r>
          </w:p>
        </w:tc>
        <w:tc>
          <w:tcPr/>
          <w:p>
            <w:pPr>
              <w:pStyle w:val="Compact"/>
              <w:jc w:val="left"/>
            </w:pPr>
            <w:r>
              <w:t xml:space="preserve">30% (~70 مليون)</w:t>
            </w:r>
          </w:p>
        </w:tc>
      </w:tr>
      <w:tr>
        <w:tc>
          <w:tcPr/>
          <w:p>
            <w:pPr>
              <w:pStyle w:val="Compact"/>
              <w:jc w:val="left"/>
            </w:pPr>
            <w:r>
              <w:t xml:space="preserve">حجم سوق العملات المستقرة</w:t>
            </w:r>
          </w:p>
        </w:tc>
        <w:tc>
          <w:tcPr/>
          <w:p>
            <w:pPr>
              <w:pStyle w:val="Compact"/>
              <w:jc w:val="left"/>
            </w:pPr>
            <w:r>
              <w:t xml:space="preserve">أكثر من 210 مليار دولار</w:t>
            </w:r>
          </w:p>
        </w:tc>
      </w:tr>
      <w:tr>
        <w:tc>
          <w:tcPr/>
          <w:p>
            <w:pPr>
              <w:pStyle w:val="Compact"/>
              <w:jc w:val="left"/>
            </w:pPr>
            <w:r>
              <w:t xml:space="preserve">أصول صناديق ETF للبيتكوين (أمريكا)</w:t>
            </w:r>
          </w:p>
        </w:tc>
        <w:tc>
          <w:tcPr/>
          <w:p>
            <w:pPr>
              <w:pStyle w:val="Compact"/>
              <w:jc w:val="left"/>
            </w:pPr>
            <w:r>
              <w:t xml:space="preserve">أكثر من 128 مليار دولار</w:t>
            </w:r>
          </w:p>
        </w:tc>
      </w:tr>
      <w:tr>
        <w:tc>
          <w:tcPr/>
          <w:p>
            <w:pPr>
              <w:pStyle w:val="Compact"/>
              <w:jc w:val="left"/>
            </w:pPr>
            <w:r>
              <w:t xml:space="preserve">حجم تداول العملات المستقرة السنوي (2025)</w:t>
            </w:r>
          </w:p>
        </w:tc>
        <w:tc>
          <w:tcPr/>
          <w:p>
            <w:pPr>
              <w:pStyle w:val="Compact"/>
              <w:jc w:val="left"/>
            </w:pPr>
            <w:r>
              <w:t xml:space="preserve">33 تريليون دولار</w:t>
            </w:r>
          </w:p>
        </w:tc>
      </w:tr>
    </w:tbl>
    <w:bookmarkEnd w:id="76"/>
    <w:bookmarkStart w:id="77" w:name="التوزيع-الجغرافي"/>
    <w:p>
      <w:pPr>
        <w:pStyle w:val="Heading2"/>
      </w:pPr>
      <w:r>
        <w:t xml:space="preserve">التوزيع الجغرافي</w:t>
      </w:r>
    </w:p>
    <w:p>
      <w:pPr>
        <w:pStyle w:val="FirstParagraph"/>
      </w:pPr>
      <w:r>
        <w:t xml:space="preserve">تتصدر منطقة آسيا والمحيط الهادئ حصة السوق بنسبة 30.7% من إجمالي السوق العالمي. وتُعدّ الهند والصين والولايات المتحدة من أكثر الدول التي يوجد فيها حاملو عملات رقمية من حيث العدد المطلق. أما من حيث نسبة السكان، تتصدر الإمارات العربية المتحدة مع حوالي 2.9 مليون مالك للعملات الرقمية.</w:t>
      </w:r>
    </w:p>
    <w:bookmarkEnd w:id="77"/>
    <w:bookmarkStart w:id="78" w:name="نمو-سوق-المشتقات"/>
    <w:p>
      <w:pPr>
        <w:pStyle w:val="Heading2"/>
      </w:pPr>
      <w:r>
        <w:t xml:space="preserve">نمو سوق المشتقات</w:t>
      </w:r>
    </w:p>
    <w:p>
      <w:pPr>
        <w:pStyle w:val="FirstParagraph"/>
      </w:pPr>
      <w:r>
        <w:t xml:space="preserve">يشكّل تداول المشتقات (العقود الآجلة والخيارات) نحو 75.7% من إجمالي حجم التداول في المنصات المركزية، مما يدل على نضج السوق ودخول المتداولين المحترفين والمؤسسات. يعكس هذا تحولاً من سوق يقوده المتداولون الأفراد إلى سوق تقوده المؤسسات الكبرى.</w:t>
      </w:r>
    </w:p>
    <w:bookmarkEnd w:id="78"/>
    <w:bookmarkStart w:id="79" w:name="صندوق-etf-والمؤسسات"/>
    <w:p>
      <w:pPr>
        <w:pStyle w:val="Heading2"/>
      </w:pPr>
      <w:r>
        <w:t xml:space="preserve">صندوق ETF والمؤسسات</w:t>
      </w:r>
    </w:p>
    <w:p>
      <w:pPr>
        <w:pStyle w:val="FirstParagraph"/>
      </w:pPr>
      <w:r>
        <w:t xml:space="preserve">تمثل صناديق ETF للبيتكوين نقطة تحول تاريخية في قبول العملات الرقمية مؤسسياً. فصناديق البيتكوين تملك أكثر من 128 مليار دولار مع تدفقات صافية تراكمية بلغت 65 مليار دولار. كما تبلغ أصول صناديق الإيثيريوم 19.1 مليار دولار. هذه الأرقام تعكس ثقة مؤسسية متنامية في العملات الرقمية كفئة أصول مشروعة.</w:t>
      </w:r>
    </w:p>
    <w:bookmarkEnd w:id="79"/>
    <w:bookmarkEnd w:id="80"/>
    <w:bookmarkStart w:id="87" w:name="X3f75e019fc0b88b668b85cde9b0988715a3dadb"/>
    <w:p>
      <w:pPr>
        <w:pStyle w:val="Heading1"/>
      </w:pPr>
      <w:r>
        <w:t xml:space="preserve">الفصل الحادي عشر: التنظيم القانوني حول العالم</w:t>
      </w:r>
    </w:p>
    <w:p>
      <w:pPr>
        <w:pStyle w:val="FirstParagraph"/>
      </w:pPr>
      <w:r>
        <w:t xml:space="preserve">﴿ إِنَّ اللَّهَ يَأْمُرُكُمْ أَن تُؤَدُّوا الْأَمَانَاتِ إِلَىٰ أَهْلِهَا ﴾</w:t>
      </w:r>
      <w:r>
        <w:t xml:space="preserve"> </w:t>
      </w:r>
      <w:r>
        <w:t xml:space="preserve">سورة النساء — الآية 58</w:t>
      </w:r>
    </w:p>
    <w:bookmarkStart w:id="81" w:name="الولايات-المتحدة-الأمريكية"/>
    <w:p>
      <w:pPr>
        <w:pStyle w:val="Heading2"/>
      </w:pPr>
      <w:r>
        <w:t xml:space="preserve">الولايات المتحدة الأمريكية</w:t>
      </w:r>
    </w:p>
    <w:p>
      <w:pPr>
        <w:pStyle w:val="FirstParagraph"/>
      </w:pPr>
      <w:r>
        <w:t xml:space="preserve">تتبع الولايات المتحدة نهجاً تنظيمياً متعدد الوكالات. تعتبر هيئة الأوراق المالية (SEC) بعض العملات الرقمية أوراقاً مالية، بينما تصنفها هيئة تداول السلع (CFTC) كسلع. أسهمت الموافقة على صناديق ETF للبيتكوين في 2024 في توضيح الإطار التنظيمي جزئياً. لكن البيئة التنظيمية لا تزال في طور التطور.</w:t>
      </w:r>
    </w:p>
    <w:bookmarkEnd w:id="81"/>
    <w:bookmarkStart w:id="82" w:name="الاتحاد-الأوروبي-تنظيم-mica"/>
    <w:p>
      <w:pPr>
        <w:pStyle w:val="Heading2"/>
      </w:pPr>
      <w:r>
        <w:t xml:space="preserve">الاتحاد الأوروبي — تنظيم MiCA</w:t>
      </w:r>
    </w:p>
    <w:p>
      <w:pPr>
        <w:pStyle w:val="FirstParagraph"/>
      </w:pPr>
      <w:r>
        <w:t xml:space="preserve">يُعدّ تنظيم MiCA (Markets in Crypto-Assets) من أشمل الأطر القانونية للعملات الرقمية في العالم. دخل حيز التنفيذ في 30 ديسمبر 2024، ويلزم جميع مقدمي خدمات العملات الرقمية بالحصول على ترخيص أوروبي بحلول 1 يوليو 2026. يوفر هذا التنظيم حماية للمستهلكين ووضوحاً قانونياً عبر 27 دولة عضو.</w:t>
      </w:r>
    </w:p>
    <w:bookmarkEnd w:id="82"/>
    <w:bookmarkStart w:id="83" w:name="الصين"/>
    <w:p>
      <w:pPr>
        <w:pStyle w:val="Heading2"/>
      </w:pPr>
      <w:r>
        <w:t xml:space="preserve">الصين</w:t>
      </w:r>
    </w:p>
    <w:p>
      <w:pPr>
        <w:pStyle w:val="FirstParagraph"/>
      </w:pPr>
      <w:r>
        <w:t xml:space="preserve">حظرت الصين تداول وتعدين العملات الرقمية بشكل كامل في عام 2021. ومع ذلك، تستثمر بكثافة في تطوير اليوان الرقمي (e-CNY) كعملة رقمية حكومية تحت إشراف البنك المركزي الصيني.</w:t>
      </w:r>
    </w:p>
    <w:bookmarkEnd w:id="83"/>
    <w:bookmarkStart w:id="84" w:name="العالم-العربي"/>
    <w:p>
      <w:pPr>
        <w:pStyle w:val="Heading2"/>
      </w:pPr>
      <w:r>
        <w:t xml:space="preserve">العالم العربي</w:t>
      </w:r>
    </w:p>
    <w:p>
      <w:pPr>
        <w:pStyle w:val="FirstParagraph"/>
      </w:pPr>
      <w:r>
        <w:t xml:space="preserve">تتصدر الإمارات العربية المتحدة المنطقة في تبني العملات الرقمية، حيث أنشأت هيئة تنظيم الأصول الافتراضية (VARA) في دبي وأصدرت تراخيص لعدة منصات دولية. كما اتخذت البحرين والسعودية خطوات تنظيمية متقدمة. بالمقابل، تتبنى دول أخرى في المنطقة نهجاً أكثر حذراً أو تحظر التعاملات بالعملات الرقمية.</w:t>
      </w:r>
    </w:p>
    <w:bookmarkEnd w:id="84"/>
    <w:bookmarkStart w:id="85" w:name="اليابان"/>
    <w:p>
      <w:pPr>
        <w:pStyle w:val="Heading2"/>
      </w:pPr>
      <w:r>
        <w:t xml:space="preserve">اليابان</w:t>
      </w:r>
    </w:p>
    <w:p>
      <w:pPr>
        <w:pStyle w:val="FirstParagraph"/>
      </w:pPr>
      <w:r>
        <w:t xml:space="preserve">تُعدّ اليابان من أوائل الدول التي اعترفت بالعملات الرقمية كوسيلة دفع قانونية، وتخضع المنصات لرقابة صارمة من هيئة الخدمات المالية (FSA).</w:t>
      </w:r>
    </w:p>
    <w:bookmarkEnd w:id="85"/>
    <w:bookmarkStart w:id="86" w:name="السلفادور"/>
    <w:p>
      <w:pPr>
        <w:pStyle w:val="Heading2"/>
      </w:pPr>
      <w:r>
        <w:t xml:space="preserve">السلفادور</w:t>
      </w:r>
    </w:p>
    <w:p>
      <w:pPr>
        <w:pStyle w:val="FirstParagraph"/>
      </w:pPr>
      <w:r>
        <w:t xml:space="preserve">كانت السلفادور أول دولة في العالم تعتمد البيتكوين كعملة قانونية رسمية في سبتمبر 2021، إلا أنها تراجعت عن هذا القرار لاحقاً بحلول عام 2025 تحت ضغوط من صندوق النقد الدولي.</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التصنيف</w:t>
            </w:r>
          </w:p>
        </w:tc>
        <w:tc>
          <w:tcPr/>
          <w:p>
            <w:pPr>
              <w:pStyle w:val="Compact"/>
              <w:jc w:val="left"/>
            </w:pPr>
            <w:r>
              <w:t xml:space="preserve">عدد الدول</w:t>
            </w:r>
          </w:p>
        </w:tc>
        <w:tc>
          <w:tcPr/>
          <w:p>
            <w:pPr>
              <w:pStyle w:val="Compact"/>
              <w:jc w:val="left"/>
            </w:pPr>
            <w:r>
              <w:t xml:space="preserve">أمثلة</w:t>
            </w:r>
          </w:p>
        </w:tc>
      </w:tr>
      <w:tr>
        <w:tc>
          <w:tcPr/>
          <w:p>
            <w:pPr>
              <w:pStyle w:val="Compact"/>
              <w:jc w:val="left"/>
            </w:pPr>
            <w:r>
              <w:t xml:space="preserve">قانونية ومنظّمة</w:t>
            </w:r>
          </w:p>
        </w:tc>
        <w:tc>
          <w:tcPr/>
          <w:p>
            <w:pPr>
              <w:pStyle w:val="Compact"/>
              <w:jc w:val="left"/>
            </w:pPr>
            <w:r>
              <w:t xml:space="preserve">~91</w:t>
            </w:r>
          </w:p>
        </w:tc>
        <w:tc>
          <w:tcPr/>
          <w:p>
            <w:pPr>
              <w:pStyle w:val="Compact"/>
              <w:jc w:val="left"/>
            </w:pPr>
            <w:r>
              <w:t xml:space="preserve">أمريكا، الاتحاد الأوروبي، اليابان، الإمارات</w:t>
            </w:r>
          </w:p>
        </w:tc>
      </w:tr>
      <w:tr>
        <w:tc>
          <w:tcPr/>
          <w:p>
            <w:pPr>
              <w:pStyle w:val="Compact"/>
              <w:jc w:val="left"/>
            </w:pPr>
            <w:r>
              <w:t xml:space="preserve">غير منظمة (ليست محظورة)</w:t>
            </w:r>
          </w:p>
        </w:tc>
        <w:tc>
          <w:tcPr/>
          <w:p>
            <w:pPr>
              <w:pStyle w:val="Compact"/>
              <w:jc w:val="left"/>
            </w:pPr>
            <w:r>
              <w:t xml:space="preserve">~61</w:t>
            </w:r>
          </w:p>
        </w:tc>
        <w:tc>
          <w:tcPr/>
          <w:p>
            <w:pPr>
              <w:pStyle w:val="Compact"/>
              <w:jc w:val="left"/>
            </w:pPr>
            <w:r>
              <w:t xml:space="preserve">بعض دول أفريقيا وآسيا</w:t>
            </w:r>
          </w:p>
        </w:tc>
      </w:tr>
      <w:tr>
        <w:tc>
          <w:tcPr/>
          <w:p>
            <w:pPr>
              <w:pStyle w:val="Compact"/>
              <w:jc w:val="left"/>
            </w:pPr>
            <w:r>
              <w:t xml:space="preserve">محظورة</w:t>
            </w:r>
          </w:p>
        </w:tc>
        <w:tc>
          <w:tcPr/>
          <w:p>
            <w:pPr>
              <w:pStyle w:val="Compact"/>
              <w:jc w:val="left"/>
            </w:pPr>
            <w:r>
              <w:t xml:space="preserve">~7</w:t>
            </w:r>
          </w:p>
        </w:tc>
        <w:tc>
          <w:tcPr/>
          <w:p>
            <w:pPr>
              <w:pStyle w:val="Compact"/>
              <w:jc w:val="left"/>
            </w:pPr>
            <w:r>
              <w:t xml:space="preserve">الصين، بنغلاديش، بوليفيا</w:t>
            </w:r>
          </w:p>
        </w:tc>
      </w:tr>
    </w:tbl>
    <w:bookmarkEnd w:id="86"/>
    <w:bookmarkEnd w:id="87"/>
    <w:bookmarkStart w:id="94" w:name="الفصل-الثاني-عشر-مستقبل-العملات-الرقمية"/>
    <w:p>
      <w:pPr>
        <w:pStyle w:val="Heading1"/>
      </w:pPr>
      <w:r>
        <w:t xml:space="preserve">الفصل الثاني عشر: مستقبل العملات الرقمية</w:t>
      </w:r>
    </w:p>
    <w:p>
      <w:pPr>
        <w:pStyle w:val="FirstParagraph"/>
      </w:pPr>
      <w:r>
        <w:t xml:space="preserve">﴿ وَمَا تَدْرِي نَفْسٌ مَّاذَا تَكْسِبُ غَدًا ﴾</w:t>
      </w:r>
      <w:r>
        <w:t xml:space="preserve"> </w:t>
      </w:r>
      <w:r>
        <w:t xml:space="preserve">سورة لقمان — الآية 34</w:t>
      </w:r>
    </w:p>
    <w:bookmarkStart w:id="88" w:name="التبني-المؤسسي-المتزايد"/>
    <w:p>
      <w:pPr>
        <w:pStyle w:val="Heading2"/>
      </w:pPr>
      <w:r>
        <w:t xml:space="preserve">التبني المؤسسي المتزايد</w:t>
      </w:r>
    </w:p>
    <w:p>
      <w:pPr>
        <w:pStyle w:val="FirstParagraph"/>
      </w:pPr>
      <w:r>
        <w:t xml:space="preserve">يُتوقع أن يستمر دخول المؤسسات المالية الكبرى في سوق العملات الرقمية بوتيرة متسارعة. نجاح صناديق ETF للبيتكوين فتح الباب أمام إطلاق صناديق مماثلة لعملات أخرى. كما تعمل البنوك الكبرى على تطوير خدمات حفظ وتداول العملات الرقمية لعملائها من المؤسسات والأفراد الأثرياء.</w:t>
      </w:r>
    </w:p>
    <w:bookmarkEnd w:id="88"/>
    <w:bookmarkStart w:id="89" w:name="العملات-الرقمية-للبنوك-المركزية-cbdcs"/>
    <w:p>
      <w:pPr>
        <w:pStyle w:val="Heading2"/>
      </w:pPr>
      <w:r>
        <w:t xml:space="preserve">العملات الرقمية للبنوك المركزية (CBDCs)</w:t>
      </w:r>
    </w:p>
    <w:p>
      <w:pPr>
        <w:pStyle w:val="FirstParagraph"/>
      </w:pPr>
      <w:r>
        <w:t xml:space="preserve">تعمل أكثر من 130 دولة على دراسة أو تطوير عملات رقمية خاصة ببنوكها المركزية. هذه العملات ستجمع بين سهولة الدفع الرقمي والرقابة الحكومية، لكنها ستختلف جوهرياً عن العملات المشفّرة اللامركزية لأنها تخضع لسيطرة مركزية كاملة.</w:t>
      </w:r>
    </w:p>
    <w:bookmarkEnd w:id="89"/>
    <w:bookmarkStart w:id="90" w:name="تطور-التمويل-اللامركزي-defi"/>
    <w:p>
      <w:pPr>
        <w:pStyle w:val="Heading2"/>
      </w:pPr>
      <w:r>
        <w:t xml:space="preserve">تطور التمويل اللامركزي (DeFi)</w:t>
      </w:r>
    </w:p>
    <w:p>
      <w:pPr>
        <w:pStyle w:val="FirstParagraph"/>
      </w:pPr>
      <w:r>
        <w:t xml:space="preserve">يُتوقع أن يستمر نمو التمويل اللامركزي مع ظهور تطبيقات أكثر تطوراً في الإقراض والاقتراض والتأمين وإدارة الأصول، مما قد يُعيد تشكيل القطاع المالي التقليدي بشكل جذري. كما ستلعب العقود الذكية دوراً متزايداً في أتمتة العمليات المالية المعقدة.</w:t>
      </w:r>
    </w:p>
    <w:bookmarkEnd w:id="90"/>
    <w:bookmarkStart w:id="91" w:name="التنظيم-العالمي"/>
    <w:p>
      <w:pPr>
        <w:pStyle w:val="Heading2"/>
      </w:pPr>
      <w:r>
        <w:t xml:space="preserve">التنظيم العالمي</w:t>
      </w:r>
    </w:p>
    <w:p>
      <w:pPr>
        <w:pStyle w:val="FirstParagraph"/>
      </w:pPr>
      <w:r>
        <w:t xml:space="preserve">ستستمر الحكومات في تطوير أطر تنظيمية أكثر وضوحاً وشمولاً. تنظيم MiCA الأوروبي سيكون نموذجاً تحتذي به دول أخرى. التوازن بين حماية المستهلك وتشجيع الابتكار سيكون التحدي الأكبر أمام المنظمين حول العالم.</w:t>
      </w:r>
    </w:p>
    <w:bookmarkEnd w:id="91"/>
    <w:bookmarkStart w:id="92" w:name="التكامل-مع-الذكاء-الاصطناعي"/>
    <w:p>
      <w:pPr>
        <w:pStyle w:val="Heading2"/>
      </w:pPr>
      <w:r>
        <w:t xml:space="preserve">التكامل مع الذكاء الاصطناعي</w:t>
      </w:r>
    </w:p>
    <w:p>
      <w:pPr>
        <w:pStyle w:val="FirstParagraph"/>
      </w:pPr>
      <w:r>
        <w:t xml:space="preserve">يُتوقع أن يلعب الذكاء الاصطناعي دوراً متزايداً في سوق العملات الرقمية، من التداول الآلي إلى إدارة المخاطر إلى اكتشاف الاحتيال. كما ستظهر مشاريع تجمع بين تقنيات البلوكتشين والذكاء الاصطناعي لإنشاء حلول مبتكرة في مجالات متعددة.</w:t>
      </w:r>
    </w:p>
    <w:bookmarkEnd w:id="92"/>
    <w:bookmarkStart w:id="93" w:name="التحديات-المستقبلية"/>
    <w:p>
      <w:pPr>
        <w:pStyle w:val="Heading2"/>
      </w:pPr>
      <w:r>
        <w:t xml:space="preserve">التحديات المستقبلية</w:t>
      </w:r>
    </w:p>
    <w:p>
      <w:pPr>
        <w:pStyle w:val="FirstParagraph"/>
      </w:pPr>
      <w:r>
        <w:t xml:space="preserve">يواجه سوق العملات الرقمية تحديات مهمة تشمل: تطوير حلول قابلية التوسع (Scalability) لاستيعاب ملايين المعاملات في الثانية، والتعامل مع التهديدات المحتملة للحوسبة الكمومية على تقنيات التشفير الحالية، وتحقيق الاستدامة البيئية في عمليات التعدين، وبناء جسور التواصل بين سلاسل البلوكتشين المختلفة (Interoperability).</w:t>
      </w:r>
    </w:p>
    <w:bookmarkEnd w:id="93"/>
    <w:bookmarkEnd w:id="94"/>
    <w:bookmarkStart w:id="95" w:name="الخاتمة"/>
    <w:p>
      <w:pPr>
        <w:pStyle w:val="Heading1"/>
      </w:pPr>
      <w:r>
        <w:t xml:space="preserve">الخاتمة</w:t>
      </w:r>
    </w:p>
    <w:p>
      <w:pPr>
        <w:pStyle w:val="FirstParagraph"/>
      </w:pPr>
      <w:r>
        <w:t xml:space="preserve">ختاماً، تمثل العملات الرقمية واحدة من أهم الثورات التقنية والمالية في تاريخ البشرية الحديث. من ورقة بيضاء نشرها شخص مجهول الهوية في عام 2008، نما هذا القطاع ليصبح سوقاً بقيمة تريليونات الدولارات يؤثر في حياة مئات الملايين من البشر حول العالم.</w:t>
      </w:r>
    </w:p>
    <w:p>
      <w:pPr>
        <w:pStyle w:val="BodyText"/>
      </w:pPr>
      <w:r>
        <w:t xml:space="preserve">لا يزال هذا المجال في مراحله المبكرة نسبياً، ويحمل في طياته فرصاً هائلة وتحديات جسيمة في الوقت ذاته. فبينما توفر العملات الرقمية إمكانية الوصول إلى خدمات مالية لملايين المحرومين منها، وتبتكر حلولاً ثورية عبر العقود الذكية والتمويل اللامركزي، فإنها تحمل أيضاً مخاطر كبيرة من التقلبات الحادة والاحتيال والتعقيد التقني.</w:t>
      </w:r>
    </w:p>
    <w:p>
      <w:pPr>
        <w:pStyle w:val="BodyText"/>
      </w:pPr>
      <w:r>
        <w:t xml:space="preserve">أنصح كل قارئ مبتدئ بأن يبدأ بالتعلّم قبل الاستثمار، وأن يتحرك بخطوات صغيرة ومدروسة، وألا يستثمر أكثر مما يمكنه تحمّل خسارته. ففهم هذه التقنية لا يتطلب بالضرورة الاستثمار فيها، لكنه أصبح ضرورة ثقافية في عصر يتحول فيه المال إلى رقم.</w:t>
      </w:r>
    </w:p>
    <w:p>
      <w:pPr>
        <w:pStyle w:val="BodyText"/>
      </w:pPr>
      <w:r>
        <w:t xml:space="preserve">أسأل الله أن يكون هذا الكتاب نافعاً لكل من يقرأه، وأن يعين على فهم هذا العالم الجديد بما ينفع الناس ويحقق مصالحهم المشروعة.</w:t>
      </w:r>
    </w:p>
    <w:p>
      <w:pPr>
        <w:pStyle w:val="BodyText"/>
      </w:pPr>
      <w:r>
        <w:t xml:space="preserve">والله أعلم</w:t>
      </w:r>
    </w:p>
    <w:bookmarkEnd w:id="95"/>
    <w:bookmarkStart w:id="101" w:name="المراجع-العلمية"/>
    <w:p>
      <w:pPr>
        <w:pStyle w:val="Heading1"/>
      </w:pPr>
      <w:r>
        <w:t xml:space="preserve">المراجع العلمية</w:t>
      </w:r>
    </w:p>
    <w:bookmarkStart w:id="96" w:name="المصادر-الأساسية"/>
    <w:p>
      <w:pPr>
        <w:pStyle w:val="Heading3"/>
      </w:pPr>
      <w:r>
        <w:t xml:space="preserve">المصادر الأساسية</w:t>
      </w:r>
    </w:p>
    <w:p>
      <w:pPr>
        <w:pStyle w:val="FirstParagraph"/>
      </w:pPr>
      <w:r>
        <w:t xml:space="preserve">Nakamoto, S. (2008). Bitcoin: A Peer-to-Peer Electronic Cash System. bitcoin.org/bitcoin.pdf</w:t>
      </w:r>
    </w:p>
    <w:p>
      <w:pPr>
        <w:pStyle w:val="BodyText"/>
      </w:pPr>
      <w:r>
        <w:t xml:space="preserve">Buterin, V. (2014). Ethereum: A Next-Generation Smart Contract and Decentralized Application Platform. ethereum.org/whitepaper</w:t>
      </w:r>
    </w:p>
    <w:bookmarkEnd w:id="96"/>
    <w:bookmarkStart w:id="97" w:name="التقارير-والإحصائيات"/>
    <w:p>
      <w:pPr>
        <w:pStyle w:val="Heading3"/>
      </w:pPr>
      <w:r>
        <w:t xml:space="preserve">التقارير والإحصائيات</w:t>
      </w:r>
    </w:p>
    <w:p>
      <w:pPr>
        <w:pStyle w:val="FirstParagraph"/>
      </w:pPr>
      <w:r>
        <w:t xml:space="preserve">CoinMarketCap. (2026). Global Cryptocurrency Market Overview. coinmarketcap.com</w:t>
      </w:r>
    </w:p>
    <w:p>
      <w:pPr>
        <w:pStyle w:val="BodyText"/>
      </w:pPr>
      <w:r>
        <w:t xml:space="preserve">CoinGecko. (2026). Cryptocurrency Market Data. coingecko.com</w:t>
      </w:r>
    </w:p>
    <w:p>
      <w:pPr>
        <w:pStyle w:val="BodyText"/>
      </w:pPr>
      <w:r>
        <w:t xml:space="preserve">Chainalysis. (2026). The 2026 Crypto Crime Report.</w:t>
      </w:r>
    </w:p>
    <w:p>
      <w:pPr>
        <w:pStyle w:val="BodyText"/>
      </w:pPr>
      <w:r>
        <w:t xml:space="preserve">Security.org. (2026). American Cryptocurrency Ownership Report.</w:t>
      </w:r>
    </w:p>
    <w:p>
      <w:pPr>
        <w:pStyle w:val="BodyText"/>
      </w:pPr>
      <w:r>
        <w:t xml:space="preserve">Statista. (2026). Cryptocurrency Market Revenue Projections.</w:t>
      </w:r>
    </w:p>
    <w:p>
      <w:pPr>
        <w:pStyle w:val="BodyText"/>
      </w:pPr>
      <w:r>
        <w:t xml:space="preserve">Grand View Research. (2026). Cryptocurrency Market Share Analysis.</w:t>
      </w:r>
    </w:p>
    <w:bookmarkEnd w:id="97"/>
    <w:bookmarkStart w:id="98" w:name="الأطر-التنظيمية"/>
    <w:p>
      <w:pPr>
        <w:pStyle w:val="Heading3"/>
      </w:pPr>
      <w:r>
        <w:t xml:space="preserve">الأطر التنظيمية</w:t>
      </w:r>
    </w:p>
    <w:p>
      <w:pPr>
        <w:pStyle w:val="FirstParagraph"/>
      </w:pPr>
      <w:r>
        <w:t xml:space="preserve">European Commission. (2024). Markets in Crypto-Assets Regulation (MiCA).</w:t>
      </w:r>
    </w:p>
    <w:p>
      <w:pPr>
        <w:pStyle w:val="BodyText"/>
      </w:pPr>
      <w:r>
        <w:t xml:space="preserve">U.S. Securities and Exchange Commission (SEC). (2024). Spot Bitcoin ETF Approvals.</w:t>
      </w:r>
    </w:p>
    <w:p>
      <w:pPr>
        <w:pStyle w:val="BodyText"/>
      </w:pPr>
      <w:r>
        <w:t xml:space="preserve">Dubai Virtual Assets Regulatory Authority (VARA). (2023). Virtual Asset Regulation Framework.</w:t>
      </w:r>
    </w:p>
    <w:bookmarkEnd w:id="98"/>
    <w:bookmarkStart w:id="99" w:name="المراجع-التقنية"/>
    <w:p>
      <w:pPr>
        <w:pStyle w:val="Heading3"/>
      </w:pPr>
      <w:r>
        <w:t xml:space="preserve">المراجع التقنية</w:t>
      </w:r>
    </w:p>
    <w:p>
      <w:pPr>
        <w:pStyle w:val="FirstParagraph"/>
      </w:pPr>
      <w:r>
        <w:t xml:space="preserve">Antonopoulos, A. M. (2017). Mastering Bitcoin: Programming the Open Blockchain. O'Reilly Media.</w:t>
      </w:r>
    </w:p>
    <w:p>
      <w:pPr>
        <w:pStyle w:val="BodyText"/>
      </w:pPr>
      <w:r>
        <w:t xml:space="preserve">Antonopoulos, A. M., &amp; Wood, G. (2018). Mastering Ethereum. O'Reilly Media.</w:t>
      </w:r>
    </w:p>
    <w:p>
      <w:pPr>
        <w:pStyle w:val="BodyText"/>
      </w:pPr>
      <w:r>
        <w:t xml:space="preserve">Narayanan, A. et al. (2016). Bitcoin and Cryptocurrency Technologies. Princeton University Press.</w:t>
      </w:r>
    </w:p>
    <w:bookmarkEnd w:id="99"/>
    <w:bookmarkStart w:id="100" w:name="مراجع-التفسير-القرآني"/>
    <w:p>
      <w:pPr>
        <w:pStyle w:val="Heading3"/>
      </w:pPr>
      <w:r>
        <w:t xml:space="preserve">مراجع التفسير القرآني</w:t>
      </w:r>
    </w:p>
    <w:p>
      <w:pPr>
        <w:pStyle w:val="FirstParagraph"/>
      </w:pPr>
      <w:r>
        <w:t xml:space="preserve">ابن كثير، عماد الدين. تفسير القرآن العظيم.</w:t>
      </w:r>
    </w:p>
    <w:p>
      <w:pPr>
        <w:pStyle w:val="BodyText"/>
      </w:pPr>
      <w:r>
        <w:t xml:space="preserve">القرطبي، محمد بن أحمد. الجامع لأحكام القرآن.</w:t>
      </w:r>
    </w:p>
    <w:p>
      <w:pPr>
        <w:pStyle w:val="BodyText"/>
      </w:pPr>
      <w:r>
        <w:t xml:space="preserve">الطبري، محمد بن جرير. جامع البيان عن تأويل آي القرآن.</w:t>
      </w:r>
    </w:p>
    <w:bookmarkEnd w:id="100"/>
    <w:bookmarkEnd w:id="101"/>
    <w:bookmarkStart w:id="102" w:name="english-section"/>
    <w:p>
      <w:pPr>
        <w:pStyle w:val="Heading1"/>
      </w:pPr>
      <w:r>
        <w:t xml:space="preserve">English Section</w:t>
      </w:r>
    </w:p>
    <w:bookmarkEnd w:id="102"/>
    <w:bookmarkStart w:id="117" w:name="X2d2385da7e9ff69dd0ede3c2f1de8f37a96129b"/>
    <w:p>
      <w:pPr>
        <w:pStyle w:val="Heading1"/>
      </w:pPr>
      <w:r>
        <w:t xml:space="preserve">Cryptocurrencies: A Comprehensive Beginner's Guide</w:t>
      </w:r>
    </w:p>
    <w:bookmarkStart w:id="103" w:name="introduction"/>
    <w:p>
      <w:pPr>
        <w:pStyle w:val="Heading2"/>
      </w:pPr>
      <w:r>
        <w:t xml:space="preserve">Introduction</w:t>
      </w:r>
    </w:p>
    <w:p>
      <w:pPr>
        <w:pStyle w:val="FirstParagraph"/>
      </w:pPr>
      <w:r>
        <w:t xml:space="preserve">Over the past two decades, the world has witnessed an unprecedented financial and technological revolution through the emergence of cryptocurrencies. Since an anonymous figure known as Satoshi Nakamoto published a white paper in 2008, the global perspective on money and financial transactions has fundamentally shifted.</w:t>
      </w:r>
    </w:p>
    <w:p>
      <w:pPr>
        <w:pStyle w:val="BodyText"/>
      </w:pPr>
      <w:r>
        <w:t xml:space="preserve">Cryptocurrencies are no longer a fringe technological phenomenon—they have become an integral part of the global financial system. By 2026, the total cryptocurrency market capitalization has reached approximately $2.5 trillion, with over 560 million people worldwide holding digital assets, representing about 10% of the global connected population.</w:t>
      </w:r>
    </w:p>
    <w:p>
      <w:pPr>
        <w:pStyle w:val="BodyText"/>
      </w:pPr>
      <w:r>
        <w:t xml:space="preserve">This book serves as a comprehensive and accessible guide for anyone seeking to understand this new world from the ground up, covering the history, technology, major currencies and companies, advantages, risks, and future prospects of digital currencies.</w:t>
      </w:r>
    </w:p>
    <w:bookmarkEnd w:id="103"/>
    <w:bookmarkStart w:id="104" w:name="chapter-1-what-are-cryptocurrencies"/>
    <w:p>
      <w:pPr>
        <w:pStyle w:val="Heading2"/>
      </w:pPr>
      <w:r>
        <w:t xml:space="preserve">Chapter 1: What Are Cryptocurrencies?</w:t>
      </w:r>
    </w:p>
    <w:p>
      <w:pPr>
        <w:pStyle w:val="FirstParagraph"/>
      </w:pPr>
      <w:r>
        <w:t xml:space="preserve">Cryptocurrencies are a form of digital money that relies on encryption technology to secure financial transactions and control the creation of new units. Unlike traditional currencies issued by central banks (such as the dollar, euro, or rial), cryptocurrencies operate on a decentralized system not controlled by any single entity, but managed through a network of computers distributed worldwide.</w:t>
      </w:r>
    </w:p>
    <w:p>
      <w:pPr>
        <w:pStyle w:val="BodyText"/>
      </w:pPr>
      <w:r>
        <w:t xml:space="preserve">The word "crypto" derives from the Greek "κρυπτός" meaning "hidden" or "secret," referring to the advanced encryption techniques that protect these currencies. Cryptocurrencies can be classified into several main categories: core coins (like Bitcoin and Ethereum), tokens (operating on other blockchains), stablecoins (pegged to fiat currencies), meme coins, and central bank digital currencies (CBDCs).</w:t>
      </w:r>
    </w:p>
    <w:bookmarkEnd w:id="104"/>
    <w:bookmarkStart w:id="105" w:name="chapter-2-history-and-origins"/>
    <w:p>
      <w:pPr>
        <w:pStyle w:val="Heading2"/>
      </w:pPr>
      <w:r>
        <w:t xml:space="preserve">Chapter 2: History and Origins</w:t>
      </w:r>
    </w:p>
    <w:p>
      <w:pPr>
        <w:pStyle w:val="FirstParagraph"/>
      </w:pPr>
      <w:r>
        <w:t xml:space="preserve">The idea of digital currencies didn't appear suddenly. It resulted from decades of research in cryptography and computer science. In the 1980s, David Chaum developed "eCash," the first serious attempt at anonymous digital cash. In 1998, Wei Dai proposed "b-money" and Nick Szabo introduced "Bit Gold," both laying important theoretical foundations.</w:t>
      </w:r>
    </w:p>
    <w:p>
      <w:pPr>
        <w:pStyle w:val="BodyText"/>
      </w:pPr>
      <w:r>
        <w:t xml:space="preserve">On October 31, 2008, amid the global financial crisis, Satoshi Nakamoto published the Bitcoin white paper on a cryptography mailing list. On January 3, 2009, Nakamoto mined the first block (genesis block), embedding the headline "Chancellor on brink of second bailout for banks"—a clear reference to the failing traditional financial system. Nakamoto remained active until 2010, then disappeared entirely, leaving behind an estimated 1.1 million unmoved bitcoins.</w:t>
      </w:r>
    </w:p>
    <w:p>
      <w:pPr>
        <w:pStyle w:val="BodyText"/>
      </w:pPr>
      <w:r>
        <w:t xml:space="preserve">Key milestones include: the first commercial transaction in 2010 (10,000 BTC for two pizzas), the Mt. Gox hack in 2014, Ethereum's launch in 2015, the ICO boom of 2017, institutional adoption beginning in 2020, SEC approval of Bitcoin ETFs in January 2024, Bitcoin surpassing $100,000 in late 2024, and market stabilization around $2.5 trillion by March 2026.</w:t>
      </w:r>
    </w:p>
    <w:bookmarkEnd w:id="105"/>
    <w:bookmarkStart w:id="106" w:name="chapter-3-how-does-blockchain-work"/>
    <w:p>
      <w:pPr>
        <w:pStyle w:val="Heading2"/>
      </w:pPr>
      <w:r>
        <w:t xml:space="preserve">Chapter 3: How Does Blockchain Work?</w:t>
      </w:r>
    </w:p>
    <w:p>
      <w:pPr>
        <w:pStyle w:val="FirstParagraph"/>
      </w:pPr>
      <w:r>
        <w:t xml:space="preserve">Blockchain technology is the backbone of all cryptocurrencies. Simply put, a blockchain is a massive shared digital ledger distributed across thousands of computers worldwide. Anyone can view it, but no one can alter it individually.</w:t>
      </w:r>
    </w:p>
    <w:p>
      <w:pPr>
        <w:pStyle w:val="BodyText"/>
      </w:pPr>
      <w:r>
        <w:t xml:space="preserve">This ledger consists of connected "blocks," each containing verified transactions linked to the previous block through a unique digital fingerprint called a "hash." This makes it virtually impossible to alter any recorded transaction without changing all subsequent blocks—requiring computational power beyond any single entity's capability.</w:t>
      </w:r>
    </w:p>
    <w:p>
      <w:pPr>
        <w:pStyle w:val="BodyText"/>
      </w:pPr>
      <w:r>
        <w:t xml:space="preserve">Mining (in Proof of Work systems like Bitcoin) involves miners competing to solve complex mathematical puzzles. The first to solve it adds a new block and earns newly created bitcoins (currently 3.125 BTC per block after the April 2024 halving). Proof of Stake (used by Ethereum since September 2022) selects validators based on their coin holdings, reducing energy consumption by over 99%.</w:t>
      </w:r>
    </w:p>
    <w:p>
      <w:pPr>
        <w:pStyle w:val="BodyText"/>
      </w:pPr>
      <w:r>
        <w:t xml:space="preserve">Smart contracts—self-executing programs on the blockchain—were introduced by Vitalik Buterin through Ethereum in 2015, forming the foundation for DeFi, NFTs, and decentralized applications.</w:t>
      </w:r>
    </w:p>
    <w:bookmarkEnd w:id="106"/>
    <w:bookmarkStart w:id="107" w:name="Xeb3f218f0325ec6a3500ed4aab00d30dadedfa8"/>
    <w:p>
      <w:pPr>
        <w:pStyle w:val="Heading2"/>
      </w:pPr>
      <w:r>
        <w:t xml:space="preserve">Chapter 4: Bitcoin — The First Cryptocurrency</w:t>
      </w:r>
    </w:p>
    <w:p>
      <w:pPr>
        <w:pStyle w:val="FirstParagraph"/>
      </w:pPr>
      <w:r>
        <w:t xml:space="preserve">Bitcoin (BTC) is the first decentralized cryptocurrency, created in 2009. Often called "digital gold," its supply is strictly limited to 21 million units (approximately 19.8 million already mined, with the remainder to be mined gradually until around 2140). Each bitcoin is divisible into 100 million "satoshis."</w:t>
      </w:r>
    </w:p>
    <w:p>
      <w:pPr>
        <w:pStyle w:val="BodyText"/>
      </w:pPr>
      <w:r>
        <w:t xml:space="preserve">The halving mechanism reduces mining rewards by half approximately every four years, increasing scarcity over time. Bitcoin ETF assets in the United States exceed $128 billion, with BlackRock's IBIT fund leading at 45% market share. Bitcoin trades around $84,000 in early April 2026, with approximately 57% market dominance.</w:t>
      </w:r>
    </w:p>
    <w:bookmarkEnd w:id="107"/>
    <w:bookmarkStart w:id="108" w:name="chapter-5-major-cryptocurrencies"/>
    <w:p>
      <w:pPr>
        <w:pStyle w:val="Heading2"/>
      </w:pPr>
      <w:r>
        <w:t xml:space="preserve">Chapter 5: Major Cryptocurrencies</w:t>
      </w:r>
    </w:p>
    <w:p>
      <w:pPr>
        <w:pStyle w:val="FirstParagraph"/>
      </w:pPr>
      <w:r>
        <w:t xml:space="preserve">Beyond Bitcoin, thousands of "altcoins" exist. The most significant include: Ethereum (ETH), the second-largest cryptocurrency supporting smart contracts and hosting 68% of global DeFi; XRP (Ripple), focused on fast international bank transfers; Solana (SOL), capable of processing up to 65,000 transactions per second; Cardano (ADA), known for its academic development approach; and Polkadot (DOT), connecting different blockchains.</w:t>
      </w:r>
    </w:p>
    <w:p>
      <w:pPr>
        <w:pStyle w:val="BodyText"/>
      </w:pPr>
      <w:r>
        <w:t xml:space="preserve">Stablecoins represent a crucial market segment, with Tether (USDT) exceeding $140 billion in market cap and USDC offering greater transparency. The annual stablecoin transaction volume reached $33 trillion in 2025, surpassing Visa's $14 trillion in processed payments.</w:t>
      </w:r>
    </w:p>
    <w:bookmarkEnd w:id="108"/>
    <w:bookmarkStart w:id="109" w:name="chapter-6-major-companies-and-platforms"/>
    <w:p>
      <w:pPr>
        <w:pStyle w:val="Heading2"/>
      </w:pPr>
      <w:r>
        <w:t xml:space="preserve">Chapter 6: Major Companies and Platforms</w:t>
      </w:r>
    </w:p>
    <w:p>
      <w:pPr>
        <w:pStyle w:val="FirstParagraph"/>
      </w:pPr>
      <w:r>
        <w:t xml:space="preserve">The cryptocurrency ecosystem includes major trading platforms such as Binance (controlling 71% of stablecoin liquidity on centralized exchanges), Coinbase (the first crypto exchange listed on NASDAQ), Kraken, and Gate.io (supporting 3,600+ cryptocurrencies).</w:t>
      </w:r>
    </w:p>
    <w:p>
      <w:pPr>
        <w:pStyle w:val="BodyText"/>
      </w:pPr>
      <w:r>
        <w:t xml:space="preserve">Asset management giants have entered the space, including BlackRock (45% of Bitcoin ETF market share), Grayscale (pioneering institutional crypto products), and Fidelity (offering custody and trading services). Mining companies like Marathon Digital and Riot Platforms operate massive facilities, with the global mining hardware market valued at $23.7 billion and projected to reach $51.8 billion by 2030.</w:t>
      </w:r>
    </w:p>
    <w:bookmarkEnd w:id="109"/>
    <w:bookmarkStart w:id="110" w:name="Xa1016ae2e5bd790c8f252728f129e6577a53e65"/>
    <w:p>
      <w:pPr>
        <w:pStyle w:val="Heading2"/>
      </w:pPr>
      <w:r>
        <w:t xml:space="preserve">Chapter 7: How to Buy and Store Cryptocurrencies</w:t>
      </w:r>
    </w:p>
    <w:p>
      <w:pPr>
        <w:pStyle w:val="FirstParagraph"/>
      </w:pPr>
      <w:r>
        <w:t xml:space="preserve">The purchasing process involves four steps: choosing a licensed platform, creating and verifying an account (KYC), depositing funds, and executing purchases. Users can buy fractions of any cryptocurrency.</w:t>
      </w:r>
    </w:p>
    <w:p>
      <w:pPr>
        <w:pStyle w:val="BodyText"/>
      </w:pPr>
      <w:r>
        <w:t xml:space="preserve">Storage options include exchange wallets (easiest but least secure), hot wallets (apps like MetaMask and Trust Wallet), cold wallets (hardware devices like Ledger and Trezor—most secure for long-term storage), and paper wallets. The golden rule: "Not your keys, not your coins." Security best practices include enabling two-factor authentication, never sharing private keys, being vigilant against phishing attacks, and maintaining backup seed phrases in secure locations.</w:t>
      </w:r>
    </w:p>
    <w:bookmarkEnd w:id="110"/>
    <w:bookmarkStart w:id="111" w:name="chapter-8-advantages-of-cryptocurrencies"/>
    <w:p>
      <w:pPr>
        <w:pStyle w:val="Heading2"/>
      </w:pPr>
      <w:r>
        <w:t xml:space="preserve">Chapter 8: Advantages of Cryptocurrencies</w:t>
      </w:r>
    </w:p>
    <w:p>
      <w:pPr>
        <w:pStyle w:val="FirstParagraph"/>
      </w:pPr>
      <w:r>
        <w:t xml:space="preserve">Key advantages include: financial inclusion for 1.4 billion unbanked people worldwide; fast, low-cost international transfers (minutes instead of days); transparency and tamper-resistant records on the blockchain; inflation protection through limited supply (Bitcoin's 21 million cap); technological innovation through DeFi, NFTs, and DAOs; complete financial sovereignty; and long-term investment potential.</w:t>
      </w:r>
    </w:p>
    <w:bookmarkEnd w:id="111"/>
    <w:bookmarkStart w:id="112" w:name="chapter-9-risks-and-challenges"/>
    <w:p>
      <w:pPr>
        <w:pStyle w:val="Heading2"/>
      </w:pPr>
      <w:r>
        <w:t xml:space="preserve">Chapter 9: Risks and Challenges</w:t>
      </w:r>
    </w:p>
    <w:p>
      <w:pPr>
        <w:pStyle w:val="FirstParagraph"/>
      </w:pPr>
      <w:r>
        <w:t xml:space="preserve">Major risks include: extreme price volatility (Bitcoin has experienced four 50%+ drops); fraud and theft ($3.4 billion stolen through hacks in 2025, $17 billion including scams); permanent loss of private keys (an estimated 20% of all mined Bitcoin is permanently lost); regulatory uncertainty across jurisdictions; massive energy consumption from mining; technical complexity for beginners; and project failures (such as the Terra/Luna collapse and FTX bankruptcy in 2022).</w:t>
      </w:r>
    </w:p>
    <w:p>
      <w:pPr>
        <w:pStyle w:val="BodyText"/>
      </w:pPr>
      <w:r>
        <w:t xml:space="preserve">Important warning for beginners: never invest more than you can afford to lose entirely. Always Do Your Own Research (DYOR) before any investment decision.</w:t>
      </w:r>
    </w:p>
    <w:bookmarkEnd w:id="112"/>
    <w:bookmarkStart w:id="113" w:name="X786c4be258fd90759e68b39be937f5164f281b9"/>
    <w:p>
      <w:pPr>
        <w:pStyle w:val="Heading2"/>
      </w:pPr>
      <w:r>
        <w:t xml:space="preserve">Chapter 10: Market Size and Key Statistics</w:t>
      </w:r>
    </w:p>
    <w:p>
      <w:pPr>
        <w:pStyle w:val="FirstParagraph"/>
      </w:pPr>
      <w:r>
        <w:t xml:space="preserve">As of Q1 2026, the market presents impressive figures: total market cap around $2.5 trillion (down from $3.8 trillion peak in late 2024); daily trading volume exceeding $100 billion; over 18,000 active cryptocurrencies across approximately 1,500 exchanges; 560 million global holders (30% of American adults); stablecoin market cap exceeding $210 billion; Bitcoin ETF assets over $128 billion; and derivatives comprising 75.7% of centralized exchange trading volume. Asia Pacific leads with 30.7% market share.</w:t>
      </w:r>
    </w:p>
    <w:bookmarkEnd w:id="113"/>
    <w:bookmarkStart w:id="114" w:name="chapter-11-global-regulation"/>
    <w:p>
      <w:pPr>
        <w:pStyle w:val="Heading2"/>
      </w:pPr>
      <w:r>
        <w:t xml:space="preserve">Chapter 11: Global Regulation</w:t>
      </w:r>
    </w:p>
    <w:p>
      <w:pPr>
        <w:pStyle w:val="FirstParagraph"/>
      </w:pPr>
      <w:r>
        <w:t xml:space="preserve">The regulatory landscape varies dramatically worldwide. The United States follows a multi-agency approach (SEC and CFTC). The EU's MiCA regulation, effective December 30, 2024, requires all crypto service providers to obtain European licenses by July 1, 2026. China has banned all cryptocurrency trading and mining while developing its digital yuan (e-CNY). The UAE leads the Arab world through Dubai's VARA framework. Japan was among the first to recognize cryptocurrencies as legal payment. Approximately 91 countries allow cryptocurrency, while about 7 have banned it entirely.</w:t>
      </w:r>
    </w:p>
    <w:bookmarkEnd w:id="114"/>
    <w:bookmarkStart w:id="115" w:name="X1a6f96379b9b1495b9896eb984c6f495689ca40"/>
    <w:p>
      <w:pPr>
        <w:pStyle w:val="Heading2"/>
      </w:pPr>
      <w:r>
        <w:t xml:space="preserve">Chapter 12: The Future of Cryptocurrencies</w:t>
      </w:r>
    </w:p>
    <w:p>
      <w:pPr>
        <w:pStyle w:val="FirstParagraph"/>
      </w:pPr>
      <w:r>
        <w:t xml:space="preserve">Looking ahead, key trends include: continued institutional adoption through expanded ETF offerings and banking services; over 130 countries developing central bank digital currencies; DeFi evolution with more sophisticated lending, borrowing, and insurance applications; increasingly comprehensive global regulation; integration with artificial intelligence for automated trading and fraud detection; and challenges including scalability solutions, quantum computing threats, environmental sustainability, and blockchain interoperability.</w:t>
      </w:r>
    </w:p>
    <w:bookmarkEnd w:id="115"/>
    <w:bookmarkStart w:id="116" w:name="conclusion"/>
    <w:p>
      <w:pPr>
        <w:pStyle w:val="Heading2"/>
      </w:pPr>
      <w:r>
        <w:t xml:space="preserve">Conclusion</w:t>
      </w:r>
    </w:p>
    <w:p>
      <w:pPr>
        <w:pStyle w:val="FirstParagraph"/>
      </w:pPr>
      <w:r>
        <w:t xml:space="preserve">Cryptocurrencies represent one of the most significant technological and financial revolutions in modern human history. From a white paper published by an anonymous individual in 2008, this sector has grown into a multi-trillion-dollar market affecting hundreds of millions of lives worldwide.</w:t>
      </w:r>
    </w:p>
    <w:p>
      <w:pPr>
        <w:pStyle w:val="BodyText"/>
      </w:pPr>
      <w:r>
        <w:t xml:space="preserve">This field remains in its relatively early stages, carrying both enormous opportunities and significant challenges. While digital currencies provide financial access to millions of underserved people and create revolutionary solutions through smart contracts and decentralized finance, they also carry substantial risks from price volatility, fraud, and technical complexity.</w:t>
      </w:r>
    </w:p>
    <w:p>
      <w:pPr>
        <w:pStyle w:val="BodyText"/>
      </w:pPr>
      <w:r>
        <w:t xml:space="preserve">I advise every beginner to learn before investing, to move in small, calculated steps, and never to invest more than they can afford to lose. Understanding this technology doesn't necessarily require investing in it, but it has become a cultural necessity in an age where money is becoming digital.</w:t>
      </w:r>
    </w:p>
    <w:bookmarkEnd w:id="116"/>
    <w:bookmarkEnd w:id="117"/>
    <w:bookmarkStart w:id="120" w:name="نبذة-عن-المؤلف"/>
    <w:p>
      <w:pPr>
        <w:pStyle w:val="Heading1"/>
      </w:pPr>
      <w:r>
        <w:t xml:space="preserve">نبذة عن المؤلف</w:t>
      </w:r>
    </w:p>
    <w:bookmarkStart w:id="118" w:name="د.-فضل-محمد-الأكوع"/>
    <w:p>
      <w:pPr>
        <w:pStyle w:val="Heading2"/>
      </w:pPr>
      <w:r>
        <w:t xml:space="preserve">د. فضل محمد الأكوع</w:t>
      </w:r>
    </w:p>
    <w:bookmarkEnd w:id="118"/>
    <w:bookmarkStart w:id="119" w:name="dr.-fadhl-mohammed-alakwaa"/>
    <w:p>
      <w:pPr>
        <w:pStyle w:val="Heading2"/>
      </w:pPr>
      <w:r>
        <w:t xml:space="preserve">Dr. Fadhl Mohammed Alakwaa</w:t>
      </w:r>
    </w:p>
    <w:p>
      <w:pPr>
        <w:pStyle w:val="FirstParagraph"/>
      </w:pPr>
      <w:r>
        <w:t xml:space="preserve">باحث في البيولوجيا الحاسوبية والمعلوماتية الحيوية وعلم الجينوم المكاني في جامعة ميشيغان الأمريكية. يجمع بين البحث الأكاديمي المتخصص والتأليف في مجالات متنوعة تشمل العلوم والتقنية والدراسات الإسلامية والشؤون اليمنية والجيوسياسية.</w:t>
      </w:r>
    </w:p>
    <w:p>
      <w:pPr>
        <w:pStyle w:val="BodyText"/>
      </w:pPr>
      <w:r>
        <w:t xml:space="preserve">صدر للمؤلف عدة كتب ثنائية اللغة (العربية والإنجليزية) تتناول موضوعات تتراوح بين العلوم والتقنية والفكر الإسلامي والتاريخ السياسي، مع التزام دائم بالدقة العلمية وتبسيط المعلومات المعقدة للقارئ العام.</w:t>
      </w:r>
    </w:p>
    <w:p>
      <w:pPr>
        <w:pStyle w:val="BodyText"/>
      </w:pPr>
      <w:r>
        <w:t xml:space="preserve">Dr. Fadhl Mohammed Alakwaa is a researcher in computational biology, bioinformatics, and spatial genomics at the University of Michigan, USA. He combines specialized academic research with bilingual authorship across diverse fields including science, technology, Islamic studies, and geopolitical analysis. He has published several bilingual books (Arabic and English) covering topics ranging from science and technology to Islamic thought and political history, with a commitment to scientific accuracy and making complex information accessible to general readers.</w:t>
      </w:r>
    </w:p>
    <w:bookmarkEnd w:id="119"/>
    <w:bookmarkEnd w:id="120"/>
    <w:bookmarkStart w:id="124" w:name="مؤلفات-المؤلف"/>
    <w:p>
      <w:pPr>
        <w:pStyle w:val="Heading1"/>
      </w:pPr>
      <w:r>
        <w:t xml:space="preserve">مؤلفات المؤلف</w:t>
      </w:r>
    </w:p>
    <w:p>
      <w:pPr>
        <w:numPr>
          <w:ilvl w:val="0"/>
          <w:numId w:val="1001"/>
        </w:numPr>
        <w:pStyle w:val="Compact"/>
      </w:pPr>
      <w:r>
        <w:t xml:space="preserve">نهاية الكون في القرآن الكريم — تحليل علمي شامل (2026)</w:t>
      </w:r>
    </w:p>
    <w:p>
      <w:pPr>
        <w:numPr>
          <w:ilvl w:val="0"/>
          <w:numId w:val="1001"/>
        </w:numPr>
        <w:pStyle w:val="Compact"/>
      </w:pPr>
      <w:r>
        <w:t xml:space="preserve">أدوات ومنصات الذكاء الاصطناعي منذ 2025 (2026)</w:t>
      </w:r>
    </w:p>
    <w:p>
      <w:pPr>
        <w:numPr>
          <w:ilvl w:val="0"/>
          <w:numId w:val="1001"/>
        </w:numPr>
        <w:pStyle w:val="Compact"/>
      </w:pPr>
      <w:r>
        <w:t xml:space="preserve">أبحاث GLP-1/SGLT2 والتقاليد الغذائية الإسلامية (2026)</w:t>
      </w:r>
    </w:p>
    <w:p>
      <w:pPr>
        <w:numPr>
          <w:ilvl w:val="0"/>
          <w:numId w:val="1001"/>
        </w:numPr>
        <w:pStyle w:val="Compact"/>
      </w:pPr>
      <w:r>
        <w:t xml:space="preserve">التغير الديني بين الأجيال في مجتمعات المهجر المسلمة (2026)</w:t>
      </w:r>
    </w:p>
    <w:p>
      <w:pPr>
        <w:numPr>
          <w:ilvl w:val="0"/>
          <w:numId w:val="1001"/>
        </w:numPr>
        <w:pStyle w:val="Compact"/>
      </w:pPr>
      <w:r>
        <w:t xml:space="preserve">التحالف الأمريكي الإسرائيلي — دراسة تحليلية (2026)</w:t>
      </w:r>
    </w:p>
    <w:p>
      <w:pPr>
        <w:numPr>
          <w:ilvl w:val="0"/>
          <w:numId w:val="1001"/>
        </w:numPr>
        <w:pStyle w:val="Compact"/>
      </w:pPr>
      <w:r>
        <w:t xml:space="preserve">الرؤساء اليمنيون في برقيات ويكيليكس (2026)</w:t>
      </w:r>
    </w:p>
    <w:p>
      <w:pPr>
        <w:numPr>
          <w:ilvl w:val="0"/>
          <w:numId w:val="1001"/>
        </w:numPr>
        <w:pStyle w:val="Compact"/>
      </w:pPr>
      <w:r>
        <w:t xml:space="preserve">الوحدة اليمنية — التاريخ والآفاق (2026)</w:t>
      </w:r>
    </w:p>
    <w:p>
      <w:pPr>
        <w:numPr>
          <w:ilvl w:val="0"/>
          <w:numId w:val="1001"/>
        </w:numPr>
        <w:pStyle w:val="Compact"/>
      </w:pPr>
      <w:r>
        <w:t xml:space="preserve">المعرفة والتعليم — كتاب تحفيزي للأجيال القادمة (2026)</w:t>
      </w:r>
    </w:p>
    <w:p>
      <w:pPr>
        <w:numPr>
          <w:ilvl w:val="0"/>
          <w:numId w:val="1001"/>
        </w:numPr>
        <w:pStyle w:val="Compact"/>
      </w:pPr>
      <w:r>
        <w:t xml:space="preserve">تأثير النماذج اللغوية الكبيرة على البحث العلمي والتعليم الجامعي (2026)</w:t>
      </w:r>
    </w:p>
    <w:p>
      <w:pPr>
        <w:numPr>
          <w:ilvl w:val="0"/>
          <w:numId w:val="1001"/>
        </w:numPr>
        <w:pStyle w:val="Compact"/>
      </w:pPr>
      <w:r>
        <w:t xml:space="preserve">تصنيف الآيات في القرآن الكريم — دراسة تأملية في البنية الموضوعية (2026)</w:t>
      </w:r>
    </w:p>
    <w:p>
      <w:pPr>
        <w:numPr>
          <w:ilvl w:val="0"/>
          <w:numId w:val="1001"/>
        </w:numPr>
        <w:pStyle w:val="Compact"/>
      </w:pPr>
      <w:r>
        <w:t xml:space="preserve">كيف تعمل النماذج اللغوية الكبيرة — دليل مبسّط لفهم ثورة الذكاء الاصطناعي (2026)</w:t>
      </w:r>
    </w:p>
    <w:p>
      <w:pPr>
        <w:numPr>
          <w:ilvl w:val="0"/>
          <w:numId w:val="1001"/>
        </w:numPr>
        <w:pStyle w:val="Compact"/>
      </w:pPr>
      <w:r>
        <w:rPr>
          <w:bCs/>
          <w:b/>
        </w:rPr>
        <w:t xml:space="preserve">العملات الرقمية — دليل شامل للمبتدئين (2026)</w:t>
      </w:r>
    </w:p>
    <w:p>
      <w:pPr>
        <w:pStyle w:val="FirstParagraph"/>
      </w:pPr>
      <w:r>
        <w:drawing>
          <wp:inline>
            <wp:extent cx="5334000" cy="7567688"/>
            <wp:effectExtent b="0" l="0" r="0" t="0"/>
            <wp:docPr descr="back cover" title="" id="122" name="Picture"/>
            <a:graphic>
              <a:graphicData uri="http://schemas.openxmlformats.org/drawingml/2006/picture">
                <pic:pic>
                  <pic:nvPicPr>
                    <pic:cNvPr descr="/home/claude/back_cover.png" id="123" name="Picture"/>
                    <pic:cNvPicPr>
                      <a:picLocks noChangeArrowheads="1" noChangeAspect="1"/>
                    </pic:cNvPicPr>
                  </pic:nvPicPr>
                  <pic:blipFill>
                    <a:blip r:embed="rId121"/>
                    <a:stretch>
                      <a:fillRect/>
                    </a:stretch>
                  </pic:blipFill>
                  <pic:spPr bwMode="auto">
                    <a:xfrm>
                      <a:off x="0" y="0"/>
                      <a:ext cx="5334000" cy="7567688"/>
                    </a:xfrm>
                    <a:prstGeom prst="rect">
                      <a:avLst/>
                    </a:prstGeom>
                    <a:noFill/>
                    <a:ln w="9525">
                      <a:noFill/>
                      <a:headEnd/>
                      <a:tailEnd/>
                    </a:ln>
                  </pic:spPr>
                </pic:pic>
              </a:graphicData>
            </a:graphic>
          </wp:inline>
        </w:drawing>
      </w:r>
    </w:p>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1" Target="media/rId121.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2026-04-02T10:59:28Z</dcterms:created>
  <dcterms:modified xsi:type="dcterms:W3CDTF">2026-04-02T10:59:28Z</dcterms:modified>
</cp:coreProperties>
</file>

<file path=docProps/custom.xml><?xml version="1.0" encoding="utf-8"?>
<Properties xmlns="http://schemas.openxmlformats.org/officeDocument/2006/custom-properties" xmlns:vt="http://schemas.openxmlformats.org/officeDocument/2006/docPropsVTypes"/>
</file>