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 ������������</w:t>
      </w:r>
    </w:p>
    <w:p>
      <w:pPr>
        <w:pStyle w:val="Author"/>
      </w:pPr>
      <w:r>
        <w:t xml:space="preserve">��. ������ �������� ������������</w:t>
      </w:r>
    </w:p>
    <w:p>
      <w:pPr>
        <w:pStyle w:val="FirstParagraph"/>
      </w:pPr>
      <w:r>
        <w:drawing>
          <wp:inline>
            <wp:extent cx="5334000" cy="7567688"/>
            <wp:effectExtent b="0" l="0" r="0" t="0"/>
            <wp:docPr descr="Front Cover" title="" id="21" name="Picture"/>
            <a:graphic>
              <a:graphicData uri="http://schemas.openxmlformats.org/drawingml/2006/picture">
                <pic:pic>
                  <pic:nvPicPr>
                    <pic:cNvPr descr="/home/claude/sunni_shia_book/assets/front_cover.pn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التقارب السني الشيعي</w:t>
      </w:r>
    </w:p>
    <w:p>
      <w:pPr>
        <w:pStyle w:val="BodyText"/>
      </w:pPr>
      <w:r>
        <w:t xml:space="preserve">بين الجوهر الديني والصراع السياسي</w:t>
      </w:r>
    </w:p>
    <w:p>
      <w:pPr>
        <w:pStyle w:val="BodyText"/>
      </w:pPr>
      <w:r>
        <w:t xml:space="preserve">❖</w:t>
      </w:r>
    </w:p>
    <w:p>
      <w:pPr>
        <w:pStyle w:val="BodyText"/>
      </w:pPr>
      <w:r>
        <w:t xml:space="preserve">Sunni–Shia Rapprochement</w:t>
      </w:r>
    </w:p>
    <w:p>
      <w:pPr>
        <w:pStyle w:val="BodyText"/>
      </w:pPr>
      <w:r>
        <w:t xml:space="preserve">Between Religious Substance and Political Conflict</w:t>
      </w:r>
    </w:p>
    <w:p>
      <w:pPr>
        <w:pStyle w:val="BodyText"/>
      </w:pPr>
      <w:r>
        <w:t xml:space="preserve">❖</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بِسْمِ اللَّهِ الرَّحْمَٰنِ الرَّحِيمِ</w:t>
      </w:r>
    </w:p>
    <w:p>
      <w:pPr>
        <w:pStyle w:val="BodyText"/>
      </w:pPr>
      <w:r>
        <w:t xml:space="preserve">الإهداء</w:t>
      </w:r>
    </w:p>
    <w:p>
      <w:pPr>
        <w:pStyle w:val="BodyText"/>
      </w:pPr>
      <w:r>
        <w:t xml:space="preserve">إلى كل قلبٍ مسلمٍ يؤلمه تمزّق هذه الأمة،</w:t>
      </w:r>
      <w:r>
        <w:br/>
      </w:r>
      <w:r>
        <w:t xml:space="preserve">وإلى كل عقلٍ يبحث عن الحقيقة بعيداً عن التعصّب،</w:t>
      </w:r>
      <w:r>
        <w:br/>
      </w:r>
      <w:r>
        <w:t xml:space="preserve">وإلى علماء السنة والشيعة الصادقين الذين رفعوا راية الوحدة،</w:t>
      </w:r>
      <w:r>
        <w:br/>
      </w:r>
      <w:r>
        <w:t xml:space="preserve">وإلى شباب الأمة الذين يصنعون مستقبل الإسلام،</w:t>
      </w:r>
      <w:r>
        <w:br/>
      </w:r>
      <w:r>
        <w:t xml:space="preserve">إلى من آمنوا بأن ما يجمعنا أعظم مما يفرّقنا...</w:t>
      </w:r>
      <w:r>
        <w:br/>
      </w:r>
      <w:r>
        <w:br/>
      </w:r>
      <w:r>
        <w:t xml:space="preserve">وإلى روح والدي رحمه الله،</w:t>
      </w:r>
      <w:r>
        <w:br/>
      </w:r>
      <w:r>
        <w:t xml:space="preserve">أمي حفظها الله،</w:t>
      </w:r>
      <w:r>
        <w:br/>
      </w:r>
      <w:r>
        <w:t xml:space="preserve">زوجتي، أولادي، إخواني وأخواتي.</w:t>
      </w:r>
    </w:p>
    <w:bookmarkStart w:id="23" w:name="المحتويات"/>
    <w:p>
      <w:pPr>
        <w:pStyle w:val="Heading1"/>
      </w:pPr>
      <w:r>
        <w:t xml:space="preserve">المحتويات</w:t>
      </w:r>
    </w:p>
    <w:p>
      <w:pPr>
        <w:pStyle w:val="FirstParagraph"/>
      </w:pPr>
      <w:r>
        <w:t xml:space="preserve">القسم العربي</w:t>
      </w:r>
    </w:p>
    <w:p>
      <w:pPr>
        <w:pStyle w:val="BodyText"/>
      </w:pPr>
      <w:r>
        <w:t xml:space="preserve">—</w:t>
      </w:r>
      <w:r>
        <w:t xml:space="preserve">المقدمة</w:t>
      </w:r>
      <w:r>
        <w:t xml:space="preserve">7</w:t>
      </w:r>
    </w:p>
    <w:p>
      <w:pPr>
        <w:pStyle w:val="BodyText"/>
      </w:pPr>
      <w:r>
        <w:t xml:space="preserve">1</w:t>
      </w:r>
      <w:r>
        <w:t xml:space="preserve">الإسلام الواحد ونشأة المذاهب</w:t>
      </w:r>
      <w:r>
        <w:t xml:space="preserve">11</w:t>
      </w:r>
    </w:p>
    <w:p>
      <w:pPr>
        <w:pStyle w:val="BodyText"/>
      </w:pPr>
      <w:r>
        <w:t xml:space="preserve">2</w:t>
      </w:r>
      <w:r>
        <w:t xml:space="preserve">الجذور التاريخية للخلاف السني الشيعي</w:t>
      </w:r>
      <w:r>
        <w:t xml:space="preserve">17</w:t>
      </w:r>
    </w:p>
    <w:p>
      <w:pPr>
        <w:pStyle w:val="BodyText"/>
      </w:pPr>
      <w:r>
        <w:t xml:space="preserve">3</w:t>
      </w:r>
      <w:r>
        <w:t xml:space="preserve">الفروق العقدية: ما هو جوهري وما هو فرعي؟</w:t>
      </w:r>
      <w:r>
        <w:t xml:space="preserve">25</w:t>
      </w:r>
    </w:p>
    <w:p>
      <w:pPr>
        <w:pStyle w:val="BodyText"/>
      </w:pPr>
      <w:r>
        <w:t xml:space="preserve">4</w:t>
      </w:r>
      <w:r>
        <w:t xml:space="preserve">الفروق الفقهية والعملية</w:t>
      </w:r>
      <w:r>
        <w:t xml:space="preserve">33</w:t>
      </w:r>
    </w:p>
    <w:p>
      <w:pPr>
        <w:pStyle w:val="BodyText"/>
      </w:pPr>
      <w:r>
        <w:t xml:space="preserve">5</w:t>
      </w:r>
      <w:r>
        <w:t xml:space="preserve">الخلاف الديني أم السياسي؟ تشريح الأسباب الحقيقية</w:t>
      </w:r>
      <w:r>
        <w:t xml:space="preserve">39</w:t>
      </w:r>
    </w:p>
    <w:p>
      <w:pPr>
        <w:pStyle w:val="BodyText"/>
      </w:pPr>
      <w:r>
        <w:t xml:space="preserve">6</w:t>
      </w:r>
      <w:r>
        <w:t xml:space="preserve">دور القوى الخارجية في تأجيج الصراع</w:t>
      </w:r>
      <w:r>
        <w:t xml:space="preserve">47</w:t>
      </w:r>
    </w:p>
    <w:p>
      <w:pPr>
        <w:pStyle w:val="BodyText"/>
      </w:pPr>
      <w:r>
        <w:t xml:space="preserve">7</w:t>
      </w:r>
      <w:r>
        <w:t xml:space="preserve">تجارب التقارب التاريخية والمعاصرة</w:t>
      </w:r>
      <w:r>
        <w:t xml:space="preserve">55</w:t>
      </w:r>
    </w:p>
    <w:p>
      <w:pPr>
        <w:pStyle w:val="BodyText"/>
      </w:pPr>
      <w:r>
        <w:t xml:space="preserve">8</w:t>
      </w:r>
      <w:r>
        <w:t xml:space="preserve">نحو طريق واقعي للتقارب</w:t>
      </w:r>
      <w:r>
        <w:t xml:space="preserve">63</w:t>
      </w:r>
    </w:p>
    <w:p>
      <w:pPr>
        <w:pStyle w:val="BodyText"/>
      </w:pPr>
      <w:r>
        <w:t xml:space="preserve">—</w:t>
      </w:r>
      <w:r>
        <w:t xml:space="preserve">الخاتمة</w:t>
      </w:r>
      <w:r>
        <w:t xml:space="preserve">71</w:t>
      </w:r>
    </w:p>
    <w:p>
      <w:pPr>
        <w:pStyle w:val="BodyText"/>
      </w:pPr>
      <w:r>
        <w:t xml:space="preserve">—</w:t>
      </w:r>
      <w:r>
        <w:t xml:space="preserve">المراجع العلمية</w:t>
      </w:r>
      <w:r>
        <w:t xml:space="preserve">75</w:t>
      </w:r>
    </w:p>
    <w:p>
      <w:pPr>
        <w:pStyle w:val="BodyText"/>
      </w:pPr>
      <w:r>
        <w:t xml:space="preserve">English Section</w:t>
      </w:r>
    </w:p>
    <w:p>
      <w:pPr>
        <w:pStyle w:val="BodyText"/>
      </w:pPr>
      <w:r>
        <w:t xml:space="preserve">Full English Translation</w:t>
      </w:r>
      <w:r>
        <w:t xml:space="preserve">81</w:t>
      </w:r>
    </w:p>
    <w:p>
      <w:pPr>
        <w:pStyle w:val="BodyText"/>
      </w:pPr>
      <w:r>
        <w:t xml:space="preserve">عن المؤلف ومؤلفاته</w:t>
      </w:r>
    </w:p>
    <w:p>
      <w:pPr>
        <w:pStyle w:val="BodyText"/>
      </w:pPr>
      <w:r>
        <w:t xml:space="preserve">نبذة عن المؤلف / About the Author</w:t>
      </w:r>
      <w:r>
        <w:t xml:space="preserve">115</w:t>
      </w:r>
    </w:p>
    <w:p>
      <w:pPr>
        <w:pStyle w:val="BodyText"/>
      </w:pPr>
      <w:r>
        <w:t xml:space="preserve">مؤلفات المؤلف</w:t>
      </w:r>
      <w:r>
        <w:t xml:space="preserve">117</w:t>
      </w:r>
    </w:p>
    <w:bookmarkEnd w:id="23"/>
    <w:bookmarkStart w:id="27" w:name="تمهيدالمقدمة"/>
    <w:p>
      <w:pPr>
        <w:pStyle w:val="Heading1"/>
      </w:pPr>
      <w:r>
        <w:t xml:space="preserve">تمهيد</w:t>
      </w:r>
      <w:r>
        <w:t xml:space="preserve">المقدمة</w:t>
      </w:r>
    </w:p>
    <w:p>
      <w:pPr>
        <w:pStyle w:val="FirstParagraph"/>
      </w:pPr>
      <w:r>
        <w:t xml:space="preserve">الحمد لله ربّ العالمين، والصلاة والسلام على خاتم الأنبياء والمرسلين، سيّدنا محمد وعلى آله وصحبه أجمعين، أمّا بعد:</w:t>
      </w:r>
    </w:p>
    <w:p>
      <w:pPr>
        <w:pStyle w:val="BodyText"/>
      </w:pPr>
      <w:r>
        <w:t xml:space="preserve">فإنّ من أعظم ما ابتُليت به الأمة الإسلامية في تاريخها الطويل هو الخلاف الذي وقع بين أبنائها، وانقسامها إلى مذاهب وفرق متعدّدة، حتى صار الإسلام الواحد، الذي جاء به النبي محمد صلى الله عليه وسلم رحمةً للعالمين، يُقدَّم في الخطاب اليومي وكأنه إسلامان متخاصمان: إسلام سُنّي وإسلام شيعي. والحقيقة الكبرى التي ينبغي أن تكون منطلق أي بحث جادّ في هذا الموضوع هي أنّ الإسلام واحد، والقرآن واحد، والقبلة واحدة، والنبيّ المرسل واحد، وأركان الإيمان واحدة، وأركان الإسلام واحدة، ولكنّ الخلاف الذي طرأ بعد وفاة النبي صلى الله عليه وسلم كان في مسائل اجتهادية وسياسية في أصلها، ثم تراكمت عليها بمرور الزمن طبقات من التراث الكلامي والفقهي والسياسي والثقافي، حتى بدت وكأنها خلافات في أصول الدين نفسه.</w:t>
      </w:r>
    </w:p>
    <w:p>
      <w:pPr>
        <w:pStyle w:val="BodyText"/>
      </w:pPr>
      <w:r>
        <w:t xml:space="preserve">قال الله تعالى:</w:t>
      </w:r>
    </w:p>
    <w:p>
      <w:pPr>
        <w:pStyle w:val="BodyText"/>
      </w:pPr>
      <w:r>
        <w:t xml:space="preserve">﴿وَاعْتَصِمُوا بِحَبْلِ اللَّهِ جَمِيعًا وَلَا تَفَرَّقُوا﴾</w:t>
      </w:r>
      <w:r>
        <w:t xml:space="preserve"> </w:t>
      </w:r>
      <w:r>
        <w:t xml:space="preserve">آل عمران: 103</w:t>
      </w:r>
    </w:p>
    <w:p>
      <w:pPr>
        <w:pStyle w:val="BodyText"/>
      </w:pPr>
      <w:r>
        <w:t xml:space="preserve">وقال سبحانه:</w:t>
      </w:r>
    </w:p>
    <w:p>
      <w:pPr>
        <w:pStyle w:val="BodyText"/>
      </w:pPr>
      <w:r>
        <w:t xml:space="preserve">﴿إِنَّ هَٰذِهِ أُمَّتُكُمْ أُمَّةً وَاحِدَةً وَأَنَا رَبُّكُمْ فَاعْبُدُونِ﴾</w:t>
      </w:r>
      <w:r>
        <w:t xml:space="preserve"> </w:t>
      </w:r>
      <w:r>
        <w:t xml:space="preserve">الأنبياء: 92</w:t>
      </w:r>
    </w:p>
    <w:p>
      <w:pPr>
        <w:pStyle w:val="BodyText"/>
      </w:pPr>
      <w:r>
        <w:t xml:space="preserve">هذان النصّان القرآنيّان يضعان قاعدة محكمة: الوحدة فريضة، والتفرّق محظور. ومع ذلك، فإنّ واقع الأمة اليوم — بعد أربعة عشر قرناً من نزول هذه الآيات — يُظهر صورة مغايرة تماماً، إذ تحوّلت العلاقة بين السنة والشيعة في كثير من المناطق من علاقة أخوّة إيمانية إلى علاقة شكّ متبادل، وفي أسوأ حالاتها إلى عداء صريح وقتال دامٍ.</w:t>
      </w:r>
    </w:p>
    <w:bookmarkStart w:id="24" w:name="إشكالية-الكتاب"/>
    <w:p>
      <w:pPr>
        <w:pStyle w:val="Heading2"/>
      </w:pPr>
      <w:r>
        <w:t xml:space="preserve">إشكالية الكتاب</w:t>
      </w:r>
    </w:p>
    <w:p>
      <w:pPr>
        <w:pStyle w:val="FirstParagraph"/>
      </w:pPr>
      <w:r>
        <w:t xml:space="preserve">يطرح هذا الكتاب أسئلة محورية لا يمكن للمسلم العاقل أن يتجاوزها:</w:t>
      </w:r>
    </w:p>
    <w:p>
      <w:pPr>
        <w:numPr>
          <w:ilvl w:val="0"/>
          <w:numId w:val="1001"/>
        </w:numPr>
        <w:pStyle w:val="Compact"/>
      </w:pPr>
      <w:r>
        <w:rPr>
          <w:bCs/>
          <w:b/>
        </w:rPr>
        <w:t xml:space="preserve">هل الفروق بين السنة والشيعة فروق جوهرية في أصول الدين، أم هي فروق في مسائل اجتهادية وتاريخية؟</w:t>
      </w:r>
    </w:p>
    <w:p>
      <w:pPr>
        <w:numPr>
          <w:ilvl w:val="0"/>
          <w:numId w:val="1001"/>
        </w:numPr>
        <w:pStyle w:val="Compact"/>
      </w:pPr>
      <w:r>
        <w:rPr>
          <w:bCs/>
          <w:b/>
        </w:rPr>
        <w:t xml:space="preserve">ما هي الأسباب الحقيقية للخلاف الكبير الذي تطوّر عبر القرون؟ هل هي دينية في جوهرها أم سياسية؟</w:t>
      </w:r>
    </w:p>
    <w:p>
      <w:pPr>
        <w:numPr>
          <w:ilvl w:val="0"/>
          <w:numId w:val="1001"/>
        </w:numPr>
        <w:pStyle w:val="Compact"/>
      </w:pPr>
      <w:r>
        <w:rPr>
          <w:bCs/>
          <w:b/>
        </w:rPr>
        <w:t xml:space="preserve">ما الدور الذي تلعبه القوى الخارجية — إسرائيل، الولايات المتحدة، أوروبا، وقوى إقليمية — في تأجيج هذا الصراع وإطالته؟</w:t>
      </w:r>
    </w:p>
    <w:p>
      <w:pPr>
        <w:numPr>
          <w:ilvl w:val="0"/>
          <w:numId w:val="1001"/>
        </w:numPr>
        <w:pStyle w:val="Compact"/>
      </w:pPr>
      <w:r>
        <w:rPr>
          <w:bCs/>
          <w:b/>
        </w:rPr>
        <w:t xml:space="preserve">هل التقارب بين المذهبين ممكن يوماً ما؟ وما الشروط الواقعية لذلك؟</w:t>
      </w:r>
    </w:p>
    <w:bookmarkEnd w:id="24"/>
    <w:bookmarkStart w:id="25" w:name="منهج-الكتاب"/>
    <w:p>
      <w:pPr>
        <w:pStyle w:val="Heading2"/>
      </w:pPr>
      <w:r>
        <w:t xml:space="preserve">منهج الكتاب</w:t>
      </w:r>
    </w:p>
    <w:p>
      <w:pPr>
        <w:pStyle w:val="FirstParagraph"/>
      </w:pPr>
      <w:r>
        <w:t xml:space="preserve">اعتمد الكتاب على منهج تحليلي مقارن، يتعامل مع المصادر الأصلية للمذهبين باحترام علمي، ويميّز بدقّة بين ثلاثة مستويات للخلاف لا يجوز الخلط بينها:</w:t>
      </w:r>
    </w:p>
    <w:p>
      <w:pPr>
        <w:numPr>
          <w:ilvl w:val="0"/>
          <w:numId w:val="1002"/>
        </w:numPr>
        <w:pStyle w:val="Compact"/>
      </w:pPr>
      <w:r>
        <w:rPr>
          <w:bCs/>
          <w:b/>
        </w:rPr>
        <w:t xml:space="preserve">المستوى العقدي الجوهري:</w:t>
      </w:r>
      <w:r>
        <w:t xml:space="preserve"> </w:t>
      </w:r>
      <w:r>
        <w:t xml:space="preserve">وهو ما يتعلّق بأصول الإيمان (الله، الرسل، الكتب، اليوم الآخر، القدر) — وفي هذا المستوى يكاد يكون الاتفاق تامّاً.</w:t>
      </w:r>
    </w:p>
    <w:p>
      <w:pPr>
        <w:numPr>
          <w:ilvl w:val="0"/>
          <w:numId w:val="1002"/>
        </w:numPr>
        <w:pStyle w:val="Compact"/>
      </w:pPr>
      <w:r>
        <w:rPr>
          <w:bCs/>
          <w:b/>
        </w:rPr>
        <w:t xml:space="preserve">المستوى الفقهي والاجتهادي:</w:t>
      </w:r>
      <w:r>
        <w:t xml:space="preserve"> </w:t>
      </w:r>
      <w:r>
        <w:t xml:space="preserve">وهو ما يتعلّق بالعبادات والمعاملات — وفيه فروق فرعية مشابهة للفروق بين المذاهب السنية الأربعة نفسها.</w:t>
      </w:r>
    </w:p>
    <w:p>
      <w:pPr>
        <w:numPr>
          <w:ilvl w:val="0"/>
          <w:numId w:val="1002"/>
        </w:numPr>
        <w:pStyle w:val="Compact"/>
      </w:pPr>
      <w:r>
        <w:rPr>
          <w:bCs/>
          <w:b/>
        </w:rPr>
        <w:t xml:space="preserve">المستوى التاريخي والسياسي:</w:t>
      </w:r>
      <w:r>
        <w:t xml:space="preserve"> </w:t>
      </w:r>
      <w:r>
        <w:t xml:space="preserve">وهو ما يتعلّق بأحداث الفتنة الكبرى والإمامة والخلافة — وهنا تكمن جذور أكثر الخلافات حدّة.</w:t>
      </w:r>
    </w:p>
    <w:p>
      <w:pPr>
        <w:pStyle w:val="FirstParagraph"/>
      </w:pPr>
      <w:r>
        <w:t xml:space="preserve">إنّ الخلط بين هذه المستويات الثلاثة هو ما يجعل بعض الناس يعتقدون أن السنة والشيعة يعبدون إلهين مختلفين، أو يتّبعون نبيّين مختلفين، وكلا الأمرين باطل قطعاً. فالخلاف الحقيقي في معظمه — كما سيتضح في فصول هذا الكتاب — هو خلاف تاريخي وسياسي، طُرح عليه لباس ديني عبر القرون، حتى صار من العسير على القارئ غير المتخصّص أن يميّز بين الجوهر والقشور.</w:t>
      </w:r>
    </w:p>
    <w:bookmarkEnd w:id="25"/>
    <w:bookmarkStart w:id="26" w:name="أهمية-الموضوع-اليوم"/>
    <w:p>
      <w:pPr>
        <w:pStyle w:val="Heading2"/>
      </w:pPr>
      <w:r>
        <w:t xml:space="preserve">أهمية الموضوع اليوم</w:t>
      </w:r>
    </w:p>
    <w:p>
      <w:pPr>
        <w:pStyle w:val="FirstParagraph"/>
      </w:pPr>
      <w:r>
        <w:t xml:space="preserve">لم يكن البحث في هذا الموضوع في أي وقت مضى أكثر إلحاحاً ممّا هو عليه اليوم. فالعقدان الأخيران شهدا تصاعداً غير مسبوق في الصراع المذهبي، من العراق إلى سوريا إلى اليمن إلى لبنان إلى البحرين، ودفع المسلمون — سنّة وشيعة — أثماناً باهظة من دمائهم وأموالهم وأوطانهم. وفي الوقت نفسه، تتقدّم القوى المعادية للإسلام في احتلال الأرض، وانتهاك المقدّسات، وفرض الهيمنة الاقتصادية والثقافية، بينما تنشغل الأمة بصراعاتها الداخلية.</w:t>
      </w:r>
    </w:p>
    <w:p>
      <w:pPr>
        <w:pStyle w:val="BodyText"/>
      </w:pPr>
      <w:r>
        <w:t xml:space="preserve">إنّ هذا الكتاب لا يدّعي تقديم حلول سحرية، ولا يدعو إلى ذوبان مذهب في آخر، ولا يطلب من أحد أن يتنازل عن قناعاته العقدية. إنّما يدعو إلى ما هو أكثر تواضعاً وأشدّ واقعية: أن نعرف بعضنا بعضاً معرفة صحيحة لا مشوّهة، وأن نميّز بين ما هو ديني ثابت وما هو سياسي متغيّر، وأن نضع مصلحة الأمة فوق مصالح الطوائف، وأن نُسقط من حساباتنا الأدوات التي تستخدمها القوى الخارجية لإبقاء جذوة الصراع مشتعلة.</w:t>
      </w:r>
    </w:p>
    <w:p>
      <w:pPr>
        <w:pStyle w:val="BodyText"/>
      </w:pPr>
      <w:r>
        <w:t xml:space="preserve">والله أسأل أن يجعل هذا العمل خالصاً لوجهه الكريم، وأن ينفع به طلّاب الحقّ من السنة والشيعة على حدّ سواء، وأن يهدي الأمة إلى ما فيه عزّها ووحدتها، إنه سميع مجيب.</w:t>
      </w:r>
    </w:p>
    <w:p>
      <w:pPr>
        <w:pStyle w:val="BodyText"/>
      </w:pPr>
      <w:r>
        <w:rPr>
          <w:bCs/>
          <w:b/>
        </w:rPr>
        <w:t xml:space="preserve">المؤلف</w:t>
      </w:r>
      <w:r>
        <w:br/>
      </w:r>
      <w:r>
        <w:t xml:space="preserve">د. فضل محمد الأكوع</w:t>
      </w:r>
    </w:p>
    <w:bookmarkEnd w:id="26"/>
    <w:bookmarkEnd w:id="27"/>
    <w:bookmarkStart w:id="36" w:name="الفصل-الأولالإسلام-الواحد-ونشأة-المذاهب"/>
    <w:p>
      <w:pPr>
        <w:pStyle w:val="Heading1"/>
      </w:pPr>
      <w:r>
        <w:t xml:space="preserve">الفصل الأول</w:t>
      </w:r>
      <w:r>
        <w:t xml:space="preserve">الإسلام الواحد ونشأة المذاهب</w:t>
      </w:r>
    </w:p>
    <w:bookmarkStart w:id="28" w:name="الإسلام-في-عصر-النبوة-الوحدة-الكاملة"/>
    <w:p>
      <w:pPr>
        <w:pStyle w:val="Heading2"/>
      </w:pPr>
      <w:r>
        <w:t xml:space="preserve">1.1 الإسلام في عصر النبوة: الوحدة الكاملة</w:t>
      </w:r>
    </w:p>
    <w:p>
      <w:pPr>
        <w:pStyle w:val="FirstParagraph"/>
      </w:pPr>
      <w:r>
        <w:t xml:space="preserve">في عصر النبي محمد صلى الله عليه وسلم، لم يكن هناك «سنّة» و«شيعة»، ولا حنفية ولا مالكية ولا شافعية ولا حنبلية ولا جعفرية ولا زيدية ولا إسماعيلية. كان هناك مسلمون فقط، يأخذون دينهم من مصدر واحد: الوحي النازل على رسولهم. وكان النبي صلى الله عليه وسلم هو المرجع في كل خلاف، وهو المفتي في كل مسألة، وهو الإمام في الصلاة، والقاضي في النزاع، والقائد في الحرب والسلم. تلك كانت لحظة الوحدة الكاملة التي لم تتكرّر بعدها في تاريخ الأمة على هذه الصورة المثالية.</w:t>
      </w:r>
    </w:p>
    <w:p>
      <w:pPr>
        <w:pStyle w:val="BodyText"/>
      </w:pPr>
      <w:r>
        <w:t xml:space="preserve">قال الله تعالى:</w:t>
      </w:r>
    </w:p>
    <w:p>
      <w:pPr>
        <w:pStyle w:val="BodyText"/>
      </w:pPr>
      <w:r>
        <w:t xml:space="preserve">﴿الْيَوْمَ أَكْمَلْتُ لَكُمْ دِينَكُمْ وَأَتْمَمْتُ عَلَيْكُمْ نِعْمَتِي وَرَضِيتُ لَكُمُ الْإِسْلَامَ دِينًا﴾</w:t>
      </w:r>
      <w:r>
        <w:t xml:space="preserve"> </w:t>
      </w:r>
      <w:r>
        <w:t xml:space="preserve">المائدة: 3</w:t>
      </w:r>
    </w:p>
    <w:p>
      <w:pPr>
        <w:pStyle w:val="BodyText"/>
      </w:pPr>
      <w:r>
        <w:t xml:space="preserve">كان الدين كاملاً، والوحي ناطقاً، والقيادة موحَّدة. فأين إذن نشأ الخلاف؟</w:t>
      </w:r>
    </w:p>
    <w:bookmarkEnd w:id="28"/>
    <w:bookmarkStart w:id="29" w:name="لحظة-الوفاة-انفجار-الأسئلة-المؤجلة"/>
    <w:p>
      <w:pPr>
        <w:pStyle w:val="Heading2"/>
      </w:pPr>
      <w:r>
        <w:t xml:space="preserve">1.2 لحظة الوفاة: انفجار الأسئلة المؤجَّلة</w:t>
      </w:r>
    </w:p>
    <w:p>
      <w:pPr>
        <w:pStyle w:val="FirstParagraph"/>
      </w:pPr>
      <w:r>
        <w:t xml:space="preserve">حين انتقل النبي صلى الله عليه وسلم إلى الرفيق الأعلى في ربيع الأول من السنة الحادية عشرة للهجرة، انفتحت على الأمة جملة من الأسئلة لم تكن مطروحة من قبل بهذه الحدّة:</w:t>
      </w:r>
    </w:p>
    <w:p>
      <w:pPr>
        <w:numPr>
          <w:ilvl w:val="0"/>
          <w:numId w:val="1003"/>
        </w:numPr>
        <w:pStyle w:val="Compact"/>
      </w:pPr>
      <w:r>
        <w:t xml:space="preserve">من يخلف النبي في إدارة شؤون الأمة؟</w:t>
      </w:r>
    </w:p>
    <w:p>
      <w:pPr>
        <w:numPr>
          <w:ilvl w:val="0"/>
          <w:numId w:val="1003"/>
        </w:numPr>
        <w:pStyle w:val="Compact"/>
      </w:pPr>
      <w:r>
        <w:t xml:space="preserve">هل ترك النبي نصّاً صريحاً في تعيين خليفته أم ترك الأمر للأمة؟</w:t>
      </w:r>
    </w:p>
    <w:p>
      <w:pPr>
        <w:numPr>
          <w:ilvl w:val="0"/>
          <w:numId w:val="1003"/>
        </w:numPr>
        <w:pStyle w:val="Compact"/>
      </w:pPr>
      <w:r>
        <w:t xml:space="preserve">ما طبيعة منصب الخلافة: هل هو منصب ديني محض، أم سياسي، أم مزيج بينهما؟</w:t>
      </w:r>
    </w:p>
    <w:p>
      <w:pPr>
        <w:numPr>
          <w:ilvl w:val="0"/>
          <w:numId w:val="1003"/>
        </w:numPr>
        <w:pStyle w:val="Compact"/>
      </w:pPr>
      <w:r>
        <w:t xml:space="preserve">ما حقوق آل البيت في القيادة؟ وما مكانتهم في التشريع؟</w:t>
      </w:r>
    </w:p>
    <w:p>
      <w:pPr>
        <w:pStyle w:val="FirstParagraph"/>
      </w:pPr>
      <w:r>
        <w:t xml:space="preserve">هذه الأسئلة، التي كانت إجاباتها واضحة في حياة النبي بحكم وجوده الشخصي، تحوّلت بعد وفاته إلى موضوعات اجتهادية كبرى، اختلف فيها الصحابة الكرام أنفسهم اختلافاً صار هو البذرة الأولى لكل ما تلاه من انقسامات.</w:t>
      </w:r>
    </w:p>
    <w:bookmarkEnd w:id="29"/>
    <w:bookmarkStart w:id="30" w:name="سقيفة-بني-ساعدة-الحدث-المؤسس"/>
    <w:p>
      <w:pPr>
        <w:pStyle w:val="Heading2"/>
      </w:pPr>
      <w:r>
        <w:t xml:space="preserve">1.3 سقيفة بني ساعدة: الحدث المؤسِّس</w:t>
      </w:r>
    </w:p>
    <w:p>
      <w:pPr>
        <w:pStyle w:val="FirstParagraph"/>
      </w:pPr>
      <w:r>
        <w:t xml:space="preserve">اجتمع الأنصار في سقيفة بني ساعدة بعد وفاة النبي مباشرة للنظر في أمر القيادة، ثم لحقهم أبو بكر وعمر وأبو عبيدة، ودار نقاش انتهى بمبايعة أبي بكر الصديق رضي الله عنه خليفةً للمسلمين. وكان علي بن أبي طالب رضي الله عنه مشغولاً في تلك الساعات بتجهيز جنازة النبي صلى الله عليه وسلم في بيته، ولم يحضر السقيفة. هذه الواقعة — رغم أنها انتهت بإجماع لاحق — ظلّت تطرح إشكالات تاريخية وفقهية إلى يومنا هذا:</w:t>
      </w:r>
    </w:p>
    <w:p>
      <w:pPr>
        <w:numPr>
          <w:ilvl w:val="0"/>
          <w:numId w:val="1004"/>
        </w:numPr>
        <w:pStyle w:val="Compact"/>
      </w:pPr>
      <w:r>
        <w:t xml:space="preserve">هل كانت بيعة أبي بكر «بيعة شورى» مكتملة، أم «فلتة وقى الله شرّها» كما وصفها عمر بن الخطاب نفسه؟</w:t>
      </w:r>
    </w:p>
    <w:p>
      <w:pPr>
        <w:numPr>
          <w:ilvl w:val="0"/>
          <w:numId w:val="1004"/>
        </w:numPr>
        <w:pStyle w:val="Compact"/>
      </w:pPr>
      <w:r>
        <w:t xml:space="preserve">لماذا لم يُنتظر علي بن أبي طالب وآل البيت في مسألة بهذه الأهمية؟</w:t>
      </w:r>
    </w:p>
    <w:p>
      <w:pPr>
        <w:numPr>
          <w:ilvl w:val="0"/>
          <w:numId w:val="1004"/>
        </w:numPr>
        <w:pStyle w:val="Compact"/>
      </w:pPr>
      <w:r>
        <w:t xml:space="preserve">ما تفسير تأخّر علي رضي الله عنه في بيعة أبي بكر ستة أشهر بحسب رواية البخاري نفسه؟</w:t>
      </w:r>
    </w:p>
    <w:p>
      <w:pPr>
        <w:pStyle w:val="FirstParagraph"/>
      </w:pPr>
      <w:r>
        <w:t xml:space="preserve">لقد قرأ السنة هذه الأحداث قراءةً اعتبرت أنّ الأمة اختارت أفضل المتاحين، وأنّ الخلافة شأن شورى لا نصّ فيه. بينما قرأها الشيعة قراءةً اعتبرت أنّ النبي أوصى بالخلافة لعلي في غدير خم وفي مواطن أخرى، وأنّ الذي حدث في السقيفة كان انحرافاً عن الوصية. وكلا الفريقين يستند إلى نصوص ورواة، لكنّ المسألة في حقيقتها تبقى مسألة قراءة تاريخية لا مسألة عقيدة قطعية.</w:t>
      </w:r>
    </w:p>
    <w:bookmarkEnd w:id="30"/>
    <w:bookmarkStart w:id="31" w:name="من-الاختلاف-السياسي-إلى-التمايز-المذهبي"/>
    <w:p>
      <w:pPr>
        <w:pStyle w:val="Heading2"/>
      </w:pPr>
      <w:r>
        <w:t xml:space="preserve">1.4 من الاختلاف السياسي إلى التمايز المذهبي</w:t>
      </w:r>
    </w:p>
    <w:p>
      <w:pPr>
        <w:pStyle w:val="FirstParagraph"/>
      </w:pPr>
      <w:r>
        <w:t xml:space="preserve">لم يتحوّل الخلاف السياسي حول الخلافة إلى خلاف مذهبي بين عشية وضحاها. فقد مرّت قرون قبل أن تتبلور المذاهب بصورتها التي نعرفها اليوم. ويمكن رصد المراحل التالية: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المرحلة</w:t>
            </w:r>
          </w:p>
        </w:tc>
        <w:tc>
          <w:tcPr/>
          <w:p>
            <w:pPr>
              <w:pStyle w:val="Compact"/>
              <w:jc w:val="left"/>
            </w:pPr>
            <w:r>
              <w:t xml:space="preserve">الفترة الزمنية</w:t>
            </w:r>
          </w:p>
        </w:tc>
        <w:tc>
          <w:tcPr/>
          <w:p>
            <w:pPr>
              <w:pStyle w:val="Compact"/>
              <w:jc w:val="left"/>
            </w:pPr>
            <w:r>
              <w:t xml:space="preserve">طبيعة الخلاف</w:t>
            </w:r>
          </w:p>
        </w:tc>
      </w:tr>
      <w:tr>
        <w:tc>
          <w:tcPr/>
          <w:p>
            <w:pPr>
              <w:pStyle w:val="Compact"/>
              <w:jc w:val="left"/>
            </w:pPr>
            <w:r>
              <w:t xml:space="preserve">الخلاف السياسي الأوّل</w:t>
            </w:r>
          </w:p>
        </w:tc>
        <w:tc>
          <w:tcPr/>
          <w:p>
            <w:pPr>
              <w:pStyle w:val="Compact"/>
              <w:jc w:val="left"/>
            </w:pPr>
            <w:r>
              <w:t xml:space="preserve">11 هـ – 40 هـ</w:t>
            </w:r>
          </w:p>
        </w:tc>
        <w:tc>
          <w:tcPr/>
          <w:p>
            <w:pPr>
              <w:pStyle w:val="Compact"/>
              <w:jc w:val="left"/>
            </w:pPr>
            <w:r>
              <w:t xml:space="preserve">صراع على القيادة دون تمايز عقدي</w:t>
            </w:r>
          </w:p>
        </w:tc>
      </w:tr>
      <w:tr>
        <w:tc>
          <w:tcPr/>
          <w:p>
            <w:pPr>
              <w:pStyle w:val="Compact"/>
              <w:jc w:val="left"/>
            </w:pPr>
            <w:r>
              <w:t xml:space="preserve">بداية التشكّل المذهبي</w:t>
            </w:r>
          </w:p>
        </w:tc>
        <w:tc>
          <w:tcPr/>
          <w:p>
            <w:pPr>
              <w:pStyle w:val="Compact"/>
              <w:jc w:val="left"/>
            </w:pPr>
            <w:r>
              <w:t xml:space="preserve">40 هـ – 132 هـ</w:t>
            </w:r>
          </w:p>
        </w:tc>
        <w:tc>
          <w:tcPr/>
          <w:p>
            <w:pPr>
              <w:pStyle w:val="Compact"/>
              <w:jc w:val="left"/>
            </w:pPr>
            <w:r>
              <w:t xml:space="preserve">ظهور أنصار آل البيت كتيار سياسي-فكري</w:t>
            </w:r>
          </w:p>
        </w:tc>
      </w:tr>
      <w:tr>
        <w:tc>
          <w:tcPr/>
          <w:p>
            <w:pPr>
              <w:pStyle w:val="Compact"/>
              <w:jc w:val="left"/>
            </w:pPr>
            <w:r>
              <w:t xml:space="preserve">التدوين والتقعيد</w:t>
            </w:r>
          </w:p>
        </w:tc>
        <w:tc>
          <w:tcPr/>
          <w:p>
            <w:pPr>
              <w:pStyle w:val="Compact"/>
              <w:jc w:val="left"/>
            </w:pPr>
            <w:r>
              <w:t xml:space="preserve">132 هـ – 350 هـ</w:t>
            </w:r>
          </w:p>
        </w:tc>
        <w:tc>
          <w:tcPr/>
          <w:p>
            <w:pPr>
              <w:pStyle w:val="Compact"/>
              <w:jc w:val="left"/>
            </w:pPr>
            <w:r>
              <w:t xml:space="preserve">تدوين الفقه السني والشيعي وتقعيد الأصول</w:t>
            </w:r>
          </w:p>
        </w:tc>
      </w:tr>
      <w:tr>
        <w:tc>
          <w:tcPr/>
          <w:p>
            <w:pPr>
              <w:pStyle w:val="Compact"/>
              <w:jc w:val="left"/>
            </w:pPr>
            <w:r>
              <w:t xml:space="preserve">المؤسسات المذهبية الكبرى</w:t>
            </w:r>
          </w:p>
        </w:tc>
        <w:tc>
          <w:tcPr/>
          <w:p>
            <w:pPr>
              <w:pStyle w:val="Compact"/>
              <w:jc w:val="left"/>
            </w:pPr>
            <w:r>
              <w:t xml:space="preserve">350 هـ – 1000 هـ</w:t>
            </w:r>
          </w:p>
        </w:tc>
        <w:tc>
          <w:tcPr/>
          <w:p>
            <w:pPr>
              <w:pStyle w:val="Compact"/>
              <w:jc w:val="left"/>
            </w:pPr>
            <w:r>
              <w:t xml:space="preserve">الأزهر، النجف، قم، مدارس فكرية مستقلة</w:t>
            </w:r>
          </w:p>
        </w:tc>
      </w:tr>
      <w:tr>
        <w:tc>
          <w:tcPr/>
          <w:p>
            <w:pPr>
              <w:pStyle w:val="Compact"/>
              <w:jc w:val="left"/>
            </w:pPr>
            <w:r>
              <w:t xml:space="preserve">التسييس المعاصر</w:t>
            </w:r>
          </w:p>
        </w:tc>
        <w:tc>
          <w:tcPr/>
          <w:p>
            <w:pPr>
              <w:pStyle w:val="Compact"/>
              <w:jc w:val="left"/>
            </w:pPr>
            <w:r>
              <w:t xml:space="preserve">القرنين الأخيرين</w:t>
            </w:r>
          </w:p>
        </w:tc>
        <w:tc>
          <w:tcPr/>
          <w:p>
            <w:pPr>
              <w:pStyle w:val="Compact"/>
              <w:jc w:val="left"/>
            </w:pPr>
            <w:r>
              <w:t xml:space="preserve">توظيف المذهب في الصراعات السياسية الإقليمية</w:t>
            </w:r>
          </w:p>
        </w:tc>
      </w:tr>
    </w:tbl>
    <w:p>
      <w:pPr>
        <w:pStyle w:val="BodyText"/>
      </w:pPr>
      <w:r>
        <w:t xml:space="preserve">هذا الجدول يكشف حقيقة جوهرية: إنّ الخلاف الذي بدأ سياسياً صرفاً، تحوّل عبر قرون إلى منظومة فكرية وفقهية متمايزة، ثم استُعيدت هذه المنظومة في العصر الحديث بوصفها أداةً سياسية مرّةً أخرى. كأن التاريخ يدور دورته الكاملة: من السياسة إلى الفقه إلى السياسة من جديد.</w:t>
      </w:r>
    </w:p>
    <w:bookmarkEnd w:id="31"/>
    <w:bookmarkStart w:id="34" w:name="المذاهب-السنية-والشيعية-تنوع-لا-انقسام"/>
    <w:p>
      <w:pPr>
        <w:pStyle w:val="Heading2"/>
      </w:pPr>
      <w:r>
        <w:t xml:space="preserve">1.5 المذاهب السنية والشيعية: تنوّع لا انقسام</w:t>
      </w:r>
    </w:p>
    <w:p>
      <w:pPr>
        <w:pStyle w:val="FirstParagraph"/>
      </w:pPr>
      <w:r>
        <w:t xml:space="preserve">قبل المضيّ في الكتاب، من المهمّ أن يستوعب القارئ أنّ كلاًّ من «السنّة» و«الشيعة» ليس كتلة واحدة، بل تنوّع داخلي واسع:</w:t>
      </w:r>
    </w:p>
    <w:bookmarkStart w:id="32" w:name="المذاهب-السنية-الكبرى"/>
    <w:p>
      <w:pPr>
        <w:pStyle w:val="Heading3"/>
      </w:pPr>
      <w:r>
        <w:t xml:space="preserve">المذاهب السنية الكبرى</w:t>
      </w:r>
    </w:p>
    <w:p>
      <w:pPr>
        <w:numPr>
          <w:ilvl w:val="0"/>
          <w:numId w:val="1005"/>
        </w:numPr>
        <w:pStyle w:val="Compact"/>
      </w:pPr>
      <w:r>
        <w:rPr>
          <w:bCs/>
          <w:b/>
        </w:rPr>
        <w:t xml:space="preserve">الحنفية:</w:t>
      </w:r>
      <w:r>
        <w:t xml:space="preserve"> </w:t>
      </w:r>
      <w:r>
        <w:t xml:space="preserve">أتباع الإمام أبي حنيفة النعمان (ت 150 هـ)، الأكثر انتشاراً عددياً، وغالب مسلمي تركيا والهند وباكستان وآسيا الوسطى.</w:t>
      </w:r>
    </w:p>
    <w:p>
      <w:pPr>
        <w:numPr>
          <w:ilvl w:val="0"/>
          <w:numId w:val="1005"/>
        </w:numPr>
        <w:pStyle w:val="Compact"/>
      </w:pPr>
      <w:r>
        <w:rPr>
          <w:bCs/>
          <w:b/>
        </w:rPr>
        <w:t xml:space="preserve">المالكية:</w:t>
      </w:r>
      <w:r>
        <w:t xml:space="preserve"> </w:t>
      </w:r>
      <w:r>
        <w:t xml:space="preserve">أتباع الإمام مالك بن أنس (ت 179 هـ)، غالب مسلمي شمال أفريقيا وغربها.</w:t>
      </w:r>
    </w:p>
    <w:p>
      <w:pPr>
        <w:numPr>
          <w:ilvl w:val="0"/>
          <w:numId w:val="1005"/>
        </w:numPr>
        <w:pStyle w:val="Compact"/>
      </w:pPr>
      <w:r>
        <w:rPr>
          <w:bCs/>
          <w:b/>
        </w:rPr>
        <w:t xml:space="preserve">الشافعية:</w:t>
      </w:r>
      <w:r>
        <w:t xml:space="preserve"> </w:t>
      </w:r>
      <w:r>
        <w:t xml:space="preserve">أتباع الإمام محمد بن إدريس الشافعي (ت 204 هـ)، غالب مسلمي مصر، اليمن، الشرق الأقصى.</w:t>
      </w:r>
    </w:p>
    <w:p>
      <w:pPr>
        <w:numPr>
          <w:ilvl w:val="0"/>
          <w:numId w:val="1005"/>
        </w:numPr>
        <w:pStyle w:val="Compact"/>
      </w:pPr>
      <w:r>
        <w:rPr>
          <w:bCs/>
          <w:b/>
        </w:rPr>
        <w:t xml:space="preserve">الحنبلية:</w:t>
      </w:r>
      <w:r>
        <w:t xml:space="preserve"> </w:t>
      </w:r>
      <w:r>
        <w:t xml:space="preserve">أتباع الإمام أحمد بن حنبل (ت 241 هـ)، غالب مسلمي شبه الجزيرة العربية.</w:t>
      </w:r>
    </w:p>
    <w:bookmarkEnd w:id="32"/>
    <w:bookmarkStart w:id="33" w:name="المذاهب-الشيعية-الكبرى"/>
    <w:p>
      <w:pPr>
        <w:pStyle w:val="Heading3"/>
      </w:pPr>
      <w:r>
        <w:t xml:space="preserve">المذاهب الشيعية الكبرى</w:t>
      </w:r>
    </w:p>
    <w:p>
      <w:pPr>
        <w:numPr>
          <w:ilvl w:val="0"/>
          <w:numId w:val="1006"/>
        </w:numPr>
        <w:pStyle w:val="Compact"/>
      </w:pPr>
      <w:r>
        <w:rPr>
          <w:bCs/>
          <w:b/>
        </w:rPr>
        <w:t xml:space="preserve">الإثنا عشرية (الجعفرية):</w:t>
      </w:r>
      <w:r>
        <w:t xml:space="preserve"> </w:t>
      </w:r>
      <w:r>
        <w:t xml:space="preserve">الأكثر عدداً، يتبعون فقه الإمام جعفر الصادق (ت 148 هـ)، غالبهم في إيران، العراق، لبنان، البحرين.</w:t>
      </w:r>
    </w:p>
    <w:p>
      <w:pPr>
        <w:numPr>
          <w:ilvl w:val="0"/>
          <w:numId w:val="1006"/>
        </w:numPr>
        <w:pStyle w:val="Compact"/>
      </w:pPr>
      <w:r>
        <w:rPr>
          <w:bCs/>
          <w:b/>
        </w:rPr>
        <w:t xml:space="preserve">الزيدية:</w:t>
      </w:r>
      <w:r>
        <w:t xml:space="preserve"> </w:t>
      </w:r>
      <w:r>
        <w:t xml:space="preserve">أتباع الإمام زيد بن علي (ت 122 هـ)، غالبهم في اليمن، وهم أقرب الفرق الشيعية إلى المذاهب السنية فقهياً.</w:t>
      </w:r>
    </w:p>
    <w:p>
      <w:pPr>
        <w:numPr>
          <w:ilvl w:val="0"/>
          <w:numId w:val="1006"/>
        </w:numPr>
        <w:pStyle w:val="Compact"/>
      </w:pPr>
      <w:r>
        <w:rPr>
          <w:bCs/>
          <w:b/>
        </w:rPr>
        <w:t xml:space="preserve">الإسماعيلية:</w:t>
      </w:r>
      <w:r>
        <w:t xml:space="preserve"> </w:t>
      </w:r>
      <w:r>
        <w:t xml:space="preserve">منتشرون في الهند واليمن وأجزاء من الشام، وفروعهم متعدّدة.</w:t>
      </w:r>
    </w:p>
    <w:p>
      <w:pPr>
        <w:pStyle w:val="FirstParagraph"/>
      </w:pPr>
      <w:r>
        <w:t xml:space="preserve">هذا التنوّع نفسه — وهو حقيقة لا تُنكَر — يطرح سؤالاً منهجياً: حين نتحدّث عن «الخلاف السني الشيعي» فأيّ سنة وأيّ شيعة نقصد؟ إنّ الخطاب التعميمي الذي يضع كل السنة في خانة وكل الشيعة في خانة أخرى هو خطاب مضلِّل بطبيعته، يُخفي تنوّعاً داخلياً ضخماً، ويصنع عدوّاً مجرّداً لا وجود له في الواقع. فالحنفي الهندي قد يكون أقرب فقهياً إلى الزيدي اليمني من الحنبلي السلفي، كما أنّ الإثنا عشري الإيراني المعتدل قد يكون في كثير من المسائل أقرب إلى الشافعي اللبناني من الإسماعيلي الباطني.</w:t>
      </w:r>
    </w:p>
    <w:bookmarkEnd w:id="33"/>
    <w:bookmarkEnd w:id="34"/>
    <w:bookmarkStart w:id="35" w:name="خلاصة-الفصل"/>
    <w:p>
      <w:pPr>
        <w:pStyle w:val="Heading2"/>
      </w:pPr>
      <w:r>
        <w:t xml:space="preserve">1.6 خلاصة الفصل</w:t>
      </w:r>
    </w:p>
    <w:p>
      <w:pPr>
        <w:pStyle w:val="FirstParagraph"/>
      </w:pPr>
      <w:r>
        <w:t xml:space="preserve">لقد خرج الإسلام من عصر النبوة مذهباً واحداً، ثم تفرّعت منه مذاهب بفعل عوامل متعدّدة: سياسية، تاريخية، جغرافية، اجتهادية، وثقافية. وإذا أردنا أن نفهم الخلاف السني الشيعي فهماً صحيحاً، فعلينا أن نُحرّر أنفسنا من ثلاث مغالطات شائعة:</w:t>
      </w:r>
    </w:p>
    <w:p>
      <w:pPr>
        <w:pStyle w:val="BodyText"/>
      </w:pPr>
      <w:r>
        <w:t xml:space="preserve">المغالطة الأولى</w:t>
      </w:r>
      <w:r>
        <w:t xml:space="preserve"> </w:t>
      </w:r>
      <w:r>
        <w:t xml:space="preserve">أنّ الخلاف وُلِد كاملاً لحظة وفاة النبي. الواقع أنّ ما وقع لحظة الوفاة كان نقاشاً سياسياً بين صحابة كلّهم كانوا يصلّون خلف بعضهم البعض.</w:t>
      </w:r>
    </w:p>
    <w:p>
      <w:pPr>
        <w:pStyle w:val="BodyText"/>
      </w:pPr>
      <w:r>
        <w:t xml:space="preserve">المغالطة الثانية</w:t>
      </w:r>
      <w:r>
        <w:t xml:space="preserve"> </w:t>
      </w:r>
      <w:r>
        <w:t xml:space="preserve">أنّ كل ما يقوله سنّي يقبله جميع السنة، وأنّ كل ما يقوله شيعي يقبله جميع الشيعة. التنوّع الداخلي في كل من الكتلتين يكاد يفوق التنوّع بينهما في كثير من المسائل.</w:t>
      </w:r>
    </w:p>
    <w:p>
      <w:pPr>
        <w:pStyle w:val="BodyText"/>
      </w:pPr>
      <w:r>
        <w:t xml:space="preserve">المغالطة الثالثة</w:t>
      </w:r>
      <w:r>
        <w:t xml:space="preserve"> </w:t>
      </w:r>
      <w:r>
        <w:t xml:space="preserve">أنّ الخلاف الفقهي العملي اليومي بين المذاهب هو خلاف عقدي. كثير من الفروق التي يَعدّها العامّة «جوهرية» هي في الحقيقة فروع فقهية شبيهة بالفروع التي يختلف فيها الحنفي عن الشافعي.</w:t>
      </w:r>
    </w:p>
    <w:p>
      <w:pPr>
        <w:pStyle w:val="BodyText"/>
      </w:pPr>
      <w:r>
        <w:t xml:space="preserve">وفي الفصول التالية، سنُفكّك بصبر علمي كل واحدة من هذه الطبقات: العقدية، الفقهية، التاريخية، السياسية، لنرى أين يقع الجوهر، وأين يقع القشر.</w:t>
      </w:r>
    </w:p>
    <w:bookmarkEnd w:id="35"/>
    <w:bookmarkEnd w:id="36"/>
    <w:bookmarkStart w:id="44" w:name="X460d3fc2b81fca0e876a60930900429d2b1a3f3"/>
    <w:p>
      <w:pPr>
        <w:pStyle w:val="Heading1"/>
      </w:pPr>
      <w:r>
        <w:t xml:space="preserve">الفصل الثاني</w:t>
      </w:r>
      <w:r>
        <w:t xml:space="preserve">الجذور التاريخية للخلاف السني الشيعي</w:t>
      </w:r>
    </w:p>
    <w:p>
      <w:pPr>
        <w:pStyle w:val="FirstParagraph"/>
      </w:pPr>
      <w:r>
        <w:t xml:space="preserve">لا يمكن فهم الخلاف السني الشيعي دون العودة إلى محطّاته التاريخية الكبرى. فالتاريخ هنا ليس مجرّد سرد لأحداث ماضية، بل هو المختبر الذي تشكّلت فيه الهويات المذهبية بصورتها الحالية. وفي هذا الفصل نستعرض المحطات الست الكبرى التي صنعت مسار الانقسام.</w:t>
      </w:r>
    </w:p>
    <w:bookmarkStart w:id="37" w:name="المحطة-الأولى-السقيفة-11-هـ"/>
    <w:p>
      <w:pPr>
        <w:pStyle w:val="Heading2"/>
      </w:pPr>
      <w:r>
        <w:t xml:space="preserve">2.1 المحطة الأولى: السقيفة (11 هـ)</w:t>
      </w:r>
    </w:p>
    <w:p>
      <w:pPr>
        <w:pStyle w:val="FirstParagraph"/>
      </w:pPr>
      <w:r>
        <w:t xml:space="preserve">كانت سقيفة بني ساعدة — كما أشرنا في الفصل السابق — اللحظة الأولى التي طُرح فيها سؤال السلطة بوصفه سؤالاً مفتوحاً. القراءة السنية ترى في بيعة أبي بكر إجماعاً لاحقاً وشورى صحيحة، والقراءة الشيعية ترى أنّها تجاوزت حقّ علي المنصوص عليه في حديث الغدير: «من كنت مولاه فعليّ مولاه». والحديث صحيح عند الفريقين، لكنّ الخلاف في تفسير معنى «المولى»: هل هو الولاية بمعنى المحبة والنصرة، أم الولاية بمعنى الخلافة السياسية؟</w:t>
      </w:r>
    </w:p>
    <w:bookmarkEnd w:id="37"/>
    <w:bookmarkStart w:id="38" w:name="المحطة-الثانية-مقتل-عثمان-35-هـ"/>
    <w:p>
      <w:pPr>
        <w:pStyle w:val="Heading2"/>
      </w:pPr>
      <w:r>
        <w:t xml:space="preserve">2.2 المحطة الثانية: مقتل عثمان (35 هـ)</w:t>
      </w:r>
    </w:p>
    <w:p>
      <w:pPr>
        <w:pStyle w:val="FirstParagraph"/>
      </w:pPr>
      <w:r>
        <w:t xml:space="preserve">كان مقتل الخليفة الثالث عثمان بن عفان رضي الله عنه على يد ثوّار جاؤوا من الكوفة والبصرة ومصر هزّةً اجتماعية وسياسية لم تشهدها الأمة من قبل. سقطت هيبة الدولة، وفُتح الباب لكل النزاعات اللاحقة. وقد اتّخذت الأمّة منذ تلك اللحظة موقفين:</w:t>
      </w:r>
    </w:p>
    <w:p>
      <w:pPr>
        <w:numPr>
          <w:ilvl w:val="0"/>
          <w:numId w:val="1007"/>
        </w:numPr>
        <w:pStyle w:val="Compact"/>
      </w:pPr>
      <w:r>
        <w:rPr>
          <w:bCs/>
          <w:b/>
        </w:rPr>
        <w:t xml:space="preserve">موقف الحياد والتوقّف:</w:t>
      </w:r>
      <w:r>
        <w:t xml:space="preserve"> </w:t>
      </w:r>
      <w:r>
        <w:t xml:space="preserve">تبنّاه عدد من الصحابة كسعد بن أبي وقاص وابن عمر، إذ رأوا الفتنة لا يصحّ الدخول فيها.</w:t>
      </w:r>
    </w:p>
    <w:p>
      <w:pPr>
        <w:numPr>
          <w:ilvl w:val="0"/>
          <w:numId w:val="1007"/>
        </w:numPr>
        <w:pStyle w:val="Compact"/>
      </w:pPr>
      <w:r>
        <w:rPr>
          <w:bCs/>
          <w:b/>
        </w:rPr>
        <w:t xml:space="preserve">موقف الانخراط:</w:t>
      </w:r>
      <w:r>
        <w:t xml:space="preserve"> </w:t>
      </w:r>
      <w:r>
        <w:t xml:space="preserve">انقسم فيه الصحابة بين مَن بايع علياً ومَن طالب بدم عثمان.</w:t>
      </w:r>
    </w:p>
    <w:bookmarkEnd w:id="38"/>
    <w:bookmarkStart w:id="39" w:name="المحطة-الثالثة-الجمل-وصفين-36-37-هـ"/>
    <w:p>
      <w:pPr>
        <w:pStyle w:val="Heading2"/>
      </w:pPr>
      <w:r>
        <w:t xml:space="preserve">2.3 المحطة الثالثة: الجمل وصفّين (36-37 هـ)</w:t>
      </w:r>
    </w:p>
    <w:p>
      <w:pPr>
        <w:pStyle w:val="FirstParagraph"/>
      </w:pPr>
      <w:r>
        <w:t xml:space="preserve">وقعت معركة الجمل بين علي رضي الله عنه ومن معه، وعائشة وطلحة والزبير ومن معهم. ثم وقعت معركة صفّين بين علي ومعاوية بن أبي سفيان. هاتان المعركتان لم تكونا حرباً بين «سنّة» و«شيعة» بأي معنى من المعاني المتأخّرة، بل كانتا حرباً بين صحابة جميعهم من العشرة المبشّرين بالجنة أو من السابقين الأوّلين، اختلفوا اجتهاداً في موقف سياسي. وقد قال عمار بن ياسر لمن معه في صفين: «لا تقولوا كفر أهل الشام، ولكن قولوا فسقوا، ولكن قولوا ظلموا». وهذا الميزان الدقيق فقدته الأمة لاحقاً، فصار كل فريق يكفّر الآخر.</w:t>
      </w:r>
    </w:p>
    <w:bookmarkEnd w:id="39"/>
    <w:bookmarkStart w:id="40" w:name="Xa63ad7c77833d8fb7f93c193ab7ea7871535f92"/>
    <w:p>
      <w:pPr>
        <w:pStyle w:val="Heading2"/>
      </w:pPr>
      <w:r>
        <w:t xml:space="preserve">2.4 المحطة الرابعة: ظهور الخوارج وتشكّل التشيّع المبكّر</w:t>
      </w:r>
    </w:p>
    <w:p>
      <w:pPr>
        <w:pStyle w:val="FirstParagraph"/>
      </w:pPr>
      <w:r>
        <w:t xml:space="preserve">بعد التحكيم في صفّين، انشقّ على عليٍّ فريق رفض التحكيم وكفّر طرفي النزاع، وهم الخوارج. وفي المقابل، تبلور حول علي فريق رأى أنّه الإمام الحق المنصوص عليه، ومن هؤلاء نشأت اللبنات الأولى للتشيّع بمعناه الفكري. لكنّ هذا التشيّع المبكّر كان قريباً جداً من السنة في عقائده، إذ لم يكن قد تطوّر بعدُ إلى ما عُرف لاحقاً من نظريات الإمامة المعصومة.</w:t>
      </w:r>
    </w:p>
    <w:bookmarkEnd w:id="40"/>
    <w:bookmarkStart w:id="41" w:name="المحطة-الخامسة-كربلاء-61-هـ"/>
    <w:p>
      <w:pPr>
        <w:pStyle w:val="Heading2"/>
      </w:pPr>
      <w:r>
        <w:t xml:space="preserve">2.5 المحطة الخامسة: كربلاء (61 هـ)</w:t>
      </w:r>
    </w:p>
    <w:p>
      <w:pPr>
        <w:pStyle w:val="FirstParagraph"/>
      </w:pPr>
      <w:r>
        <w:t xml:space="preserve">تقع كربلاء في موقع مركزي في الوجدان الشيعي. مقتل الحسين بن علي رضي الله عنهما، سبط النبي وسيد شباب أهل الجنة، على يد جيش يزيد بن معاوية، يمثّل بالنسبة للشيعة الجرح الذي لا يندمل، ويُعاش كل عام في عاشوراء بطقوس حِداد وذكرى. أمّا الموقف السني العام فيرى فاجعة كربلاء جريمة كبرى ومأساة عظيمة، ويترضّى على الحسين، ويذمّ يزيد ومن قتله، لكن دون أن يُحوَّل هذا الحدث إلى محور للعقيدة كما هو الحال في التراث الشيعي.</w:t>
      </w:r>
    </w:p>
    <w:p>
      <w:pPr>
        <w:pStyle w:val="BodyText"/>
      </w:pPr>
      <w:r>
        <w:t xml:space="preserve">قال النبي صلى الله عليه وسلم في الحسن والحسين:</w:t>
      </w:r>
    </w:p>
    <w:p>
      <w:pPr>
        <w:pStyle w:val="BodyText"/>
      </w:pPr>
      <w:r>
        <w:t xml:space="preserve">«الحسن والحسين سيّدا شباب أهل الجنّة».</w:t>
      </w:r>
      <w:r>
        <w:t xml:space="preserve"> </w:t>
      </w:r>
      <w:r>
        <w:t xml:space="preserve">رواه الترمذي وصحّحه الألباني — متّفق على معناه عند السنة والشيعة</w:t>
      </w:r>
    </w:p>
    <w:p>
      <w:pPr>
        <w:pStyle w:val="BodyText"/>
      </w:pPr>
      <w:r>
        <w:t xml:space="preserve">وهذا الحديث وحده يكفي ليُسقط أي خطاب سنّي يستهين بمكانة الحسين، وأي خطاب شيعي يدّعي أنّ السنة لا يحبّون آل البيت.</w:t>
      </w:r>
    </w:p>
    <w:bookmarkEnd w:id="41"/>
    <w:bookmarkStart w:id="42" w:name="Xcebc855e90f66ce3d27b359982ff0d647c8426f"/>
    <w:p>
      <w:pPr>
        <w:pStyle w:val="Heading2"/>
      </w:pPr>
      <w:r>
        <w:t xml:space="preserve">2.6 المحطة السادسة: الدولة الصفوية والدولة العثمانية (القرن العاشر الهجري وما بعده)</w:t>
      </w:r>
    </w:p>
    <w:p>
      <w:pPr>
        <w:pStyle w:val="FirstParagraph"/>
      </w:pPr>
      <w:r>
        <w:t xml:space="preserve">إذا كانت المحطات السابقة قد رسمت الحدود الفكرية للخلاف، فإنّ الدولة الصفوية (التي قامت في إيران سنة 907 هـ / 1501 م) والدولة العثمانية (التي تبنّت الإسلام السني الرسمي) هي التي حوّلت الخلاف من خلاف فكري بين علماء إلى خلاف جيوسياسي بين دولتين متجاورتين متنافستين. الشاه إسماعيل الصفوي فرض التشيّع الإثنا عشري بالقوّة على إيران التي كانت في معظمها سنية شافعية حتى ذلك الحين، والسلاطين العثمانيون استخدموا الإسلام السني هويةً للدولة في مواجهة المنافس الصفوي.</w:t>
      </w:r>
    </w:p>
    <w:p>
      <w:pPr>
        <w:pStyle w:val="BodyText"/>
      </w:pPr>
      <w:r>
        <w:t xml:space="preserve">هذه اللحظة التاريخية حاسمة في فهمنا للحاضر، لأنّ كثيراً من «المظلوميات» المذهبية المتبادلة التي يستحضرها الخطاب اليوم، إنّما تعود في جذورها إلى تلك الحقبة من الصراع العثماني-الصفوي، لا إلى الإسلام نفسه. وهذا يكشف الحقيقة الكبرى التي سيُؤكّدها هذا الكتاب مراراً:</w:t>
      </w:r>
      <w:r>
        <w:t xml:space="preserve"> </w:t>
      </w:r>
      <w:r>
        <w:rPr>
          <w:bCs/>
          <w:b/>
        </w:rPr>
        <w:t xml:space="preserve">أنّ ما يبدو خلافاً دينياً هو في كثير من تفاصيله امتداد لخلاف سياسي بين دول وإمبراطوريات وقوى نفوذ.</w:t>
      </w:r>
    </w:p>
    <w:bookmarkEnd w:id="42"/>
    <w:bookmarkStart w:id="43" w:name="خلاصة-الفصل-1"/>
    <w:p>
      <w:pPr>
        <w:pStyle w:val="Heading2"/>
      </w:pPr>
      <w:r>
        <w:t xml:space="preserve">2.7 خلاصة الفصل</w:t>
      </w:r>
    </w:p>
    <w:p>
      <w:pPr>
        <w:pStyle w:val="FirstParagraph"/>
      </w:pPr>
      <w:r>
        <w:t xml:space="preserve">التاريخ السني الشيعي، حين يُقرأ بعين علمية لا طائفية، يكشف لنا حقائق مهمّة:</w:t>
      </w:r>
    </w:p>
    <w:p>
      <w:pPr>
        <w:numPr>
          <w:ilvl w:val="0"/>
          <w:numId w:val="1008"/>
        </w:numPr>
        <w:pStyle w:val="Compact"/>
      </w:pPr>
      <w:r>
        <w:t xml:space="preserve">الخلاف بدأ سياسياً، ثم تحوّل تدريجياً إلى فكري وفقهي.</w:t>
      </w:r>
    </w:p>
    <w:p>
      <w:pPr>
        <w:numPr>
          <w:ilvl w:val="0"/>
          <w:numId w:val="1008"/>
        </w:numPr>
        <w:pStyle w:val="Compact"/>
      </w:pPr>
      <w:r>
        <w:t xml:space="preserve">الصحابة الذين اختلفوا في الجمل وصفين كلّهم كانوا مسلمين صالحين، وما كان بينهم اجتهاداً لا يُكفَّر فيه أحد.</w:t>
      </w:r>
    </w:p>
    <w:p>
      <w:pPr>
        <w:numPr>
          <w:ilvl w:val="0"/>
          <w:numId w:val="1008"/>
        </w:numPr>
        <w:pStyle w:val="Compact"/>
      </w:pPr>
      <w:r>
        <w:t xml:space="preserve">كربلاء حدث مأساوي يجب أن يجمع الأمة على إدانة الظلم، لا أن يفرّقها.</w:t>
      </w:r>
    </w:p>
    <w:p>
      <w:pPr>
        <w:numPr>
          <w:ilvl w:val="0"/>
          <w:numId w:val="1008"/>
        </w:numPr>
        <w:pStyle w:val="Compact"/>
      </w:pPr>
      <w:r>
        <w:t xml:space="preserve">التحوّل الكبير من «خلاف داخل البيت الواحد» إلى «صراع بين كتلتين» جاء مع الصراع العثماني-الصفوي، أي بعد ألف سنة من النبوة.</w:t>
      </w:r>
    </w:p>
    <w:p>
      <w:pPr>
        <w:pStyle w:val="FirstParagraph"/>
      </w:pPr>
      <w:r>
        <w:t xml:space="preserve">إنّ من ينظر إلى التاريخ من هذه الزاوية يفهم أنّ المذهب لم يصنع الصراع، بل الصراع هو الذي صاغ المذهب في كثير من تفاصيله. وهذا المدخل سيكون مفتاحنا في الفصل القادم لتفكيك الفروق العقدية، والتمييز بين ما هو جوهري وما هو نتاج تاريخ.</w:t>
      </w:r>
    </w:p>
    <w:bookmarkEnd w:id="43"/>
    <w:bookmarkEnd w:id="44"/>
    <w:bookmarkStart w:id="56" w:name="X4af730bbe6e3a97f49cb15a8fd63c7aad005633"/>
    <w:p>
      <w:pPr>
        <w:pStyle w:val="Heading1"/>
      </w:pPr>
      <w:r>
        <w:t xml:space="preserve">الفصل الثالث</w:t>
      </w:r>
      <w:r>
        <w:t xml:space="preserve">الفروق العقدية: ما هو جوهري وما هو فرعي؟</w:t>
      </w:r>
    </w:p>
    <w:p>
      <w:pPr>
        <w:pStyle w:val="FirstParagraph"/>
      </w:pPr>
      <w:r>
        <w:t xml:space="preserve">السؤال المركزي في هذا الفصل: هل بين السنة والشيعة خلاف في أصول الإيمان؟ ولكي نجيب عن هذا السؤال إجابة منهجية، علينا أن نضع الميزان الذي اتّفق عليه الفريقان نفسه: أركان الإيمان الستة، وأركان الإسلام الخمسة.</w:t>
      </w:r>
    </w:p>
    <w:bookmarkStart w:id="45" w:name="أركان-الإيمان-الستة-اتفاق-كامل"/>
    <w:p>
      <w:pPr>
        <w:pStyle w:val="Heading2"/>
      </w:pPr>
      <w:r>
        <w:t xml:space="preserve">3.1 أركان الإيمان الستة: اتفاق كامل</w:t>
      </w:r>
    </w:p>
    <w:p>
      <w:pPr>
        <w:pStyle w:val="FirstParagraph"/>
      </w:pPr>
      <w:r>
        <w:t xml:space="preserve">أركان الإيمان كما وردت في حديث جبريل المعروف، والذي يُعدّ من أصحّ الأحاديث عند السنة، وله نظائر في المصادر الشيعية، هي:</w:t>
      </w:r>
    </w:p>
    <w:p>
      <w:pPr>
        <w:numPr>
          <w:ilvl w:val="0"/>
          <w:numId w:val="1009"/>
        </w:numPr>
        <w:pStyle w:val="Compact"/>
      </w:pPr>
      <w:r>
        <w:t xml:space="preserve">الإيمان بالله</w:t>
      </w:r>
    </w:p>
    <w:p>
      <w:pPr>
        <w:numPr>
          <w:ilvl w:val="0"/>
          <w:numId w:val="1009"/>
        </w:numPr>
        <w:pStyle w:val="Compact"/>
      </w:pPr>
      <w:r>
        <w:t xml:space="preserve">الإيمان بالملائكة</w:t>
      </w:r>
    </w:p>
    <w:p>
      <w:pPr>
        <w:numPr>
          <w:ilvl w:val="0"/>
          <w:numId w:val="1009"/>
        </w:numPr>
        <w:pStyle w:val="Compact"/>
      </w:pPr>
      <w:r>
        <w:t xml:space="preserve">الإيمان بالكتب السماوية</w:t>
      </w:r>
    </w:p>
    <w:p>
      <w:pPr>
        <w:numPr>
          <w:ilvl w:val="0"/>
          <w:numId w:val="1009"/>
        </w:numPr>
        <w:pStyle w:val="Compact"/>
      </w:pPr>
      <w:r>
        <w:t xml:space="preserve">الإيمان بالرسل</w:t>
      </w:r>
    </w:p>
    <w:p>
      <w:pPr>
        <w:numPr>
          <w:ilvl w:val="0"/>
          <w:numId w:val="1009"/>
        </w:numPr>
        <w:pStyle w:val="Compact"/>
      </w:pPr>
      <w:r>
        <w:t xml:space="preserve">الإيمان باليوم الآخر</w:t>
      </w:r>
    </w:p>
    <w:p>
      <w:pPr>
        <w:numPr>
          <w:ilvl w:val="0"/>
          <w:numId w:val="1009"/>
        </w:numPr>
        <w:pStyle w:val="Compact"/>
      </w:pPr>
      <w:r>
        <w:t xml:space="preserve">الإيمان بالقدر خيره وشرّه</w:t>
      </w:r>
    </w:p>
    <w:p>
      <w:pPr>
        <w:pStyle w:val="FirstParagraph"/>
      </w:pPr>
      <w:r>
        <w:t xml:space="preserve">في كل ركن من هذه الأركان، يتفق السنة والشيعة اتفاقاً تامّاً. كلاهما يؤمن بالله الواحد الأحد، الذي ليس كمثله شيء، خالق كل شيء. كلاهما يؤمن بأنّ القرآن كتابه المنزَّل على محمد صلى الله عليه وسلم، خاتم النبيين، وأنّه لم يُحرَّف. كلاهما يؤمن باليوم الآخر، والجنّة والنار، والصراط، والميزان. كلاهما يؤمن بالقدر، وإن اختلفت بعض الصياغات الكلامية.</w:t>
      </w:r>
    </w:p>
    <w:bookmarkEnd w:id="45"/>
    <w:bookmarkStart w:id="46" w:name="أركان-الإسلام-الخمسة-اتفاق-على-الجوهر"/>
    <w:p>
      <w:pPr>
        <w:pStyle w:val="Heading2"/>
      </w:pPr>
      <w:r>
        <w:t xml:space="preserve">3.2 أركان الإسلام الخمسة: اتفاق على الجوهر</w:t>
      </w:r>
    </w:p>
    <w:p>
      <w:pPr>
        <w:pStyle w:val="FirstParagraph"/>
      </w:pPr>
      <w:r>
        <w:t xml:space="preserve">الشهادتان، الصلاة، الزكاة، الصوم، الحجّ — هذه هي أركان الإسلام، وهي محلّ اتفاق تامّ بين السنة والشيعة. الفروق التي قد تظهر هي في كيفيات أداء هذه العبادات، لا في أصلها: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الركن</w:t>
            </w:r>
          </w:p>
        </w:tc>
        <w:tc>
          <w:tcPr/>
          <w:p>
            <w:pPr>
              <w:pStyle w:val="Compact"/>
              <w:jc w:val="left"/>
            </w:pPr>
            <w:r>
              <w:t xml:space="preserve">الموقف السني</w:t>
            </w:r>
          </w:p>
        </w:tc>
        <w:tc>
          <w:tcPr/>
          <w:p>
            <w:pPr>
              <w:pStyle w:val="Compact"/>
              <w:jc w:val="left"/>
            </w:pPr>
            <w:r>
              <w:t xml:space="preserve">الموقف الشيعي (الإثنا عشري)</w:t>
            </w:r>
          </w:p>
        </w:tc>
        <w:tc>
          <w:tcPr/>
          <w:p>
            <w:pPr>
              <w:pStyle w:val="Compact"/>
              <w:jc w:val="left"/>
            </w:pPr>
            <w:r>
              <w:t xml:space="preserve">طبيعة الفرق</w:t>
            </w:r>
          </w:p>
        </w:tc>
      </w:tr>
      <w:tr>
        <w:tc>
          <w:tcPr/>
          <w:p>
            <w:pPr>
              <w:pStyle w:val="Compact"/>
              <w:jc w:val="left"/>
            </w:pPr>
            <w:r>
              <w:t xml:space="preserve">الشهادتان</w:t>
            </w:r>
          </w:p>
        </w:tc>
        <w:tc>
          <w:tcPr/>
          <w:p>
            <w:pPr>
              <w:pStyle w:val="Compact"/>
              <w:jc w:val="left"/>
            </w:pPr>
            <w:r>
              <w:t xml:space="preserve">«لا إله إلا الله محمد رسول الله»</w:t>
            </w:r>
          </w:p>
        </w:tc>
        <w:tc>
          <w:tcPr/>
          <w:p>
            <w:pPr>
              <w:pStyle w:val="Compact"/>
              <w:jc w:val="left"/>
            </w:pPr>
            <w:r>
              <w:t xml:space="preserve">نفس الشهادتين، ويزيد بعضهم «وعلي ولي الله» (مستحبّ لا واجب)</w:t>
            </w:r>
          </w:p>
        </w:tc>
        <w:tc>
          <w:tcPr/>
          <w:p>
            <w:pPr>
              <w:pStyle w:val="Compact"/>
              <w:jc w:val="left"/>
            </w:pPr>
            <w:r>
              <w:t xml:space="preserve">فرعي</w:t>
            </w:r>
          </w:p>
        </w:tc>
      </w:tr>
      <w:tr>
        <w:tc>
          <w:tcPr/>
          <w:p>
            <w:pPr>
              <w:pStyle w:val="Compact"/>
              <w:jc w:val="left"/>
            </w:pPr>
            <w:r>
              <w:t xml:space="preserve">الصلاة</w:t>
            </w:r>
          </w:p>
        </w:tc>
        <w:tc>
          <w:tcPr/>
          <w:p>
            <w:pPr>
              <w:pStyle w:val="Compact"/>
              <w:jc w:val="left"/>
            </w:pPr>
            <w:r>
              <w:t xml:space="preserve">خمس صلوات في خمسة أوقات</w:t>
            </w:r>
          </w:p>
        </w:tc>
        <w:tc>
          <w:tcPr/>
          <w:p>
            <w:pPr>
              <w:pStyle w:val="Compact"/>
              <w:jc w:val="left"/>
            </w:pPr>
            <w:r>
              <w:t xml:space="preserve">خمس صلوات يُجمَع منها الظهر والعصر، والمغرب والعشاء جوازاً</w:t>
            </w:r>
          </w:p>
        </w:tc>
        <w:tc>
          <w:tcPr/>
          <w:p>
            <w:pPr>
              <w:pStyle w:val="Compact"/>
              <w:jc w:val="left"/>
            </w:pPr>
            <w:r>
              <w:t xml:space="preserve">كيفية لا أصل</w:t>
            </w:r>
          </w:p>
        </w:tc>
      </w:tr>
      <w:tr>
        <w:tc>
          <w:tcPr/>
          <w:p>
            <w:pPr>
              <w:pStyle w:val="Compact"/>
              <w:jc w:val="left"/>
            </w:pPr>
            <w:r>
              <w:t xml:space="preserve">الزكاة</w:t>
            </w:r>
          </w:p>
        </w:tc>
        <w:tc>
          <w:tcPr/>
          <w:p>
            <w:pPr>
              <w:pStyle w:val="Compact"/>
              <w:jc w:val="left"/>
            </w:pPr>
            <w:r>
              <w:t xml:space="preserve">تُدفع لثمانية أصناف ورد ذكرهم في القرآن</w:t>
            </w:r>
          </w:p>
        </w:tc>
        <w:tc>
          <w:tcPr/>
          <w:p>
            <w:pPr>
              <w:pStyle w:val="Compact"/>
              <w:jc w:val="left"/>
            </w:pPr>
            <w:r>
              <w:t xml:space="preserve">تُدفع للأصناف نفسهم، مع اختلاف في تفصيل الخمس وإشكالية الإمام</w:t>
            </w:r>
          </w:p>
        </w:tc>
        <w:tc>
          <w:tcPr/>
          <w:p>
            <w:pPr>
              <w:pStyle w:val="Compact"/>
              <w:jc w:val="left"/>
            </w:pPr>
            <w:r>
              <w:t xml:space="preserve">فرعي تنظيمي</w:t>
            </w:r>
          </w:p>
        </w:tc>
      </w:tr>
      <w:tr>
        <w:tc>
          <w:tcPr/>
          <w:p>
            <w:pPr>
              <w:pStyle w:val="Compact"/>
              <w:jc w:val="left"/>
            </w:pPr>
            <w:r>
              <w:t xml:space="preserve">الصيام</w:t>
            </w:r>
          </w:p>
        </w:tc>
        <w:tc>
          <w:tcPr/>
          <w:p>
            <w:pPr>
              <w:pStyle w:val="Compact"/>
              <w:jc w:val="left"/>
            </w:pPr>
            <w:r>
              <w:t xml:space="preserve">صيام رمضان</w:t>
            </w:r>
          </w:p>
        </w:tc>
        <w:tc>
          <w:tcPr/>
          <w:p>
            <w:pPr>
              <w:pStyle w:val="Compact"/>
              <w:jc w:val="left"/>
            </w:pPr>
            <w:r>
              <w:t xml:space="preserve">صيام رمضان</w:t>
            </w:r>
          </w:p>
        </w:tc>
        <w:tc>
          <w:tcPr/>
          <w:p>
            <w:pPr>
              <w:pStyle w:val="Compact"/>
              <w:jc w:val="left"/>
            </w:pPr>
            <w:r>
              <w:t xml:space="preserve">متطابق</w:t>
            </w:r>
          </w:p>
        </w:tc>
      </w:tr>
      <w:tr>
        <w:tc>
          <w:tcPr/>
          <w:p>
            <w:pPr>
              <w:pStyle w:val="Compact"/>
              <w:jc w:val="left"/>
            </w:pPr>
            <w:r>
              <w:t xml:space="preserve">الحج</w:t>
            </w:r>
          </w:p>
        </w:tc>
        <w:tc>
          <w:tcPr/>
          <w:p>
            <w:pPr>
              <w:pStyle w:val="Compact"/>
              <w:jc w:val="left"/>
            </w:pPr>
            <w:r>
              <w:t xml:space="preserve">الكعبة قبلتنا، ومناسك الحج هي ذاتها</w:t>
            </w:r>
          </w:p>
        </w:tc>
        <w:tc>
          <w:tcPr/>
          <w:p>
            <w:pPr>
              <w:pStyle w:val="Compact"/>
              <w:jc w:val="left"/>
            </w:pPr>
            <w:r>
              <w:t xml:space="preserve">الكعبة قبلتنا، ومناسك الحج هي ذاتها</w:t>
            </w:r>
          </w:p>
        </w:tc>
        <w:tc>
          <w:tcPr/>
          <w:p>
            <w:pPr>
              <w:pStyle w:val="Compact"/>
              <w:jc w:val="left"/>
            </w:pPr>
            <w:r>
              <w:t xml:space="preserve">متطابق</w:t>
            </w:r>
          </w:p>
        </w:tc>
      </w:tr>
    </w:tbl>
    <w:p>
      <w:pPr>
        <w:pStyle w:val="BodyText"/>
      </w:pPr>
      <w:r>
        <w:t xml:space="preserve">هذا الجدول يُسقط أي خطاب يدّعي أنّ السنة والشيعة «دينان مختلفان». فالأركان الخمسة عند الفريقين متطابقة في أصلها، والاختلافات كلّها في الفروع.</w:t>
      </w:r>
    </w:p>
    <w:bookmarkEnd w:id="46"/>
    <w:bookmarkStart w:id="52" w:name="المسائل-التي-يختلف-فيها-فعلا"/>
    <w:p>
      <w:pPr>
        <w:pStyle w:val="Heading2"/>
      </w:pPr>
      <w:r>
        <w:t xml:space="preserve">3.3 المسائل التي يُختلَف فيها فعلاً</w:t>
      </w:r>
    </w:p>
    <w:p>
      <w:pPr>
        <w:pStyle w:val="FirstParagraph"/>
      </w:pPr>
      <w:r>
        <w:t xml:space="preserve">إذا كان الاتفاق في الأصول، فأين الخلاف الحقيقي؟ يمكن تلخيصه في خمس مسائل:</w:t>
      </w:r>
    </w:p>
    <w:bookmarkStart w:id="47" w:name="أ-الإمامة-هل-هي-ركن-من-أركان-الدين"/>
    <w:p>
      <w:pPr>
        <w:pStyle w:val="Heading3"/>
      </w:pPr>
      <w:r>
        <w:t xml:space="preserve">أ) الإمامة: هل هي ركن من أركان الدين؟</w:t>
      </w:r>
    </w:p>
    <w:p>
      <w:pPr>
        <w:pStyle w:val="FirstParagraph"/>
      </w:pPr>
      <w:r>
        <w:t xml:space="preserve">هذا هو الفارق الأكبر. عند السنة، الإمامة (أو الخلافة) فرع من فروع الدين، اجتهادية، تختار الأمة فيها الأصلح، ولا تدخل في صلب العقيدة. عند الشيعة الإثنا عشرية، الإمامة أصل من أصول الدين، والأئمة الاثنا عشر منصوص عليهم بأسمائهم، وهم معصومون عن الخطأ والذنب. والخلاف في هذه المسألة جوهري فعلاً، لكنّه — كما سنرى — خلاف ذو جذور تاريخية وسياسية أكثر منه قرآنياً.</w:t>
      </w:r>
    </w:p>
    <w:bookmarkEnd w:id="47"/>
    <w:bookmarkStart w:id="48" w:name="ب-العصمة"/>
    <w:p>
      <w:pPr>
        <w:pStyle w:val="Heading3"/>
      </w:pPr>
      <w:r>
        <w:t xml:space="preserve">ب) العصمة</w:t>
      </w:r>
    </w:p>
    <w:p>
      <w:pPr>
        <w:pStyle w:val="FirstParagraph"/>
      </w:pPr>
      <w:r>
        <w:t xml:space="preserve">السنة يثبتون العصمة للأنبياء فيما يتعلّق بتبليغ الوحي، وأمّا في أمور الدنيا والاجتهاد فقد تقع منهم مزلّة. الشيعة الإثنا عشرية يُثبتون العصمة الكاملة للأنبياء وللأئمة الاثني عشر. الفرق هنا جوهري ولكنّه لا يصل إلى حدّ تكفير الفريق الآخر، إذ كلاهما يقدّس النبي، وكلاهما يحترم آل البيت.</w:t>
      </w:r>
    </w:p>
    <w:bookmarkEnd w:id="48"/>
    <w:bookmarkStart w:id="49" w:name="ج-التقية"/>
    <w:p>
      <w:pPr>
        <w:pStyle w:val="Heading3"/>
      </w:pPr>
      <w:r>
        <w:t xml:space="preserve">ج) التقيّة</w:t>
      </w:r>
    </w:p>
    <w:p>
      <w:pPr>
        <w:pStyle w:val="FirstParagraph"/>
      </w:pPr>
      <w:r>
        <w:t xml:space="preserve">التقيّة: إخفاء الإيمان أو إظهار غير المعتقد عند الإكراه. السنة يُجيزونها فقط عند الإكراه الشديد، استناداً إلى قوله تعالى: ﴿إِلَّا مَن أُكْرِهَ وَقَلْبُهُ مُطْمَئِنٌّ بِالإِيمَانِ﴾ (النحل: 106). الشيعة يُوسّعون مفهومها لتشمل الحماية من الأذى المحتمل في بيئات الاضطهاد. وهذا الفرق نشأ عملياً من الظروف التاريخية للأقلية الشيعية في معظم العصور.</w:t>
      </w:r>
    </w:p>
    <w:bookmarkEnd w:id="49"/>
    <w:bookmarkStart w:id="50" w:name="د-الموقف-من-الصحابة"/>
    <w:p>
      <w:pPr>
        <w:pStyle w:val="Heading3"/>
      </w:pPr>
      <w:r>
        <w:t xml:space="preserve">د) الموقف من الصحابة</w:t>
      </w:r>
    </w:p>
    <w:p>
      <w:pPr>
        <w:pStyle w:val="FirstParagraph"/>
      </w:pPr>
      <w:r>
        <w:t xml:space="preserve">السنة يعدّون الصحابة جميعاً عدولاً، ولا يجوز سبّهم. الشيعة الإثنا عشرية يميّزون بين الصحابة الذين بقوا على بيعة علي وبين غيرهم، وقد تطوّر في تراثهم نقد لبعض كبار الصحابة كأبي بكر وعمر، وهذا أحد أكثر المواضع حساسية في الخلاف. وقد دعا كبار المراجع الشيعية المعاصرين كالسيد علي السيستاني والإمام شمس الدين إلى ترك سبّ الصحابة، وهو موقف يستحقّ التقدير.</w:t>
      </w:r>
    </w:p>
    <w:bookmarkEnd w:id="50"/>
    <w:bookmarkStart w:id="51" w:name="هـ-المرجعية-الفقهية"/>
    <w:p>
      <w:pPr>
        <w:pStyle w:val="Heading3"/>
      </w:pPr>
      <w:r>
        <w:t xml:space="preserve">هـ) المرجعية الفقهية</w:t>
      </w:r>
    </w:p>
    <w:p>
      <w:pPr>
        <w:pStyle w:val="FirstParagraph"/>
      </w:pPr>
      <w:r>
        <w:t xml:space="preserve">السنة يأخذون فقههم من الأئمة الأربعة عبر اجتهادات لاحقيهم. الشيعة الإثنا عشرية يرجعون إلى الأئمة الاثني عشر، وفي عصر الغيبة إلى مرجعية «الفقيه الجامع للشرائط». الفرق هنا في آلية الاجتهاد لا في القرآن أو السنة كمصادر.</w:t>
      </w:r>
    </w:p>
    <w:bookmarkEnd w:id="51"/>
    <w:bookmarkEnd w:id="52"/>
    <w:bookmarkStart w:id="53" w:name="ما-الذي-يتداول-خطأ-على-أنه-خلاف-عقدي"/>
    <w:p>
      <w:pPr>
        <w:pStyle w:val="Heading2"/>
      </w:pPr>
      <w:r>
        <w:t xml:space="preserve">3.4 ما الذي يُتداول خطأً على أنه خلاف عقدي؟</w:t>
      </w:r>
    </w:p>
    <w:p>
      <w:pPr>
        <w:pStyle w:val="FirstParagraph"/>
      </w:pPr>
      <w:r>
        <w:t xml:space="preserve">كثير من الأمور يُتداول في الخطاب الشعبي على أنّها خلافات عقدية، وهي في الحقيقة فروع لا تمسّ أصول الإيمان:</w:t>
      </w:r>
    </w:p>
    <w:p>
      <w:pPr>
        <w:numPr>
          <w:ilvl w:val="0"/>
          <w:numId w:val="1010"/>
        </w:numPr>
        <w:pStyle w:val="Compact"/>
      </w:pPr>
      <w:r>
        <w:rPr>
          <w:bCs/>
          <w:b/>
        </w:rPr>
        <w:t xml:space="preserve">التربة الحسينية في السجود:</w:t>
      </w:r>
      <w:r>
        <w:t xml:space="preserve"> </w:t>
      </w:r>
      <w:r>
        <w:t xml:space="preserve">الشيعة يفضّلون السجود على ما هو من الأرض (وهذا قول لبعض السنة أيضاً)، وليس عبادةً للتربة.</w:t>
      </w:r>
    </w:p>
    <w:p>
      <w:pPr>
        <w:numPr>
          <w:ilvl w:val="0"/>
          <w:numId w:val="1010"/>
        </w:numPr>
        <w:pStyle w:val="Compact"/>
      </w:pPr>
      <w:r>
        <w:rPr>
          <w:bCs/>
          <w:b/>
        </w:rPr>
        <w:t xml:space="preserve">زيارة المراقد:</w:t>
      </w:r>
      <w:r>
        <w:t xml:space="preserve"> </w:t>
      </w:r>
      <w:r>
        <w:t xml:space="preserve">الشيعة يُشدّدون على زيارة قبور الأئمة، وهذا فرع فقهي مشابه لخلاف السنة في زيارة قبر النبي.</w:t>
      </w:r>
    </w:p>
    <w:p>
      <w:pPr>
        <w:numPr>
          <w:ilvl w:val="0"/>
          <w:numId w:val="1010"/>
        </w:numPr>
        <w:pStyle w:val="Compact"/>
      </w:pPr>
      <w:r>
        <w:rPr>
          <w:bCs/>
          <w:b/>
        </w:rPr>
        <w:t xml:space="preserve">اللطم في عاشوراء:</w:t>
      </w:r>
      <w:r>
        <w:t xml:space="preserve"> </w:t>
      </w:r>
      <w:r>
        <w:t xml:space="preserve">هذه ممارسة ثقافية تاريخية، انتقدها كبار العلماء الشيعة أنفسهم كالسيد محسن الأمين، وليست من ثوابت المذهب.</w:t>
      </w:r>
    </w:p>
    <w:p>
      <w:pPr>
        <w:numPr>
          <w:ilvl w:val="0"/>
          <w:numId w:val="1010"/>
        </w:numPr>
        <w:pStyle w:val="Compact"/>
      </w:pPr>
      <w:r>
        <w:rPr>
          <w:bCs/>
          <w:b/>
        </w:rPr>
        <w:t xml:space="preserve">الزواج المتعة:</w:t>
      </w:r>
      <w:r>
        <w:t xml:space="preserve"> </w:t>
      </w:r>
      <w:r>
        <w:t xml:space="preserve">مسألة فقهية تتعلق بفهم نسخ آية النساء، مشابهة لاختلاف السنة في كثير من المسائل.</w:t>
      </w:r>
    </w:p>
    <w:bookmarkEnd w:id="53"/>
    <w:bookmarkStart w:id="54" w:name="شهادة-كبار-العلماء-على-وحدة-الجوهر"/>
    <w:p>
      <w:pPr>
        <w:pStyle w:val="Heading2"/>
      </w:pPr>
      <w:r>
        <w:t xml:space="preserve">3.5 شهادة كبار العلماء على وحدة الجوهر</w:t>
      </w:r>
    </w:p>
    <w:p>
      <w:pPr>
        <w:pStyle w:val="FirstParagraph"/>
      </w:pPr>
      <w:r>
        <w:t xml:space="preserve">لم يعُد القارئ بحاجة إلى أن يصدّق هذا الكتاب على كلامه؛ فلديه شهادات صريحة من أعلام السنة والشيعة:</w:t>
      </w:r>
    </w:p>
    <w:p>
      <w:pPr>
        <w:pStyle w:val="BodyText"/>
      </w:pPr>
      <w:r>
        <w:t xml:space="preserve">فتوى الأزهر التاريخية</w:t>
      </w:r>
      <w:r>
        <w:t xml:space="preserve"> </w:t>
      </w:r>
      <w:r>
        <w:t xml:space="preserve">أصدر الإمام الأكبر محمود شلتوت، شيخ الأزهر، في عام 1959 فتوى رسمية تنصّ على أنّ المذهب الجعفري الإثنا عشري مذهب يُتعبَّد به شرعاً كسائر مذاهب أهل السنة، ويجوز للمسلم السنّي التعبّد على هذا المذهب.</w:t>
      </w:r>
    </w:p>
    <w:p>
      <w:pPr>
        <w:pStyle w:val="BodyText"/>
      </w:pPr>
      <w:r>
        <w:t xml:space="preserve">من المرجعية الشيعية</w:t>
      </w:r>
      <w:r>
        <w:t xml:space="preserve"> </w:t>
      </w:r>
      <w:r>
        <w:t xml:space="preserve">قال السيد محمد حسين فضل الله رحمه الله: «إنّ الخلاف بيننا وبين إخواننا السنة لا يُسوّغ تكفير أحدٍ منهم، ولا يُبيح دماً ولا مالاً، وإنّ من يُخرج عموم المسلمين السنة من الإسلام، فقد خرج هو من حكمة الإسلام».</w:t>
      </w:r>
    </w:p>
    <w:bookmarkEnd w:id="54"/>
    <w:bookmarkStart w:id="55" w:name="خلاصة-الفصل-2"/>
    <w:p>
      <w:pPr>
        <w:pStyle w:val="Heading2"/>
      </w:pPr>
      <w:r>
        <w:t xml:space="preserve">3.6 خلاصة الفصل</w:t>
      </w:r>
    </w:p>
    <w:p>
      <w:pPr>
        <w:pStyle w:val="FirstParagraph"/>
      </w:pPr>
      <w:r>
        <w:t xml:space="preserve">إذا وُضِع كل ما سبق في الميزان، يتبيّن أنّ:</w:t>
      </w:r>
    </w:p>
    <w:p>
      <w:pPr>
        <w:numPr>
          <w:ilvl w:val="0"/>
          <w:numId w:val="1011"/>
        </w:numPr>
        <w:pStyle w:val="Compact"/>
      </w:pPr>
      <w:r>
        <w:rPr>
          <w:bCs/>
          <w:b/>
        </w:rPr>
        <w:t xml:space="preserve">أصول الإيمان (التوحيد، النبوة، الكتب، الملائكة، اليوم الآخر، القدر) متّفق عليها بالكامل.</w:t>
      </w:r>
    </w:p>
    <w:p>
      <w:pPr>
        <w:numPr>
          <w:ilvl w:val="0"/>
          <w:numId w:val="1011"/>
        </w:numPr>
        <w:pStyle w:val="Compact"/>
      </w:pPr>
      <w:r>
        <w:rPr>
          <w:bCs/>
          <w:b/>
        </w:rPr>
        <w:t xml:space="preserve">أركان الإسلام (الشهادتان، الصلاة، الزكاة، الصوم، الحج) متّفق على أصلها.</w:t>
      </w:r>
    </w:p>
    <w:p>
      <w:pPr>
        <w:numPr>
          <w:ilvl w:val="0"/>
          <w:numId w:val="1011"/>
        </w:numPr>
        <w:pStyle w:val="Compact"/>
      </w:pPr>
      <w:r>
        <w:rPr>
          <w:bCs/>
          <w:b/>
        </w:rPr>
        <w:t xml:space="preserve">الخلاف الحقيقي في خمس مسائل: الإمامة، العصمة، التقيّة، الصحابة، المرجعية.</w:t>
      </w:r>
    </w:p>
    <w:p>
      <w:pPr>
        <w:numPr>
          <w:ilvl w:val="0"/>
          <w:numId w:val="1011"/>
        </w:numPr>
        <w:pStyle w:val="Compact"/>
      </w:pPr>
      <w:r>
        <w:rPr>
          <w:bCs/>
          <w:b/>
        </w:rPr>
        <w:t xml:space="preserve">هذه المسائل الخمس — على أهميتها — لا تُخرج أحداً من الإسلام، بشهادة أكبر علماء الفريقين.</w:t>
      </w:r>
    </w:p>
    <w:p>
      <w:pPr>
        <w:pStyle w:val="FirstParagraph"/>
      </w:pPr>
      <w:r>
        <w:t xml:space="preserve">والسؤال الذي ينبغي أن يطرحه كل منصف: لماذا يُعامَل خلاف فقهي وكلامي على أنه خلاف يُبيح الدماء؟ الإجابة، كما سيتضح في الفصول التالية، تتجاوز نطاق العقيدة إلى نطاق السياسة وأدوات التوظيف.</w:t>
      </w:r>
    </w:p>
    <w:bookmarkEnd w:id="55"/>
    <w:bookmarkEnd w:id="56"/>
    <w:bookmarkStart w:id="68" w:name="الفصل-الرابعالفروق-الفقهية-والعملية"/>
    <w:p>
      <w:pPr>
        <w:pStyle w:val="Heading1"/>
      </w:pPr>
      <w:r>
        <w:t xml:space="preserve">الفصل الرابع</w:t>
      </w:r>
      <w:r>
        <w:t xml:space="preserve">الفروق الفقهية والعملية</w:t>
      </w:r>
    </w:p>
    <w:p>
      <w:pPr>
        <w:pStyle w:val="FirstParagraph"/>
      </w:pPr>
      <w:r>
        <w:t xml:space="preserve">بعد أن استعرضنا الإطار العقدي، ننتقل إلى المستوى الفقهي. والفقه هو ميدان العبادات والمعاملات، أي حياة المسلم اليومية. وهنا تتركّز كثير من الفروق التي يلاحظها المسلم العادي حين يصلّي مع شيعي، أو حين يحجّ مع إيراني، أو حين يتعامل في زواج وميراث.</w:t>
      </w:r>
    </w:p>
    <w:bookmarkStart w:id="57" w:name="الصلاة-الأصل-واحد-التفاصيل-تختلف"/>
    <w:p>
      <w:pPr>
        <w:pStyle w:val="Heading2"/>
      </w:pPr>
      <w:r>
        <w:t xml:space="preserve">4.1 الصلاة: الأصل واحد، التفاصيل تختلف</w:t>
      </w:r>
    </w:p>
    <w:p>
      <w:pPr>
        <w:pStyle w:val="FirstParagraph"/>
      </w:pPr>
      <w:r>
        <w:t xml:space="preserve">كل صلاة عند السنة والشيعة:</w:t>
      </w:r>
    </w:p>
    <w:p>
      <w:pPr>
        <w:numPr>
          <w:ilvl w:val="0"/>
          <w:numId w:val="1012"/>
        </w:numPr>
        <w:pStyle w:val="Compact"/>
      </w:pPr>
      <w:r>
        <w:t xml:space="preserve">إلى نفس القبلة (الكعبة).</w:t>
      </w:r>
    </w:p>
    <w:p>
      <w:pPr>
        <w:numPr>
          <w:ilvl w:val="0"/>
          <w:numId w:val="1012"/>
        </w:numPr>
        <w:pStyle w:val="Compact"/>
      </w:pPr>
      <w:r>
        <w:t xml:space="preserve">تبدأ بالتكبير، تنتهي بالتسليم.</w:t>
      </w:r>
    </w:p>
    <w:p>
      <w:pPr>
        <w:numPr>
          <w:ilvl w:val="0"/>
          <w:numId w:val="1012"/>
        </w:numPr>
        <w:pStyle w:val="Compact"/>
      </w:pPr>
      <w:r>
        <w:t xml:space="preserve">تشتمل على ركوع وسجود وقراءة الفاتحة.</w:t>
      </w:r>
    </w:p>
    <w:p>
      <w:pPr>
        <w:numPr>
          <w:ilvl w:val="0"/>
          <w:numId w:val="1012"/>
        </w:numPr>
        <w:pStyle w:val="Compact"/>
      </w:pPr>
      <w:r>
        <w:t xml:space="preserve">يُؤذَّن لها بنفس الكلمات تقريباً.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المسألة</w:t>
            </w:r>
          </w:p>
        </w:tc>
        <w:tc>
          <w:tcPr/>
          <w:p>
            <w:pPr>
              <w:pStyle w:val="Compact"/>
              <w:jc w:val="left"/>
            </w:pPr>
            <w:r>
              <w:t xml:space="preserve">السنة</w:t>
            </w:r>
          </w:p>
        </w:tc>
        <w:tc>
          <w:tcPr/>
          <w:p>
            <w:pPr>
              <w:pStyle w:val="Compact"/>
              <w:jc w:val="left"/>
            </w:pPr>
            <w:r>
              <w:t xml:space="preserve">الشيعة الإثنا عشرية</w:t>
            </w:r>
          </w:p>
        </w:tc>
      </w:tr>
      <w:tr>
        <w:tc>
          <w:tcPr/>
          <w:p>
            <w:pPr>
              <w:pStyle w:val="Compact"/>
              <w:jc w:val="left"/>
            </w:pPr>
            <w:r>
              <w:t xml:space="preserve">عدد الصلوات</w:t>
            </w:r>
          </w:p>
        </w:tc>
        <w:tc>
          <w:tcPr/>
          <w:p>
            <w:pPr>
              <w:pStyle w:val="Compact"/>
              <w:jc w:val="left"/>
            </w:pPr>
            <w:r>
              <w:t xml:space="preserve">5 مفرّقة</w:t>
            </w:r>
          </w:p>
        </w:tc>
        <w:tc>
          <w:tcPr/>
          <w:p>
            <w:pPr>
              <w:pStyle w:val="Compact"/>
              <w:jc w:val="left"/>
            </w:pPr>
            <w:r>
              <w:t xml:space="preserve">5، يُجمَع منها 3 (ظهر+عصر، مغرب+عشاء)</w:t>
            </w:r>
          </w:p>
        </w:tc>
      </w:tr>
      <w:tr>
        <w:tc>
          <w:tcPr/>
          <w:p>
            <w:pPr>
              <w:pStyle w:val="Compact"/>
              <w:jc w:val="left"/>
            </w:pPr>
            <w:r>
              <w:t xml:space="preserve">وضع اليدين</w:t>
            </w:r>
          </w:p>
        </w:tc>
        <w:tc>
          <w:tcPr/>
          <w:p>
            <w:pPr>
              <w:pStyle w:val="Compact"/>
              <w:jc w:val="left"/>
            </w:pPr>
            <w:r>
              <w:t xml:space="preserve">قبض اليمين على الشمال (للجمهور)؛ المالكية يُرسلون</w:t>
            </w:r>
          </w:p>
        </w:tc>
        <w:tc>
          <w:tcPr/>
          <w:p>
            <w:pPr>
              <w:pStyle w:val="Compact"/>
              <w:jc w:val="left"/>
            </w:pPr>
            <w:r>
              <w:t xml:space="preserve">إرسال اليدين على الجانبين</w:t>
            </w:r>
          </w:p>
        </w:tc>
      </w:tr>
      <w:tr>
        <w:tc>
          <w:tcPr/>
          <w:p>
            <w:pPr>
              <w:pStyle w:val="Compact"/>
              <w:jc w:val="left"/>
            </w:pPr>
            <w:r>
              <w:t xml:space="preserve">السجود</w:t>
            </w:r>
          </w:p>
        </w:tc>
        <w:tc>
          <w:tcPr/>
          <w:p>
            <w:pPr>
              <w:pStyle w:val="Compact"/>
              <w:jc w:val="left"/>
            </w:pPr>
            <w:r>
              <w:t xml:space="preserve">على الأرض أو سجادة</w:t>
            </w:r>
          </w:p>
        </w:tc>
        <w:tc>
          <w:tcPr/>
          <w:p>
            <w:pPr>
              <w:pStyle w:val="Compact"/>
              <w:jc w:val="left"/>
            </w:pPr>
            <w:r>
              <w:t xml:space="preserve">على ما هو من الأرض، وعادة على تربة</w:t>
            </w:r>
          </w:p>
        </w:tc>
      </w:tr>
      <w:tr>
        <w:tc>
          <w:tcPr/>
          <w:p>
            <w:pPr>
              <w:pStyle w:val="Compact"/>
              <w:jc w:val="left"/>
            </w:pPr>
            <w:r>
              <w:t xml:space="preserve">الأذان</w:t>
            </w:r>
          </w:p>
        </w:tc>
        <w:tc>
          <w:tcPr/>
          <w:p>
            <w:pPr>
              <w:pStyle w:val="Compact"/>
              <w:jc w:val="left"/>
            </w:pPr>
            <w:r>
              <w:t xml:space="preserve">الكلمات المعروفة</w:t>
            </w:r>
          </w:p>
        </w:tc>
        <w:tc>
          <w:tcPr/>
          <w:p>
            <w:pPr>
              <w:pStyle w:val="Compact"/>
              <w:jc w:val="left"/>
            </w:pPr>
            <w:r>
              <w:t xml:space="preserve">إضافة «حيّ على خير العمل» وإضافة الشهادة لعلي (عند بعضهم)</w:t>
            </w:r>
          </w:p>
        </w:tc>
      </w:tr>
      <w:tr>
        <w:tc>
          <w:tcPr/>
          <w:p>
            <w:pPr>
              <w:pStyle w:val="Compact"/>
              <w:jc w:val="left"/>
            </w:pPr>
            <w:r>
              <w:t xml:space="preserve">صحة صلاة المختلف</w:t>
            </w:r>
          </w:p>
        </w:tc>
        <w:tc>
          <w:tcPr/>
          <w:p>
            <w:pPr>
              <w:pStyle w:val="Compact"/>
              <w:jc w:val="left"/>
            </w:pPr>
            <w:r>
              <w:t xml:space="preserve">يُجوّزها كثير من العلماء خلف الشيعي إذا أتمّ الواجبات</w:t>
            </w:r>
          </w:p>
        </w:tc>
        <w:tc>
          <w:tcPr/>
          <w:p>
            <w:pPr>
              <w:pStyle w:val="Compact"/>
              <w:jc w:val="left"/>
            </w:pPr>
            <w:r>
              <w:t xml:space="preserve">يُجوّزها مراجع كبار خلف السني</w:t>
            </w:r>
          </w:p>
        </w:tc>
      </w:tr>
    </w:tbl>
    <w:p>
      <w:pPr>
        <w:pStyle w:val="BodyText"/>
      </w:pPr>
      <w:r>
        <w:t xml:space="preserve">لاحظ أنّ المالكية السنة يُرسلون اليدين كالشيعة، وأنّ بعض السلف كانوا يصلّون فيجمعون بين الظهر والعصر في الحَضَر، فالاختلافات داخل الإطار الفقهي معروفة.</w:t>
      </w:r>
    </w:p>
    <w:bookmarkEnd w:id="57"/>
    <w:bookmarkStart w:id="58" w:name="الزكاة-والخمس"/>
    <w:p>
      <w:pPr>
        <w:pStyle w:val="Heading2"/>
      </w:pPr>
      <w:r>
        <w:t xml:space="preserve">4.2 الزكاة والخُمس</w:t>
      </w:r>
    </w:p>
    <w:p>
      <w:pPr>
        <w:pStyle w:val="FirstParagraph"/>
      </w:pPr>
      <w:r>
        <w:t xml:space="preserve">الزكاة فريضة عند الفريقين بنفس النصاب تقريباً. الفرق الجوهري أنّ الشيعة يُضيفون «الخُمس»، استناداً إلى قوله تعالى: ﴿وَاعْلَمُوا أَنَّمَا غَنِمْتُم مِّن شَيْءٍ فَأَنَّ لِلَّهِ خُمُسَهُ وَلِلرَّسُولِ﴾ (الأنفال: 41). يفسّر الشيعة «ما غنمتم» بأنه يشمل أرباح التجارة وفوائض المداخيل، بينما يفسّرها السنة بأنّها خاصة بغنائم الحرب. وهذا خلاف فقهي تفسيري لا عقدي.</w:t>
      </w:r>
    </w:p>
    <w:bookmarkEnd w:id="58"/>
    <w:bookmarkStart w:id="59" w:name="الصيام"/>
    <w:p>
      <w:pPr>
        <w:pStyle w:val="Heading2"/>
      </w:pPr>
      <w:r>
        <w:t xml:space="preserve">4.3 الصيام</w:t>
      </w:r>
    </w:p>
    <w:p>
      <w:pPr>
        <w:pStyle w:val="FirstParagraph"/>
      </w:pPr>
      <w:r>
        <w:t xml:space="preserve">صيام رمضان متفق عليه. الفرق العملي الوحيد المهم هو في وقت الإفطار: الشيعة يؤخّرون قليلاً حتى ذهاب الحمرة من الأفق، والسنة يفطرون عند غروب قرص الشمس. الفرق دقائق معدودة.</w:t>
      </w:r>
    </w:p>
    <w:bookmarkEnd w:id="59"/>
    <w:bookmarkStart w:id="60" w:name="الحج"/>
    <w:p>
      <w:pPr>
        <w:pStyle w:val="Heading2"/>
      </w:pPr>
      <w:r>
        <w:t xml:space="preserve">4.4 الحج</w:t>
      </w:r>
    </w:p>
    <w:p>
      <w:pPr>
        <w:pStyle w:val="FirstParagraph"/>
      </w:pPr>
      <w:r>
        <w:t xml:space="preserve">المناسك متطابقة: الإحرام، الطواف، السعي، الوقوف بعرفة، المبيت بمزدلفة، رمي الجمرات. وفي أعدادٍ كبيرة في الحجّ يلتقي السنة والشيعة عند نفس الكعبة، يطوفون نفس الطواف.</w:t>
      </w:r>
    </w:p>
    <w:bookmarkEnd w:id="60"/>
    <w:bookmarkStart w:id="64" w:name="الأحوال-الشخصية"/>
    <w:p>
      <w:pPr>
        <w:pStyle w:val="Heading2"/>
      </w:pPr>
      <w:r>
        <w:t xml:space="preserve">4.5 الأحوال الشخصية</w:t>
      </w:r>
    </w:p>
    <w:p>
      <w:pPr>
        <w:pStyle w:val="FirstParagraph"/>
      </w:pPr>
      <w:r>
        <w:t xml:space="preserve">هنا الفروق أكثر وضوحاً:</w:t>
      </w:r>
    </w:p>
    <w:bookmarkStart w:id="61" w:name="الزواج"/>
    <w:p>
      <w:pPr>
        <w:pStyle w:val="Heading3"/>
      </w:pPr>
      <w:r>
        <w:t xml:space="preserve">الزواج</w:t>
      </w:r>
    </w:p>
    <w:p>
      <w:pPr>
        <w:numPr>
          <w:ilvl w:val="0"/>
          <w:numId w:val="1013"/>
        </w:numPr>
        <w:pStyle w:val="Compact"/>
      </w:pPr>
      <w:r>
        <w:rPr>
          <w:bCs/>
          <w:b/>
        </w:rPr>
        <w:t xml:space="preserve">الزواج الدائم:</w:t>
      </w:r>
      <w:r>
        <w:t xml:space="preserve"> </w:t>
      </w:r>
      <w:r>
        <w:t xml:space="preserve">متطابق في أركانه (الإيجاب، القبول، المهر، الشاهدان عند السنة، الإشهاد المستحب عند الشيعة).</w:t>
      </w:r>
    </w:p>
    <w:p>
      <w:pPr>
        <w:numPr>
          <w:ilvl w:val="0"/>
          <w:numId w:val="1013"/>
        </w:numPr>
        <w:pStyle w:val="Compact"/>
      </w:pPr>
      <w:r>
        <w:rPr>
          <w:bCs/>
          <w:b/>
        </w:rPr>
        <w:t xml:space="preserve">زواج المتعة:</w:t>
      </w:r>
      <w:r>
        <w:t xml:space="preserve"> </w:t>
      </w:r>
      <w:r>
        <w:t xml:space="preserve">أجازه الشيعة استناداً إلى آية النساء وأحاديث، ومنعه السنة بالنسخ، وهذا أحد أبرز نقاط الخلاف الفقهي.</w:t>
      </w:r>
    </w:p>
    <w:bookmarkEnd w:id="61"/>
    <w:bookmarkStart w:id="62" w:name="الطلاق"/>
    <w:p>
      <w:pPr>
        <w:pStyle w:val="Heading3"/>
      </w:pPr>
      <w:r>
        <w:t xml:space="preserve">الطلاق</w:t>
      </w:r>
    </w:p>
    <w:p>
      <w:pPr>
        <w:numPr>
          <w:ilvl w:val="0"/>
          <w:numId w:val="1014"/>
        </w:numPr>
        <w:pStyle w:val="Compact"/>
      </w:pPr>
      <w:r>
        <w:t xml:space="preserve">السنة: يُوقع الطلاق بلفظه وفق شروطه، ويختلفون داخلياً في الطلاق الثلاث.</w:t>
      </w:r>
    </w:p>
    <w:p>
      <w:pPr>
        <w:numPr>
          <w:ilvl w:val="0"/>
          <w:numId w:val="1014"/>
        </w:numPr>
        <w:pStyle w:val="Compact"/>
      </w:pPr>
      <w:r>
        <w:t xml:space="preserve">الشيعة: لا يُوقَع الطلاق إلا بشاهدين عدلين، فيكون أصعب وقوعاً، وهو موقف نصرةً لاستقرار الأسرة.</w:t>
      </w:r>
    </w:p>
    <w:bookmarkEnd w:id="62"/>
    <w:bookmarkStart w:id="63" w:name="الميراث"/>
    <w:p>
      <w:pPr>
        <w:pStyle w:val="Heading3"/>
      </w:pPr>
      <w:r>
        <w:t xml:space="preserve">الميراث</w:t>
      </w:r>
    </w:p>
    <w:p>
      <w:pPr>
        <w:pStyle w:val="FirstParagraph"/>
      </w:pPr>
      <w:r>
        <w:t xml:space="preserve">الفروق هنا فرعية، وأبرزها أنّ الشيعة يُورّثون الأقربين من الأرحام بطرق تختلف قليلاً عن نظام التعصيب السني.</w:t>
      </w:r>
    </w:p>
    <w:bookmarkEnd w:id="63"/>
    <w:bookmarkEnd w:id="64"/>
    <w:bookmarkStart w:id="65" w:name="المعاملات-المالية-والاجتماعية"/>
    <w:p>
      <w:pPr>
        <w:pStyle w:val="Heading2"/>
      </w:pPr>
      <w:r>
        <w:t xml:space="preserve">4.6 المعاملات المالية والاجتماعية</w:t>
      </w:r>
    </w:p>
    <w:p>
      <w:pPr>
        <w:pStyle w:val="FirstParagraph"/>
      </w:pPr>
      <w:r>
        <w:t xml:space="preserve">في الربا، الميسر، الخمر، البيع، الإجارة، الوكالة، الكفالة، الأمانة، الشهادة في القضاء — تتطابق الأحكام الكبرى. الفروق في تفاصيل كالشروط الدقيقة، وهي مماثلة للفروق بين الحنفية والشافعية.</w:t>
      </w:r>
    </w:p>
    <w:bookmarkEnd w:id="65"/>
    <w:bookmarkStart w:id="66" w:name="ميزان-مهم-الفروق-الداخلية-أحيانا-أكبر"/>
    <w:p>
      <w:pPr>
        <w:pStyle w:val="Heading2"/>
      </w:pPr>
      <w:r>
        <w:t xml:space="preserve">4.7 ميزان مهم: الفروق الداخلية أحياناً أكبر</w:t>
      </w:r>
    </w:p>
    <w:p>
      <w:pPr>
        <w:pStyle w:val="FirstParagraph"/>
      </w:pPr>
      <w:r>
        <w:t xml:space="preserve">حقيقة منسيّة</w:t>
      </w:r>
      <w:r>
        <w:t xml:space="preserve"> </w:t>
      </w:r>
      <w:r>
        <w:t xml:space="preserve">الفرق بين السلفي الحنبلي والصوفي الشاذلي (وكلاهما سنّي) في كثير من المسائل العملية أكبر من الفرق بين الزيدي اليمني والشافعي اليمني، رغم أنّ الأول شيعي والثاني سنّي. هذه الحقيقة تكشف زيف خطاب «المذهبين المتعارضين».</w:t>
      </w:r>
    </w:p>
    <w:p>
      <w:pPr>
        <w:pStyle w:val="BodyText"/>
      </w:pPr>
      <w:r>
        <w:t xml:space="preserve">وفي اليمن مثلاً، عاش الزيدية والشافعية قروناً يصلّون في مساجد واحدة، ويتزاوجون، ويتعاملون اقتصادياً واجتماعياً، دون أن يُفكّر أحد في الآخر باعتباره «من المذهب الآخر» بمعنى الانفصال. هذا النموذج اليمني التاريخي شاهد على إمكانية التعايش الفقهي العميق.</w:t>
      </w:r>
    </w:p>
    <w:bookmarkEnd w:id="66"/>
    <w:bookmarkStart w:id="67" w:name="خلاصة-الفصل-3"/>
    <w:p>
      <w:pPr>
        <w:pStyle w:val="Heading2"/>
      </w:pPr>
      <w:r>
        <w:t xml:space="preserve">4.8 خلاصة الفصل</w:t>
      </w:r>
    </w:p>
    <w:p>
      <w:pPr>
        <w:pStyle w:val="FirstParagraph"/>
      </w:pPr>
      <w:r>
        <w:t xml:space="preserve">في الفقه، السنة والشيعة يقفون على أرضية واحدة: القرآن والسنة، مع اختلاف في بعض الأحاديث المعتمدة وبعض القواعد الأصولية. الفروق العملية ظاهرة لكنّها ليست أكبر من الفروق الموجودة بين المذاهب السنية الأربعة فيما بينها. ومن يقول إنّ الشيعة يصلّون لجهة غير القبلة، أو لا يصومون رمضان، أو لا يحجّون البيت، فهو إمّا جاهل وإمّا كاذب.</w:t>
      </w:r>
    </w:p>
    <w:p>
      <w:pPr>
        <w:pStyle w:val="BodyText"/>
      </w:pPr>
      <w:r>
        <w:t xml:space="preserve">الخلاف الفقهي يمكن إدارته بسهولة إذا توفّرت النيّة. والذي يُصعّبه ليس الفقه نفسه، بل ما يُلصَق به من عدم ثقة وكراهية ناتجين من خارج الفقه — من السياسة والإعلام والصراعات. وهذا ما سننتقل إليه في الفصل التالي.</w:t>
      </w:r>
    </w:p>
    <w:bookmarkEnd w:id="67"/>
    <w:bookmarkEnd w:id="68"/>
    <w:bookmarkStart w:id="80" w:name="X9ab0e458d29a81bdd989c870e73e451435c9a68"/>
    <w:p>
      <w:pPr>
        <w:pStyle w:val="Heading1"/>
      </w:pPr>
      <w:r>
        <w:t xml:space="preserve">الفصل الخامس</w:t>
      </w:r>
      <w:r>
        <w:t xml:space="preserve">الخلاف الديني أم السياسي؟ تشريح الأسباب الحقيقية</w:t>
      </w:r>
    </w:p>
    <w:p>
      <w:pPr>
        <w:pStyle w:val="FirstParagraph"/>
      </w:pPr>
      <w:r>
        <w:t xml:space="preserve">هذا هو الفصل المحوري في الكتاب. السؤال الذي يقف بين يدي القارئ: إذا كان الخلاف العقدي محدوداً جداً (5 مسائل خلافية في بحر من الاتفاق)، وإذا كان الخلاف الفقهي شبيهاً بالخلاف بين المذاهب السنية أنفسها، فلماذا إذن وصل الصراع السني الشيعي إلى ما وصل إليه من حرب وقتل وتكفير؟ الإجابة في كلمة واحدة:</w:t>
      </w:r>
      <w:r>
        <w:t xml:space="preserve"> </w:t>
      </w:r>
      <w:r>
        <w:rPr>
          <w:bCs/>
          <w:b/>
        </w:rPr>
        <w:t xml:space="preserve">السياسة</w:t>
      </w:r>
      <w:r>
        <w:t xml:space="preserve">.</w:t>
      </w:r>
    </w:p>
    <w:bookmarkStart w:id="69" w:name="ما-المقصود-بـالسياسة-هنا"/>
    <w:p>
      <w:pPr>
        <w:pStyle w:val="Heading2"/>
      </w:pPr>
      <w:r>
        <w:t xml:space="preserve">5.1 ما المقصود بـ«السياسة» هنا؟</w:t>
      </w:r>
    </w:p>
    <w:p>
      <w:pPr>
        <w:pStyle w:val="FirstParagraph"/>
      </w:pPr>
      <w:r>
        <w:t xml:space="preserve">ليس المقصود الخلاف على الإمامة وحده، بل منظومة كاملة من الديناميكيات تشمل:</w:t>
      </w:r>
    </w:p>
    <w:p>
      <w:pPr>
        <w:numPr>
          <w:ilvl w:val="0"/>
          <w:numId w:val="1015"/>
        </w:numPr>
        <w:pStyle w:val="Compact"/>
      </w:pPr>
      <w:r>
        <w:t xml:space="preserve">صراع الدول والإمبراطوريات على النفوذ والأرض والموارد.</w:t>
      </w:r>
    </w:p>
    <w:p>
      <w:pPr>
        <w:numPr>
          <w:ilvl w:val="0"/>
          <w:numId w:val="1015"/>
        </w:numPr>
        <w:pStyle w:val="Compact"/>
      </w:pPr>
      <w:r>
        <w:t xml:space="preserve">توظيف الدين شرعيةً للسلطة الحاكمة، وأداةً ضد المعارضين.</w:t>
      </w:r>
    </w:p>
    <w:p>
      <w:pPr>
        <w:numPr>
          <w:ilvl w:val="0"/>
          <w:numId w:val="1015"/>
        </w:numPr>
        <w:pStyle w:val="Compact"/>
      </w:pPr>
      <w:r>
        <w:t xml:space="preserve">استثمار الانقسام لتجييش الجماهير في الحروب.</w:t>
      </w:r>
    </w:p>
    <w:p>
      <w:pPr>
        <w:numPr>
          <w:ilvl w:val="0"/>
          <w:numId w:val="1015"/>
        </w:numPr>
        <w:pStyle w:val="Compact"/>
      </w:pPr>
      <w:r>
        <w:t xml:space="preserve">تدخّل قوى خارجية لإطالة أمد النزاعات داخل العالم الإسلامي.</w:t>
      </w:r>
    </w:p>
    <w:bookmarkEnd w:id="69"/>
    <w:bookmarkStart w:id="75" w:name="خمسة-أدلة-تثبت-أن-الخلاف-سياسي-في-جوهره"/>
    <w:p>
      <w:pPr>
        <w:pStyle w:val="Heading2"/>
      </w:pPr>
      <w:r>
        <w:t xml:space="preserve">5.2 خمسة أدلة تُثبت أنّ الخلاف سياسي في جوهره</w:t>
      </w:r>
    </w:p>
    <w:bookmarkStart w:id="70" w:name="الدليل-الأول-التذبذب-التاريخي"/>
    <w:p>
      <w:pPr>
        <w:pStyle w:val="Heading3"/>
      </w:pPr>
      <w:r>
        <w:t xml:space="preserve">الدليل الأول: التذبذب التاريخي</w:t>
      </w:r>
    </w:p>
    <w:p>
      <w:pPr>
        <w:pStyle w:val="FirstParagraph"/>
      </w:pPr>
      <w:r>
        <w:t xml:space="preserve">لو كان الخلاف دينياً جوهرياً، لكان مستمرّاً بنفس الوتيرة في كل العصور. لكن التاريخ يكشف أنّ هناك حقباً طويلة عاش فيها السنة والشيعة بسلام تامّ، وحقباً أخرى اشتدّ فيها الصراع. مثلاً:</w:t>
      </w:r>
    </w:p>
    <w:p>
      <w:pPr>
        <w:numPr>
          <w:ilvl w:val="0"/>
          <w:numId w:val="1016"/>
        </w:numPr>
        <w:pStyle w:val="Compact"/>
      </w:pPr>
      <w:r>
        <w:t xml:space="preserve">في العصر العباسي الأول، كان هناك تعايش ملحوظ، وكان الإمام جعفر الصادق يُدرّس في المدينة، ومن طلابه أبو حنيفة ومالك.</w:t>
      </w:r>
    </w:p>
    <w:p>
      <w:pPr>
        <w:numPr>
          <w:ilvl w:val="0"/>
          <w:numId w:val="1016"/>
        </w:numPr>
        <w:pStyle w:val="Compact"/>
      </w:pPr>
      <w:r>
        <w:t xml:space="preserve">في العصر الفاطمي بمصر، عاش السنة تحت حكم شيعي إسماعيلي قروناً دون أن تُدمَّر مساجدهم أو تُحرَق مكتباتهم.</w:t>
      </w:r>
    </w:p>
    <w:p>
      <w:pPr>
        <w:numPr>
          <w:ilvl w:val="0"/>
          <w:numId w:val="1016"/>
        </w:numPr>
        <w:pStyle w:val="Compact"/>
      </w:pPr>
      <w:r>
        <w:t xml:space="preserve">في العصر العثماني، تعايش السنة والعلويون والإسماعيليون والإثنا عشرية في الإمبراطورية بدرجات متفاوتة من السلام.</w:t>
      </w:r>
    </w:p>
    <w:p>
      <w:pPr>
        <w:numPr>
          <w:ilvl w:val="0"/>
          <w:numId w:val="1016"/>
        </w:numPr>
        <w:pStyle w:val="Compact"/>
      </w:pPr>
      <w:r>
        <w:t xml:space="preserve">في اليمن قبل العصر الحديث، كان الصراع الزيدي-الشافعي محدوداً جداً.</w:t>
      </w:r>
    </w:p>
    <w:p>
      <w:pPr>
        <w:pStyle w:val="FirstParagraph"/>
      </w:pPr>
      <w:r>
        <w:t xml:space="preserve">الخلاف يشتدّ ويهدأ بحسب الوضع السياسي، لا بحسب «جوهر العقيدة». لو كانت العقيدة هي السبب، لما تغيّر المنسوب.</w:t>
      </w:r>
    </w:p>
    <w:bookmarkEnd w:id="70"/>
    <w:bookmarkStart w:id="71" w:name="X320d689ad574f5fe306731565e2b902d1e33dbf"/>
    <w:p>
      <w:pPr>
        <w:pStyle w:val="Heading3"/>
      </w:pPr>
      <w:r>
        <w:t xml:space="preserve">الدليل الثاني: الجغرافيا السياسية تصنع المذهب</w:t>
      </w:r>
    </w:p>
    <w:p>
      <w:pPr>
        <w:pStyle w:val="FirstParagraph"/>
      </w:pPr>
      <w:r>
        <w:t xml:space="preserve">إيران كانت سنّية شافعية في غالبها قبل الصفويين. لماذا أصبحت اليوم شيعية إثنا عشرية بنسبة تفوق 90%؟ ليس لأنّ الإيرانيين قرأوا كتب الكليني واقتنعوا، بل لأنّ دولة الشاه إسماعيل الصفوي فرضت التشيّع بقوّة الدولة لأسباب جيوسياسية: لتمييز إيران عن منافستها العثمانية السنية. هذا مثال صارخ على أنّ</w:t>
      </w:r>
      <w:r>
        <w:t xml:space="preserve"> </w:t>
      </w:r>
      <w:r>
        <w:rPr>
          <w:bCs/>
          <w:b/>
        </w:rPr>
        <w:t xml:space="preserve">الدولة هي التي تصنع المذهب الشعبي</w:t>
      </w:r>
      <w:r>
        <w:t xml:space="preserve">، لا العكس.</w:t>
      </w:r>
    </w:p>
    <w:bookmarkEnd w:id="71"/>
    <w:bookmarkStart w:id="72" w:name="Xc9a40a1b5850e023c978e1f1a24629789944684"/>
    <w:p>
      <w:pPr>
        <w:pStyle w:val="Heading3"/>
      </w:pPr>
      <w:r>
        <w:t xml:space="preserve">الدليل الثالث: تحالفات لا تتفق مع منطق العقيدة</w:t>
      </w:r>
    </w:p>
    <w:p>
      <w:pPr>
        <w:pStyle w:val="FirstParagraph"/>
      </w:pPr>
      <w:r>
        <w:t xml:space="preserve">لو كان الخلاف عقدياً صرفاً، لما رأينا في التاريخ والمعاصر تحالفات بين أنظمة سنية وأنظمة شيعية ضدّ خصومها. الدولة العثمانية السنية تحالفت مع شاه إيران الشيعي ضد البرتغاليين. حافظ الأسد العلوي حكم بحزب البعث العلماني وتحالف مع السعودية في مراحل، وعارضها في مراحل أخرى — وفقاً لمصالح الدولة لا للعقيدة. هذا التذبذب يُثبت أنّ المنطق الحاكم هو منطق المصلحة السياسية لا منطق المذهب.</w:t>
      </w:r>
    </w:p>
    <w:bookmarkEnd w:id="72"/>
    <w:bookmarkStart w:id="73" w:name="الدليل-الرابع-الانقسام-الداخلي-في-كل-طرف"/>
    <w:p>
      <w:pPr>
        <w:pStyle w:val="Heading3"/>
      </w:pPr>
      <w:r>
        <w:t xml:space="preserve">الدليل الرابع: الانقسام الداخلي في كل طرف</w:t>
      </w:r>
    </w:p>
    <w:p>
      <w:pPr>
        <w:pStyle w:val="FirstParagraph"/>
      </w:pPr>
      <w:r>
        <w:t xml:space="preserve">داخل المعسكر الشيعي نفسه، ثمة خلافات سياسية كبرى: المرجعية في النجف لها رأي، والمرجعية في قم لها رأي آخر. حزب الله اللبناني يختلف مع التيار الصدري في العراق. الزيدية في اليمن تختلف عن الإثنا عشرية في إيران. وداخل المعسكر السني: السلفية تختلف مع الإخوان المسلمين، والأزهر يختلف مع الوهابية، والسعودية تختلف مع تركيا. لو كان الخلاف دينياً صافياً لكان كل سنّي حليفاً لكل سنّي وكل شيعي حليفاً لكل شيعي. الواقع يقول العكس.</w:t>
      </w:r>
    </w:p>
    <w:bookmarkEnd w:id="73"/>
    <w:bookmarkStart w:id="74" w:name="X93927f79982d251bbf1d72594142dac967d70df"/>
    <w:p>
      <w:pPr>
        <w:pStyle w:val="Heading3"/>
      </w:pPr>
      <w:r>
        <w:t xml:space="preserve">الدليل الخامس: تشابه الخطابات التحريضية في كل الصراعات</w:t>
      </w:r>
    </w:p>
    <w:p>
      <w:pPr>
        <w:pStyle w:val="FirstParagraph"/>
      </w:pPr>
      <w:r>
        <w:t xml:space="preserve">الخطاب الذي يُستخدم لتحريض السنة على الشيعة (والعكس) هو نفس الخطاب الذي يُستخدم في كل صراع داخلي بين فرق متجاورة في التاريخ: الآخر «خبيث»، «مستتر»، «خطير على الدين»، «يجب الحذر منه». هذه ليست لغة دينية تحليلية، بل لغة تجييش سياسي. وهي نفسها التي استُخدمت بين المسلمين والمسيحيين في الأندلس، وبين الكاثوليك والبروتستانت في أوروبا، وبين الهوتو والتوتسي في رواندا.</w:t>
      </w:r>
    </w:p>
    <w:bookmarkEnd w:id="74"/>
    <w:bookmarkEnd w:id="75"/>
    <w:bookmarkStart w:id="76" w:name="الفتنة-كأداة-سلطة"/>
    <w:p>
      <w:pPr>
        <w:pStyle w:val="Heading2"/>
      </w:pPr>
      <w:r>
        <w:t xml:space="preserve">5.3 الفتنة كأداة سلطة</w:t>
      </w:r>
    </w:p>
    <w:p>
      <w:pPr>
        <w:pStyle w:val="FirstParagraph"/>
      </w:pPr>
      <w:r>
        <w:t xml:space="preserve">منذ معاوية إلى صدّام إلى نظام الأسد إلى تنظيم داعش، تكرّر استخدام الورقة المذهبية بوصفها أداة للسلطة:</w:t>
      </w:r>
    </w:p>
    <w:p>
      <w:pPr>
        <w:numPr>
          <w:ilvl w:val="0"/>
          <w:numId w:val="1017"/>
        </w:numPr>
        <w:pStyle w:val="Compact"/>
      </w:pPr>
      <w:r>
        <w:rPr>
          <w:bCs/>
          <w:b/>
        </w:rPr>
        <w:t xml:space="preserve">السلطة المركزية</w:t>
      </w:r>
      <w:r>
        <w:t xml:space="preserve"> </w:t>
      </w:r>
      <w:r>
        <w:t xml:space="preserve">تستخدم الفتنة لتشتيت المعارضة وإلهائها بصراعات داخلية.</w:t>
      </w:r>
    </w:p>
    <w:p>
      <w:pPr>
        <w:numPr>
          <w:ilvl w:val="0"/>
          <w:numId w:val="1017"/>
        </w:numPr>
        <w:pStyle w:val="Compact"/>
      </w:pPr>
      <w:r>
        <w:rPr>
          <w:bCs/>
          <w:b/>
        </w:rPr>
        <w:t xml:space="preserve">الجماعات المسلّحة</w:t>
      </w:r>
      <w:r>
        <w:t xml:space="preserve"> </w:t>
      </w:r>
      <w:r>
        <w:t xml:space="preserve">تستخدم الفتنة لاستقطاب المقاتلين من خزّان الكراهية المذهبية.</w:t>
      </w:r>
    </w:p>
    <w:p>
      <w:pPr>
        <w:numPr>
          <w:ilvl w:val="0"/>
          <w:numId w:val="1017"/>
        </w:numPr>
        <w:pStyle w:val="Compact"/>
      </w:pPr>
      <w:r>
        <w:rPr>
          <w:bCs/>
          <w:b/>
        </w:rPr>
        <w:t xml:space="preserve">الإعلام الموجَّه</w:t>
      </w:r>
      <w:r>
        <w:t xml:space="preserve"> </w:t>
      </w:r>
      <w:r>
        <w:t xml:space="preserve">يستخدم الفتنة لرفع نسب المشاهدة وتأطير قضايا معقّدة في إطار «نحن» و«هم».</w:t>
      </w:r>
    </w:p>
    <w:p>
      <w:pPr>
        <w:pStyle w:val="FirstParagraph"/>
      </w:pPr>
      <w:r>
        <w:t xml:space="preserve">قال الله تعالى:</w:t>
      </w:r>
    </w:p>
    <w:p>
      <w:pPr>
        <w:pStyle w:val="BodyText"/>
      </w:pPr>
      <w:r>
        <w:t xml:space="preserve">﴿وَلَا تَنَازَعُوا فَتَفْشَلُوا وَتَذْهَبَ رِيحُكُمْ وَاصْبِرُوا﴾</w:t>
      </w:r>
      <w:r>
        <w:t xml:space="preserve"> </w:t>
      </w:r>
      <w:r>
        <w:t xml:space="preserve">الأنفال: 46</w:t>
      </w:r>
    </w:p>
    <w:p>
      <w:pPr>
        <w:pStyle w:val="BodyText"/>
      </w:pPr>
      <w:r>
        <w:t xml:space="preserve">«تذهب ريحكم» تعبير قرآني دقيق لما حدث للأمة. كل صراع داخلي مذهبي، تذهب ريح الأمة بعده، يعلو غيرها، وتسقط أرض، ويُهان مقدّس.</w:t>
      </w:r>
    </w:p>
    <w:bookmarkEnd w:id="76"/>
    <w:bookmarkStart w:id="77" w:name="الفرق-بين-الإمامة-كعقيدة-والإمامة-كأداة"/>
    <w:p>
      <w:pPr>
        <w:pStyle w:val="Heading2"/>
      </w:pPr>
      <w:r>
        <w:t xml:space="preserve">5.4 الفرق بين الإمامة كعقيدة والإمامة كأداة</w:t>
      </w:r>
    </w:p>
    <w:p>
      <w:pPr>
        <w:pStyle w:val="FirstParagraph"/>
      </w:pPr>
      <w:r>
        <w:t xml:space="preserve">الإمامة عند الإثنا عشرية أصل عقدي، صحيح. لكن الإمامة في الخطاب السياسي المعاصر صارت أداة لتجنيد ولاءات: «الموالاة لإيران» تُقدَّم بوصفها امتداداً لـ«ولاية الفقيه». في المقابل، «التصدّي للمدّ الفارسي» يُقدَّم في الخطاب السنّي الخليجي بوصفه ذوداً عن «أهل السنة». الورقتان متكاملتان: كلتاهما تستفيدان من الأخرى. هذه ليست حرباً دينية بقدر ما هي حرب نفوذ بلباس ديني.</w:t>
      </w:r>
    </w:p>
    <w:bookmarkEnd w:id="77"/>
    <w:bookmarkStart w:id="78" w:name="العامل-الاقتصادي"/>
    <w:p>
      <w:pPr>
        <w:pStyle w:val="Heading2"/>
      </w:pPr>
      <w:r>
        <w:t xml:space="preserve">5.5 العامل الاقتصادي</w:t>
      </w:r>
    </w:p>
    <w:p>
      <w:pPr>
        <w:pStyle w:val="FirstParagraph"/>
      </w:pPr>
      <w:r>
        <w:t xml:space="preserve">كلّ الصراعات الكبرى في العالم الإسلامي اليوم تجري في مناطق غنية بالموارد:</w:t>
      </w:r>
    </w:p>
    <w:p>
      <w:pPr>
        <w:numPr>
          <w:ilvl w:val="0"/>
          <w:numId w:val="1018"/>
        </w:numPr>
        <w:pStyle w:val="Compact"/>
      </w:pPr>
      <w:r>
        <w:t xml:space="preserve">العراق (نفط)</w:t>
      </w:r>
    </w:p>
    <w:p>
      <w:pPr>
        <w:numPr>
          <w:ilvl w:val="0"/>
          <w:numId w:val="1018"/>
        </w:numPr>
        <w:pStyle w:val="Compact"/>
      </w:pPr>
      <w:r>
        <w:t xml:space="preserve">سوريا (موقع استراتيجي وممرات طاقة)</w:t>
      </w:r>
    </w:p>
    <w:p>
      <w:pPr>
        <w:numPr>
          <w:ilvl w:val="0"/>
          <w:numId w:val="1018"/>
        </w:numPr>
        <w:pStyle w:val="Compact"/>
      </w:pPr>
      <w:r>
        <w:t xml:space="preserve">اليمن (مضيق باب المندب)</w:t>
      </w:r>
    </w:p>
    <w:p>
      <w:pPr>
        <w:numPr>
          <w:ilvl w:val="0"/>
          <w:numId w:val="1018"/>
        </w:numPr>
        <w:pStyle w:val="Compact"/>
      </w:pPr>
      <w:r>
        <w:t xml:space="preserve">البحرين والمنطقة الشرقية في السعودية (نفط)</w:t>
      </w:r>
    </w:p>
    <w:p>
      <w:pPr>
        <w:numPr>
          <w:ilvl w:val="0"/>
          <w:numId w:val="1018"/>
        </w:numPr>
        <w:pStyle w:val="Compact"/>
      </w:pPr>
      <w:r>
        <w:t xml:space="preserve">لبنان (موقع استراتيجي)</w:t>
      </w:r>
    </w:p>
    <w:p>
      <w:pPr>
        <w:pStyle w:val="FirstParagraph"/>
      </w:pPr>
      <w:r>
        <w:t xml:space="preserve">لو كانت الصراعات «من أجل العقيدة» لاحتدمت في كل مكان فيه سنّة وشيعة. لكنها تحتدم بالضبط حيث توجد المصالح الاقتصادية والاستراتيجية الكبرى. هذه ليست مصادفة.</w:t>
      </w:r>
    </w:p>
    <w:bookmarkEnd w:id="78"/>
    <w:bookmarkStart w:id="79" w:name="خلاصة-الفصل-4"/>
    <w:p>
      <w:pPr>
        <w:pStyle w:val="Heading2"/>
      </w:pPr>
      <w:r>
        <w:t xml:space="preserve">5.6 خلاصة الفصل</w:t>
      </w:r>
    </w:p>
    <w:p>
      <w:pPr>
        <w:pStyle w:val="FirstParagraph"/>
      </w:pPr>
      <w:r>
        <w:t xml:space="preserve">كل الأدلة تشير إلى أنّ الخلاف السني الشيعي في صورته الراهنة هو في الأساس صراع سياسي اقتصادي إقليمي، يُغلَّف بغلاف ديني لإعطائه شرعية في وعي الجماهير. الدين هنا ليس السبب، بل اللباس. والسؤال الكبير: من يُحرّك هذا اللباس من خلف الكواليس؟ ومن يستفيد من إبقاء الجرح مفتوحاً؟ الإجابة في الفصل القادم.</w:t>
      </w:r>
    </w:p>
    <w:bookmarkEnd w:id="79"/>
    <w:bookmarkEnd w:id="80"/>
    <w:bookmarkStart w:id="90" w:name="Xbb493f4a2b1eeae03464775be751707965a7334"/>
    <w:p>
      <w:pPr>
        <w:pStyle w:val="Heading1"/>
      </w:pPr>
      <w:r>
        <w:t xml:space="preserve">الفصل السادس</w:t>
      </w:r>
      <w:r>
        <w:t xml:space="preserve">دور القوى الخارجية في تأجيج الصراع</w:t>
      </w:r>
    </w:p>
    <w:p>
      <w:pPr>
        <w:pStyle w:val="FirstParagraph"/>
      </w:pPr>
      <w:r>
        <w:t xml:space="preserve">«إنّ المسلمين ليسوا أعداءَنا، فهم لا يقاتلوننا. لكنّهم يقاتلون أنفسهم. ومادام كذلك، فمصلحتنا أن يستمرّوا». هذه الجملة، التي يُتداول نسبها لعدد من المسؤولين الغربيين والإسرائيليين، تُلخّص المنطق الاستراتيجي البسيط الذي يحكم سياسة كثير من القوى الخارجية تجاه العالم الإسلامي:</w:t>
      </w:r>
      <w:r>
        <w:t xml:space="preserve"> </w:t>
      </w:r>
      <w:r>
        <w:rPr>
          <w:bCs/>
          <w:b/>
        </w:rPr>
        <w:t xml:space="preserve">أمّة منقسمة لا تشكّل تهديداً.</w:t>
      </w:r>
    </w:p>
    <w:bookmarkStart w:id="81" w:name="قاعدة-فرق-تسد-الاستعمارية"/>
    <w:p>
      <w:pPr>
        <w:pStyle w:val="Heading2"/>
      </w:pPr>
      <w:r>
        <w:t xml:space="preserve">6.1 قاعدة «فرّق تَسُد» الاستعمارية</w:t>
      </w:r>
    </w:p>
    <w:p>
      <w:pPr>
        <w:pStyle w:val="FirstParagraph"/>
      </w:pPr>
      <w:r>
        <w:t xml:space="preserve">ليست قاعدة «فرّق تسد» اختراعاً إسرائيلياً ولا أمريكياً، بل قاعدة استعمارية كلاسيكية مارسها البريطانيون في الهند بين الهندوس والمسلمين، وفي العراق بين السنة والشيعة والأكراد، وفي اليمن بين أهل الجنوب والشمال. والفرنسيون مارسوها في الجزائر والمغرب وتونس بين العرب والأمازيغ، وفي لبنان بين الموارنة والمسلمين. واستمرّت هذه القاعدة بعد الاستقلال الشكلي بأدوات جديدة: المخابرات، الإعلام، الدعم المالي للأطراف المتنازعة، التدخل العسكري.</w:t>
      </w:r>
    </w:p>
    <w:bookmarkEnd w:id="81"/>
    <w:bookmarkStart w:id="84" w:name="الدور-الإسرائيلي"/>
    <w:p>
      <w:pPr>
        <w:pStyle w:val="Heading2"/>
      </w:pPr>
      <w:r>
        <w:t xml:space="preserve">6.2 الدور الإسرائيلي</w:t>
      </w:r>
    </w:p>
    <w:p>
      <w:pPr>
        <w:pStyle w:val="FirstParagraph"/>
      </w:pPr>
      <w:r>
        <w:t xml:space="preserve">إسرائيل، بوصفها كياناً قائماً على احتلال أرض إسلامية مقدسة، تدرك تماماً أنّ أمّة موحَّدة تعني نهاية مشروعها. لذلك تعمل دائماً على إبقاء الانقسامات حيّة. الوثائق التاريخية تكشف:</w:t>
      </w:r>
    </w:p>
    <w:bookmarkStart w:id="82" w:name="وثيقة-عوديد-ينون-1982"/>
    <w:p>
      <w:pPr>
        <w:pStyle w:val="Heading3"/>
      </w:pPr>
      <w:r>
        <w:t xml:space="preserve">وثيقة عوديد ينون (1982)</w:t>
      </w:r>
    </w:p>
    <w:p>
      <w:pPr>
        <w:pStyle w:val="FirstParagraph"/>
      </w:pPr>
      <w:r>
        <w:t xml:space="preserve">نشر الباحث الإسرائيلي عوديد ينون مقالاً بعنوان «استراتيجية لإسرائيل في الثمانينيات»، يدعو فيه صراحة إلى تفتيت دول المنطقة على أُسس طائفية ومذهبية: تقسيم العراق إلى ثلاث دول (سنية، شيعية، كردية)، وتفتيت لبنان وسوريا، واستثمار الانقسام السني الشيعي. اللافت أنّ كثيراً من توقعات هذه الوثيقة تحقّق فعلاً بعد عقود.</w:t>
      </w:r>
    </w:p>
    <w:bookmarkEnd w:id="82"/>
    <w:bookmarkStart w:id="83" w:name="دور-الموساد"/>
    <w:p>
      <w:pPr>
        <w:pStyle w:val="Heading3"/>
      </w:pPr>
      <w:r>
        <w:t xml:space="preserve">دور الموساد</w:t>
      </w:r>
    </w:p>
    <w:p>
      <w:pPr>
        <w:pStyle w:val="FirstParagraph"/>
      </w:pPr>
      <w:r>
        <w:t xml:space="preserve">كشفت تقارير صحفية موثقة عن عمليات إسرائيلية تستهدف تأجيج الصراعات الطائفية، من بينها تجنيد عملاء من الطرفين، وزرع وثائق مفبركة، ودعم خطاب التحريض في وسائل التواصل الاجتماعي. وقد اعترف رئيس وزراء سابق بأنّ «الفوضى في العالم العربي مكسب استراتيجي لإسرائيل».</w:t>
      </w:r>
    </w:p>
    <w:bookmarkEnd w:id="83"/>
    <w:bookmarkEnd w:id="84"/>
    <w:bookmarkStart w:id="85" w:name="الدور-الأمريكي"/>
    <w:p>
      <w:pPr>
        <w:pStyle w:val="Heading2"/>
      </w:pPr>
      <w:r>
        <w:t xml:space="preserve">6.3 الدور الأمريكي</w:t>
      </w:r>
    </w:p>
    <w:p>
      <w:pPr>
        <w:pStyle w:val="FirstParagraph"/>
      </w:pPr>
      <w:r>
        <w:t xml:space="preserve">الولايات المتحدة لها سياسة معلنة وأخرى غير معلنة. السياسة المعلنة تتحدث عن «الديمقراطية» و«حقوق الإنسان». السياسة الفعلية، كما تكشف الوثائق المسرّبة:</w:t>
      </w:r>
    </w:p>
    <w:p>
      <w:pPr>
        <w:numPr>
          <w:ilvl w:val="0"/>
          <w:numId w:val="1019"/>
        </w:numPr>
        <w:pStyle w:val="Compact"/>
      </w:pPr>
      <w:r>
        <w:t xml:space="preserve">غزو العراق 2003 فكّك دولة مركزية كانت — رغم استبدادها — تُشكّل حاجزاً ضدّ النفوذ الإيراني، ثم بنى على أنقاضها نظام محاصصة طائفية مُؤسَّسة في الدستور نفسه.</w:t>
      </w:r>
    </w:p>
    <w:p>
      <w:pPr>
        <w:numPr>
          <w:ilvl w:val="0"/>
          <w:numId w:val="1019"/>
        </w:numPr>
        <w:pStyle w:val="Compact"/>
      </w:pPr>
      <w:r>
        <w:t xml:space="preserve">دعم حروب وكالة في اليمن وسوريا والعراق ولبنان، مع توزيع الدعم بحيث لا ينتصر طرف انتصاراً حاسماً.</w:t>
      </w:r>
    </w:p>
    <w:p>
      <w:pPr>
        <w:numPr>
          <w:ilvl w:val="0"/>
          <w:numId w:val="1019"/>
        </w:numPr>
        <w:pStyle w:val="Compact"/>
      </w:pPr>
      <w:r>
        <w:t xml:space="preserve">مبيعات الأسلحة لكلا المعسكرين الإقليميين بحيث يستمرّ الصراع.</w:t>
      </w:r>
    </w:p>
    <w:p>
      <w:pPr>
        <w:pStyle w:val="FirstParagraph"/>
      </w:pPr>
      <w:r>
        <w:t xml:space="preserve">الباحث الأمريكي جون ميرشايمر صرّح في أكثر من مقابلة بأنّ «الفوضى المُدارة في الشرق الأوسط تخدم المصالح الأمريكية بقدر ما تخدم الأمن الإسرائيلي».</w:t>
      </w:r>
    </w:p>
    <w:bookmarkEnd w:id="85"/>
    <w:bookmarkStart w:id="86" w:name="الدور-الأوروبي"/>
    <w:p>
      <w:pPr>
        <w:pStyle w:val="Heading2"/>
      </w:pPr>
      <w:r>
        <w:t xml:space="preserve">6.4 الدور الأوروبي</w:t>
      </w:r>
    </w:p>
    <w:p>
      <w:pPr>
        <w:pStyle w:val="FirstParagraph"/>
      </w:pPr>
      <w:r>
        <w:t xml:space="preserve">الدور الأوروبي أكثر دقة وأقل ضجيجاً. يتمثّل في:</w:t>
      </w:r>
    </w:p>
    <w:p>
      <w:pPr>
        <w:numPr>
          <w:ilvl w:val="0"/>
          <w:numId w:val="1020"/>
        </w:numPr>
        <w:pStyle w:val="Compact"/>
      </w:pPr>
      <w:r>
        <w:t xml:space="preserve">صناعة الأسلحة (فرنسا، بريطانيا، ألمانيا) التي تُباع لأطراف الصراع.</w:t>
      </w:r>
    </w:p>
    <w:p>
      <w:pPr>
        <w:numPr>
          <w:ilvl w:val="0"/>
          <w:numId w:val="1020"/>
        </w:numPr>
        <w:pStyle w:val="Compact"/>
      </w:pPr>
      <w:r>
        <w:t xml:space="preserve">الاستضافة الإعلامية لأصوات التحريض المذهبي تحت شعار «حرية التعبير».</w:t>
      </w:r>
    </w:p>
    <w:p>
      <w:pPr>
        <w:numPr>
          <w:ilvl w:val="0"/>
          <w:numId w:val="1020"/>
        </w:numPr>
        <w:pStyle w:val="Compact"/>
      </w:pPr>
      <w:r>
        <w:t xml:space="preserve">الدعم المالي لمنظمات «دراسات» تُنتج خطاباً يُعمّق الفروق المذهبية.</w:t>
      </w:r>
    </w:p>
    <w:p>
      <w:pPr>
        <w:numPr>
          <w:ilvl w:val="0"/>
          <w:numId w:val="1020"/>
        </w:numPr>
        <w:pStyle w:val="Compact"/>
      </w:pPr>
      <w:r>
        <w:t xml:space="preserve">التدخل في رسم خرائط ما بعد سايكس-بيكو، بما في ذلك تقسيم سوريا إلى أربع دول كان مُقترحاً.</w:t>
      </w:r>
    </w:p>
    <w:bookmarkEnd w:id="86"/>
    <w:bookmarkStart w:id="87" w:name="دور-القوى-الإقليمية-الإسلامية-نفسها"/>
    <w:p>
      <w:pPr>
        <w:pStyle w:val="Heading2"/>
      </w:pPr>
      <w:r>
        <w:t xml:space="preserve">6.5 دور القوى الإقليمية الإسلامية نفسها</w:t>
      </w:r>
    </w:p>
    <w:p>
      <w:pPr>
        <w:pStyle w:val="FirstParagraph"/>
      </w:pPr>
      <w:r>
        <w:t xml:space="preserve">الإنصاف يقتضي القول إنّ بعض القوى الإقليمية الإسلامية شاركت بأخطائها — قصداً أو غير قصد — في تعميق الصراع:</w:t>
      </w:r>
    </w:p>
    <w:p>
      <w:pPr>
        <w:numPr>
          <w:ilvl w:val="0"/>
          <w:numId w:val="1021"/>
        </w:numPr>
        <w:pStyle w:val="Compact"/>
      </w:pPr>
      <w:r>
        <w:t xml:space="preserve">الإنفاق الكبير على بناء مؤسسات دعوية تُروّج خطاباً مذهبياً حادّاً.</w:t>
      </w:r>
    </w:p>
    <w:p>
      <w:pPr>
        <w:numPr>
          <w:ilvl w:val="0"/>
          <w:numId w:val="1021"/>
        </w:numPr>
        <w:pStyle w:val="Compact"/>
      </w:pPr>
      <w:r>
        <w:t xml:space="preserve">تمويل ميليشيات بأجندة طائفية في دول ثالثة.</w:t>
      </w:r>
    </w:p>
    <w:p>
      <w:pPr>
        <w:numPr>
          <w:ilvl w:val="0"/>
          <w:numId w:val="1021"/>
        </w:numPr>
        <w:pStyle w:val="Compact"/>
      </w:pPr>
      <w:r>
        <w:t xml:space="preserve">توظيف الإعلام الرسمي لتجريم المذهب الآخر.</w:t>
      </w:r>
    </w:p>
    <w:p>
      <w:pPr>
        <w:numPr>
          <w:ilvl w:val="0"/>
          <w:numId w:val="1021"/>
        </w:numPr>
        <w:pStyle w:val="Compact"/>
      </w:pPr>
      <w:r>
        <w:t xml:space="preserve">تجنيد علماء الدين لخدمة الأجندة السياسية.</w:t>
      </w:r>
    </w:p>
    <w:p>
      <w:pPr>
        <w:pStyle w:val="FirstParagraph"/>
      </w:pPr>
      <w:r>
        <w:t xml:space="preserve">هذا الإنصاف ضروري لكي لا يتحوّل الكتاب إلى نظرية مؤامرة تُبرّئ الأمة من مسؤوليتها.</w:t>
      </w:r>
      <w:r>
        <w:t xml:space="preserve"> </w:t>
      </w:r>
      <w:r>
        <w:rPr>
          <w:bCs/>
          <w:b/>
        </w:rPr>
        <w:t xml:space="preserve">القوى الخارجية تستفيد من الانقسام، لكنّ القوى الداخلية هي التي تصنعه</w:t>
      </w:r>
      <w:r>
        <w:t xml:space="preserve">. ولولا استجابتنا لمشاريع التفتيت، لما نجح أي مخطّط خارجي.</w:t>
      </w:r>
    </w:p>
    <w:bookmarkEnd w:id="87"/>
    <w:bookmarkStart w:id="88" w:name="الإعلام-أداة-الصراع-الأولى"/>
    <w:p>
      <w:pPr>
        <w:pStyle w:val="Heading2"/>
      </w:pPr>
      <w:r>
        <w:t xml:space="preserve">6.6 الإعلام أداة الصراع الأولى</w:t>
      </w:r>
    </w:p>
    <w:p>
      <w:pPr>
        <w:pStyle w:val="FirstParagraph"/>
      </w:pPr>
      <w:r>
        <w:t xml:space="preserve">في كل بيت في العالم الإسلامي اليوم، يدخل خطاب مذهبي عبر القنوات الفضائية ووسائل التواصل. قنوات سنية متشدّدة وأخرى شيعية متشدّدة، تتغذّى من بعضها البعض، وتعيش على الإثارة المذهبية. ودراسات حديثة تكشف أنّ:</w:t>
      </w:r>
    </w:p>
    <w:p>
      <w:pPr>
        <w:numPr>
          <w:ilvl w:val="0"/>
          <w:numId w:val="1022"/>
        </w:numPr>
        <w:pStyle w:val="Compact"/>
      </w:pPr>
      <w:r>
        <w:t xml:space="preserve">كثير من حسابات التحريض المذهبي على منصات التواصل تُدار من خارج البلدان الإسلامية.</w:t>
      </w:r>
    </w:p>
    <w:p>
      <w:pPr>
        <w:numPr>
          <w:ilvl w:val="0"/>
          <w:numId w:val="1022"/>
        </w:numPr>
        <w:pStyle w:val="Compact"/>
      </w:pPr>
      <w:r>
        <w:t xml:space="preserve">الخوارزميات نفسها تُكافئ المحتوى المُثير للانقسام، لأنّه يُحقّق نسب مشاهدة أعلى.</w:t>
      </w:r>
    </w:p>
    <w:p>
      <w:pPr>
        <w:numPr>
          <w:ilvl w:val="0"/>
          <w:numId w:val="1022"/>
        </w:numPr>
        <w:pStyle w:val="Compact"/>
      </w:pPr>
      <w:r>
        <w:t xml:space="preserve">كثير من «الشيوخ» المذهبيين الذين يظهرون على شاشات معيّنة يتلقّون تمويلاً غير معلَن.</w:t>
      </w:r>
    </w:p>
    <w:bookmarkEnd w:id="88"/>
    <w:bookmarkStart w:id="89" w:name="خلاصة-الفصل-5"/>
    <w:p>
      <w:pPr>
        <w:pStyle w:val="Heading2"/>
      </w:pPr>
      <w:r>
        <w:t xml:space="preserve">6.7 خلاصة الفصل</w:t>
      </w:r>
    </w:p>
    <w:p>
      <w:pPr>
        <w:pStyle w:val="FirstParagraph"/>
      </w:pPr>
      <w:r>
        <w:t xml:space="preserve">الصورة الكاملة تتكوّن من ثلاث طبقات متراكبة:</w:t>
      </w:r>
    </w:p>
    <w:p>
      <w:pPr>
        <w:numPr>
          <w:ilvl w:val="0"/>
          <w:numId w:val="1023"/>
        </w:numPr>
        <w:pStyle w:val="Compact"/>
      </w:pPr>
      <w:r>
        <w:rPr>
          <w:bCs/>
          <w:b/>
        </w:rPr>
        <w:t xml:space="preserve">طبقة داخلية:</w:t>
      </w:r>
      <w:r>
        <w:t xml:space="preserve"> </w:t>
      </w:r>
      <w:r>
        <w:t xml:space="preserve">خلافات تاريخية وفقهية حقيقية، لكنها قابلة للإدارة.</w:t>
      </w:r>
    </w:p>
    <w:p>
      <w:pPr>
        <w:numPr>
          <w:ilvl w:val="0"/>
          <w:numId w:val="1023"/>
        </w:numPr>
        <w:pStyle w:val="Compact"/>
      </w:pPr>
      <w:r>
        <w:rPr>
          <w:bCs/>
          <w:b/>
        </w:rPr>
        <w:t xml:space="preserve">طبقة إقليمية:</w:t>
      </w:r>
      <w:r>
        <w:t xml:space="preserve"> </w:t>
      </w:r>
      <w:r>
        <w:t xml:space="preserve">صراع نفوذ بين دول إسلامية تستخدم الورقة المذهبية لتبرير سياساتها.</w:t>
      </w:r>
    </w:p>
    <w:p>
      <w:pPr>
        <w:numPr>
          <w:ilvl w:val="0"/>
          <w:numId w:val="1023"/>
        </w:numPr>
        <w:pStyle w:val="Compact"/>
      </w:pPr>
      <w:r>
        <w:rPr>
          <w:bCs/>
          <w:b/>
        </w:rPr>
        <w:t xml:space="preserve">طبقة دولية:</w:t>
      </w:r>
      <w:r>
        <w:t xml:space="preserve"> </w:t>
      </w:r>
      <w:r>
        <w:t xml:space="preserve">قوى خارجية (إسرائيل، أمريكا، أوروبا) لها مصلحة استراتيجية في إبقاء الأمة منقسمة.</w:t>
      </w:r>
    </w:p>
    <w:p>
      <w:pPr>
        <w:pStyle w:val="FirstParagraph"/>
      </w:pPr>
      <w:r>
        <w:t xml:space="preserve">ولا يمكن حلّ المشكلة بمعالجة طبقة واحدة فقط. الحوار الديني وحده لن يكفي إذا بقيت الدول تستخدم الورقة المذهبية. والاتفاق بين الدول وحده لن يصمد إذا بقيت القوى الخارجية تُغذّي الفوضى. الحلّ الحقيقي يحتاج تحرّكاً متزامناً على الطبقات الثلاث، وهذا ما يدعونا الفصلان القادمان للتفكير فيه.</w:t>
      </w:r>
    </w:p>
    <w:bookmarkEnd w:id="89"/>
    <w:bookmarkEnd w:id="90"/>
    <w:bookmarkStart w:id="103" w:name="X40619bbfcb1e7407cc326bb686ee0a2edf244dd"/>
    <w:p>
      <w:pPr>
        <w:pStyle w:val="Heading1"/>
      </w:pPr>
      <w:r>
        <w:t xml:space="preserve">الفصل السابع</w:t>
      </w:r>
      <w:r>
        <w:t xml:space="preserve">تجارب التقارب التاريخية والمعاصرة</w:t>
      </w:r>
    </w:p>
    <w:p>
      <w:pPr>
        <w:pStyle w:val="FirstParagraph"/>
      </w:pPr>
      <w:r>
        <w:t xml:space="preserve">في خضمّ خطاب الانقسام الذي يُهيمن على المشهد، قد ينسى المرء أنّ تجارب التقارب موجودة، ناجحة في بعض الأحيان، وتستحق الدراسة. هذا الفصل يستعرض أبرز هذه التجارب، ليُثبت أنّ التقارب ليس حلماً مستحيلاً، بل احتمال واقعي تتوفّر له شواهد.</w:t>
      </w:r>
    </w:p>
    <w:bookmarkStart w:id="91" w:name="جامعة-الأزهر-وفتوى-شلتوت-1959"/>
    <w:p>
      <w:pPr>
        <w:pStyle w:val="Heading2"/>
      </w:pPr>
      <w:r>
        <w:t xml:space="preserve">7.1 جامعة الأزهر وفتوى شلتوت (1959)</w:t>
      </w:r>
    </w:p>
    <w:p>
      <w:pPr>
        <w:pStyle w:val="FirstParagraph"/>
      </w:pPr>
      <w:r>
        <w:t xml:space="preserve">أصدر شيخ الأزهر الإمام محمود شلتوت فتواه التاريخية عام 1959 معترفاً بالمذهب الجعفري الإثنا عشري كمذهب يُتعبّد به شرعاً. هذه الفتوى لم تكن مجرّد وثيقة، بل حدثاً مؤسسياً غيّر لغة الخطاب الديني الرسمي في مصر، وفتح الباب أمام حوار جادّ. وقد أُسِّست تبعاً لذلك «دار التقريب بين المذاهب الإسلامية» التي ضمّت كبار العلماء من السنة والشيعة، وأصدرت مجلة «رسالة الإسلام» التي عملت لسنوات طويلة.</w:t>
      </w:r>
    </w:p>
    <w:bookmarkEnd w:id="91"/>
    <w:bookmarkStart w:id="92" w:name="المؤتمرات-والمنابر-التقريبية"/>
    <w:p>
      <w:pPr>
        <w:pStyle w:val="Heading2"/>
      </w:pPr>
      <w:r>
        <w:t xml:space="preserve">7.2 المؤتمرات والمنابر التقريبية</w:t>
      </w:r>
    </w:p>
    <w:p>
      <w:pPr>
        <w:numPr>
          <w:ilvl w:val="0"/>
          <w:numId w:val="1024"/>
        </w:numPr>
        <w:pStyle w:val="Compact"/>
      </w:pPr>
      <w:r>
        <w:rPr>
          <w:bCs/>
          <w:b/>
        </w:rPr>
        <w:t xml:space="preserve">المجمع العالمي للتقريب بين المذاهب الإسلامية</w:t>
      </w:r>
      <w:r>
        <w:t xml:space="preserve"> </w:t>
      </w:r>
      <w:r>
        <w:t xml:space="preserve">(مقرّه طهران، يضم علماء سنة وشيعة).</w:t>
      </w:r>
    </w:p>
    <w:p>
      <w:pPr>
        <w:numPr>
          <w:ilvl w:val="0"/>
          <w:numId w:val="1024"/>
        </w:numPr>
        <w:pStyle w:val="Compact"/>
      </w:pPr>
      <w:r>
        <w:rPr>
          <w:bCs/>
          <w:b/>
        </w:rPr>
        <w:t xml:space="preserve">منظمة المؤتمر الإسلامي</w:t>
      </w:r>
      <w:r>
        <w:t xml:space="preserve"> </w:t>
      </w:r>
      <w:r>
        <w:t xml:space="preserve">(التي صارت لاحقاً منظمة التعاون الإسلامي): تجمع 57 دولة بأغلبية سنية وأقلية شيعية في إطار مؤسسي واحد.</w:t>
      </w:r>
    </w:p>
    <w:p>
      <w:pPr>
        <w:numPr>
          <w:ilvl w:val="0"/>
          <w:numId w:val="1024"/>
        </w:numPr>
        <w:pStyle w:val="Compact"/>
      </w:pPr>
      <w:r>
        <w:rPr>
          <w:bCs/>
          <w:b/>
        </w:rPr>
        <w:t xml:space="preserve">مؤتمرات الأزهر للحوار الإسلامي</w:t>
      </w:r>
      <w:r>
        <w:t xml:space="preserve">.</w:t>
      </w:r>
    </w:p>
    <w:bookmarkEnd w:id="92"/>
    <w:bookmarkStart w:id="93" w:name="وثيقة-عمان-2004"/>
    <w:p>
      <w:pPr>
        <w:pStyle w:val="Heading2"/>
      </w:pPr>
      <w:r>
        <w:t xml:space="preserve">7.3 وثيقة عمّان (2004)</w:t>
      </w:r>
    </w:p>
    <w:p>
      <w:pPr>
        <w:pStyle w:val="FirstParagraph"/>
      </w:pPr>
      <w:r>
        <w:t xml:space="preserve">أصدر الملك عبدالله الثاني ملك الأردن وثيقة عمّان التي وقّعها أكثر من 200 من كبار علماء العالم الإسلامي، من السنة والشيعة، ونصّت على:</w:t>
      </w:r>
    </w:p>
    <w:p>
      <w:pPr>
        <w:numPr>
          <w:ilvl w:val="0"/>
          <w:numId w:val="1025"/>
        </w:numPr>
        <w:pStyle w:val="Compact"/>
      </w:pPr>
      <w:r>
        <w:t xml:space="preserve">الاعتراف بالمذاهب الإسلامية الثمانية: الأربعة السنية، والجعفرية، والزيدية، والإباضية، والظاهرية.</w:t>
      </w:r>
    </w:p>
    <w:p>
      <w:pPr>
        <w:numPr>
          <w:ilvl w:val="0"/>
          <w:numId w:val="1025"/>
        </w:numPr>
        <w:pStyle w:val="Compact"/>
      </w:pPr>
      <w:r>
        <w:t xml:space="preserve">تحريم التكفير المتبادل بين هذه المذاهب.</w:t>
      </w:r>
    </w:p>
    <w:p>
      <w:pPr>
        <w:numPr>
          <w:ilvl w:val="0"/>
          <w:numId w:val="1025"/>
        </w:numPr>
        <w:pStyle w:val="Compact"/>
      </w:pPr>
      <w:r>
        <w:t xml:space="preserve">اشتراطات الإفتاء.</w:t>
      </w:r>
    </w:p>
    <w:p>
      <w:pPr>
        <w:pStyle w:val="FirstParagraph"/>
      </w:pPr>
      <w:r>
        <w:t xml:space="preserve">وثيقة عمّان تُعدّ من أهم الإنجازات التقريبية المعاصرة، رغم أنّها لم تجد حظّها الكافي من التطبيق.</w:t>
      </w:r>
    </w:p>
    <w:bookmarkEnd w:id="93"/>
    <w:bookmarkStart w:id="94" w:name="تجربة-العيش-المشترك-في-اليمن"/>
    <w:p>
      <w:pPr>
        <w:pStyle w:val="Heading2"/>
      </w:pPr>
      <w:r>
        <w:t xml:space="preserve">7.4 تجربة العيش المشترك في اليمن</w:t>
      </w:r>
    </w:p>
    <w:p>
      <w:pPr>
        <w:pStyle w:val="FirstParagraph"/>
      </w:pPr>
      <w:r>
        <w:t xml:space="preserve">عاش الزيدية والشافعية في اليمن قروناً متقاربين متمازجين. كانت هناك مساجد يُصلّي فيها الزيدية في الصباح والشافعية في المساء، أو يقتدي بإمام واحد من المذهبين. التزاوج بين العائلات كان سائداً، والتجارة، والولاءات السياسية. والحقيقة أنّ كثيراً من اليمنيين، حتى وقت قريب، لم يكونوا يعرفون لمذهب جارهم انتماء واضحاً.</w:t>
      </w:r>
    </w:p>
    <w:bookmarkEnd w:id="94"/>
    <w:bookmarkStart w:id="95" w:name="تجربة-العيش-المشترك-في-العراق-قبل-2003"/>
    <w:p>
      <w:pPr>
        <w:pStyle w:val="Heading2"/>
      </w:pPr>
      <w:r>
        <w:t xml:space="preserve">7.5 تجربة العيش المشترك في العراق قبل 2003</w:t>
      </w:r>
    </w:p>
    <w:p>
      <w:pPr>
        <w:pStyle w:val="FirstParagraph"/>
      </w:pPr>
      <w:r>
        <w:t xml:space="preserve">قبل الغزو الأمريكي، كان العراق نموذجاً للتمازج: المناطق المختلطة في بغداد والبصرة والموصل، الأحياء التي يسكنها سنة وشيعة في ذات البناية، الأسر التي يتداخل فيها المذهبان عبر التزاوج. كان الانقسام قائماً نظرياً لكن العيش اليومي كان مشتركاً. ما حدث بعد 2003 كان كارثة إعادة ترسيم على أُسس طائفية، وقد كلّف العراقيين دماء بمئات الآلاف.</w:t>
      </w:r>
    </w:p>
    <w:bookmarkEnd w:id="95"/>
    <w:bookmarkStart w:id="99" w:name="تجارب-فردية-رمزية"/>
    <w:p>
      <w:pPr>
        <w:pStyle w:val="Heading2"/>
      </w:pPr>
      <w:r>
        <w:t xml:space="preserve">7.6 تجارب فردية رمزية</w:t>
      </w:r>
    </w:p>
    <w:bookmarkStart w:id="96" w:name="الإمام-الخميني-وجائزة-سيد-قطب"/>
    <w:p>
      <w:pPr>
        <w:pStyle w:val="Heading3"/>
      </w:pPr>
      <w:r>
        <w:t xml:space="preserve">الإمام الخميني وجائزة سيد قطب</w:t>
      </w:r>
    </w:p>
    <w:p>
      <w:pPr>
        <w:pStyle w:val="FirstParagraph"/>
      </w:pPr>
      <w:r>
        <w:t xml:space="preserve">قبل الثورة الإيرانية، ترجم الخميني (الذي صار فيما بعد قائد الثورة) كتاب «المعالم في الطريق» لسيد قطب، وأشاد به وبأخيه محمد قطب. وكان يُكرّر أنّ «إخواننا أهل السنة لهم منهم رجال صدقوا ما عاهدوا الله عليه».</w:t>
      </w:r>
    </w:p>
    <w:bookmarkEnd w:id="96"/>
    <w:bookmarkStart w:id="97" w:name="Xf648a6ddf50206c027df41813b4aa7d37284c33"/>
    <w:p>
      <w:pPr>
        <w:pStyle w:val="Heading3"/>
      </w:pPr>
      <w:r>
        <w:t xml:space="preserve">السيد محمد حسين فضل الله والشيخ يوسف القرضاوي</w:t>
      </w:r>
    </w:p>
    <w:p>
      <w:pPr>
        <w:pStyle w:val="FirstParagraph"/>
      </w:pPr>
      <w:r>
        <w:t xml:space="preserve">كان بين هذين العالمين الكبيرين، من المرجعية الشيعية والمرجعية السنية، حوار متبادل واحترام علني، وإن اختلفا في تفاصيل. والشيخ القرضاوي ألّف «مبادئ في الحوار والتقريب بين المذاهب الإسلامية».</w:t>
      </w:r>
    </w:p>
    <w:bookmarkEnd w:id="97"/>
    <w:bookmarkStart w:id="98" w:name="X73de9d5e7d3a1405361b81a769bb0a7baab74c6"/>
    <w:p>
      <w:pPr>
        <w:pStyle w:val="Heading3"/>
      </w:pPr>
      <w:r>
        <w:t xml:space="preserve">السيد علي السيستاني وموقفه من الفتنة العراقية</w:t>
      </w:r>
    </w:p>
    <w:p>
      <w:pPr>
        <w:pStyle w:val="FirstParagraph"/>
      </w:pPr>
      <w:r>
        <w:t xml:space="preserve">أصدر السيد السيستاني فتاوى متعدّدة تُحرّم الانتقام من السنة في العراق بعد تفجير مرقد الإمامين العسكريَّين عام 2006. هذا الموقف أنقذ العراق من حرب أهلية شاملة، وأظهر أنّ المرجعية الشيعية الأعلى مع التقارب لا التصارع.</w:t>
      </w:r>
    </w:p>
    <w:bookmarkEnd w:id="98"/>
    <w:bookmarkEnd w:id="99"/>
    <w:bookmarkStart w:id="100" w:name="ماذا-تعلمنا-هذه-التجارب"/>
    <w:p>
      <w:pPr>
        <w:pStyle w:val="Heading2"/>
      </w:pPr>
      <w:r>
        <w:t xml:space="preserve">7.7 ماذا تُعلّمنا هذه التجارب؟</w:t>
      </w:r>
    </w:p>
    <w:p>
      <w:pPr>
        <w:numPr>
          <w:ilvl w:val="0"/>
          <w:numId w:val="1026"/>
        </w:numPr>
        <w:pStyle w:val="Compact"/>
      </w:pPr>
      <w:r>
        <w:rPr>
          <w:bCs/>
          <w:b/>
        </w:rPr>
        <w:t xml:space="preserve">التقارب ليس مستحيلاً:</w:t>
      </w:r>
      <w:r>
        <w:t xml:space="preserve"> </w:t>
      </w:r>
      <w:r>
        <w:t xml:space="preserve">هناك سوابق تاريخية ومعاصرة ناجحة.</w:t>
      </w:r>
    </w:p>
    <w:p>
      <w:pPr>
        <w:numPr>
          <w:ilvl w:val="0"/>
          <w:numId w:val="1026"/>
        </w:numPr>
        <w:pStyle w:val="Compact"/>
      </w:pPr>
      <w:r>
        <w:rPr>
          <w:bCs/>
          <w:b/>
        </w:rPr>
        <w:t xml:space="preserve">المؤسسات الدينية لها دور حاسم:</w:t>
      </w:r>
      <w:r>
        <w:t xml:space="preserve"> </w:t>
      </w:r>
      <w:r>
        <w:t xml:space="preserve">الأزهر، النجف، قم — حين تتحرّك للتقارب، يتحرّك معها الجمهور.</w:t>
      </w:r>
    </w:p>
    <w:p>
      <w:pPr>
        <w:numPr>
          <w:ilvl w:val="0"/>
          <w:numId w:val="1026"/>
        </w:numPr>
        <w:pStyle w:val="Compact"/>
      </w:pPr>
      <w:r>
        <w:rPr>
          <w:bCs/>
          <w:b/>
        </w:rPr>
        <w:t xml:space="preserve">الفتاوى المؤسسية تتفوّق على الخطاب الفردي:</w:t>
      </w:r>
      <w:r>
        <w:t xml:space="preserve"> </w:t>
      </w:r>
      <w:r>
        <w:t xml:space="preserve">فتوى شلتوت ووثيقة عمّان أهم من ألف خطاب فضائي.</w:t>
      </w:r>
    </w:p>
    <w:p>
      <w:pPr>
        <w:numPr>
          <w:ilvl w:val="0"/>
          <w:numId w:val="1026"/>
        </w:numPr>
        <w:pStyle w:val="Compact"/>
      </w:pPr>
      <w:r>
        <w:rPr>
          <w:bCs/>
          <w:b/>
        </w:rPr>
        <w:t xml:space="preserve">العيش المشترك سهل عند تركه طبيعياً:</w:t>
      </w:r>
      <w:r>
        <w:t xml:space="preserve"> </w:t>
      </w:r>
      <w:r>
        <w:t xml:space="preserve">ما يُفسده هو التدخّل السياسي.</w:t>
      </w:r>
    </w:p>
    <w:p>
      <w:pPr>
        <w:numPr>
          <w:ilvl w:val="0"/>
          <w:numId w:val="1026"/>
        </w:numPr>
        <w:pStyle w:val="Compact"/>
      </w:pPr>
      <w:r>
        <w:rPr>
          <w:bCs/>
          <w:b/>
        </w:rPr>
        <w:t xml:space="preserve">القادة الكبار لهم تأثير مضاعَف:</w:t>
      </w:r>
      <w:r>
        <w:t xml:space="preserve"> </w:t>
      </w:r>
      <w:r>
        <w:t xml:space="preserve">السيستاني وحده غيّر مسار العراق.</w:t>
      </w:r>
    </w:p>
    <w:bookmarkEnd w:id="100"/>
    <w:bookmarkStart w:id="101" w:name="لماذا-فشلت-بعض-المبادرات"/>
    <w:p>
      <w:pPr>
        <w:pStyle w:val="Heading2"/>
      </w:pPr>
      <w:r>
        <w:t xml:space="preserve">7.8 لماذا فشلت بعض المبادرات؟</w:t>
      </w:r>
    </w:p>
    <w:p>
      <w:pPr>
        <w:pStyle w:val="FirstParagraph"/>
      </w:pPr>
      <w:r>
        <w:t xml:space="preserve">ليست كل المبادرات نجحت. كثير منها فشل أو تعثّر، ومن أسباب الفشل:</w:t>
      </w:r>
    </w:p>
    <w:p>
      <w:pPr>
        <w:numPr>
          <w:ilvl w:val="0"/>
          <w:numId w:val="1027"/>
        </w:numPr>
        <w:pStyle w:val="Compact"/>
      </w:pPr>
      <w:r>
        <w:t xml:space="preserve">الحرص على الصورة دون المضمون: مؤتمرات ضخمة بدون آليات تنفيذ.</w:t>
      </w:r>
    </w:p>
    <w:p>
      <w:pPr>
        <w:numPr>
          <w:ilvl w:val="0"/>
          <w:numId w:val="1027"/>
        </w:numPr>
        <w:pStyle w:val="Compact"/>
      </w:pPr>
      <w:r>
        <w:t xml:space="preserve">غياب التمويل المستقلّ: المبادرات الممولة من جهة سياسية تُتّهم بالأجندة.</w:t>
      </w:r>
    </w:p>
    <w:p>
      <w:pPr>
        <w:numPr>
          <w:ilvl w:val="0"/>
          <w:numId w:val="1027"/>
        </w:numPr>
        <w:pStyle w:val="Compact"/>
      </w:pPr>
      <w:r>
        <w:t xml:space="preserve">القفز على المسائل الحساسة: الحديث عن «التقارب» دون مواجهة الخطاب التحريضي.</w:t>
      </w:r>
    </w:p>
    <w:p>
      <w:pPr>
        <w:numPr>
          <w:ilvl w:val="0"/>
          <w:numId w:val="1027"/>
        </w:numPr>
        <w:pStyle w:val="Compact"/>
      </w:pPr>
      <w:r>
        <w:t xml:space="preserve">التغيير في القمّة دون القاعدة: العلماء يتفقون لكن العامّة لا تسمع.</w:t>
      </w:r>
    </w:p>
    <w:bookmarkEnd w:id="101"/>
    <w:bookmarkStart w:id="102" w:name="خلاصة-الفصل-6"/>
    <w:p>
      <w:pPr>
        <w:pStyle w:val="Heading2"/>
      </w:pPr>
      <w:r>
        <w:t xml:space="preserve">7.9 خلاصة الفصل</w:t>
      </w:r>
    </w:p>
    <w:p>
      <w:pPr>
        <w:pStyle w:val="FirstParagraph"/>
      </w:pPr>
      <w:r>
        <w:t xml:space="preserve">التقارب فعلٌ ممكن، لكنّه ليس حدثاً، إنّما عملية. عملية تحتاج إلى مؤسسات قويّة، ومواقف شجاعة من المرجعيات، وعمل ميداني في المساجد والمدارس والإعلام، واستبعاد السياسة من الحوار الديني، أو على الأقل عدم السماح للسياسة بأن تُلغيه. وفي الفصل القادم، نضع تصوّراً عملياً لما يمكن أن يكون عليه «طريق التقارب الواقعي».</w:t>
      </w:r>
    </w:p>
    <w:bookmarkEnd w:id="102"/>
    <w:bookmarkEnd w:id="103"/>
    <w:bookmarkStart w:id="123" w:name="الفصل-الثامننحو-طريق-واقعي-للتقارب"/>
    <w:p>
      <w:pPr>
        <w:pStyle w:val="Heading1"/>
      </w:pPr>
      <w:r>
        <w:t xml:space="preserve">الفصل الثامن</w:t>
      </w:r>
      <w:r>
        <w:t xml:space="preserve">نحو طريق واقعي للتقارب</w:t>
      </w:r>
    </w:p>
    <w:p>
      <w:pPr>
        <w:pStyle w:val="FirstParagraph"/>
      </w:pPr>
      <w:r>
        <w:t xml:space="preserve">كل ما سبق من الكتاب كان تشخيصاً. هذا الفصل علاجٌ. ولن نُقدّم وعوداً ساذجة، فالواقع أعقد من أن يحلّه شعار. لكنّنا سنُقدّم ما نعتقد أنّه طريق ممكن، إذا سار فيه أصحاب النوايا الصادقة من الفريقين.</w:t>
      </w:r>
    </w:p>
    <w:bookmarkStart w:id="104" w:name="المبدأ-الحاكم-التقارب-لا-الذوبان"/>
    <w:p>
      <w:pPr>
        <w:pStyle w:val="Heading2"/>
      </w:pPr>
      <w:r>
        <w:t xml:space="preserve">8.1 المبدأ الحاكم: التقارب لا الذوبان</w:t>
      </w:r>
    </w:p>
    <w:p>
      <w:pPr>
        <w:pStyle w:val="FirstParagraph"/>
      </w:pPr>
      <w:r>
        <w:t xml:space="preserve">التقارب لا يعني أن يتنازل سنّي عن سنّيّته أو شيعي عن شيعيّته. ولا يعني أن نخلق «إسلاماً ثالثاً» يُلغي خصوصية المذاهب. التقارب يعني أن نتعامل مع بعضنا البعض بوصفنا مسلمين قبل أيّ هويّة فرعية، وأن نتفق على ما يلي:</w:t>
      </w:r>
    </w:p>
    <w:p>
      <w:pPr>
        <w:numPr>
          <w:ilvl w:val="0"/>
          <w:numId w:val="1028"/>
        </w:numPr>
        <w:pStyle w:val="Compact"/>
      </w:pPr>
      <w:r>
        <w:t xml:space="preserve">كلانا يشهد أن لا إله إلا الله، وأنّ محمداً رسول الله.</w:t>
      </w:r>
    </w:p>
    <w:p>
      <w:pPr>
        <w:numPr>
          <w:ilvl w:val="0"/>
          <w:numId w:val="1028"/>
        </w:numPr>
        <w:pStyle w:val="Compact"/>
      </w:pPr>
      <w:r>
        <w:t xml:space="preserve">كلانا يقرأ القرآن ويعمل به.</w:t>
      </w:r>
    </w:p>
    <w:p>
      <w:pPr>
        <w:numPr>
          <w:ilvl w:val="0"/>
          <w:numId w:val="1028"/>
        </w:numPr>
        <w:pStyle w:val="Compact"/>
      </w:pPr>
      <w:r>
        <w:t xml:space="preserve">كلانا يصلّي إلى الكعبة، ويصوم رمضان، ويحجّ البيت.</w:t>
      </w:r>
    </w:p>
    <w:p>
      <w:pPr>
        <w:numPr>
          <w:ilvl w:val="0"/>
          <w:numId w:val="1028"/>
        </w:numPr>
        <w:pStyle w:val="Compact"/>
      </w:pPr>
      <w:r>
        <w:t xml:space="preserve">كلانا يحبّ النبي وآله وصحبه.</w:t>
      </w:r>
    </w:p>
    <w:p>
      <w:pPr>
        <w:numPr>
          <w:ilvl w:val="0"/>
          <w:numId w:val="1028"/>
        </w:numPr>
        <w:pStyle w:val="Compact"/>
      </w:pPr>
      <w:r>
        <w:t xml:space="preserve">كلانا يواجه نفس الخصوم الحضاريين.</w:t>
      </w:r>
    </w:p>
    <w:bookmarkEnd w:id="104"/>
    <w:bookmarkStart w:id="110" w:name="خمس-خطوات-على-المستوى-الديني"/>
    <w:p>
      <w:pPr>
        <w:pStyle w:val="Heading2"/>
      </w:pPr>
      <w:r>
        <w:t xml:space="preserve">8.2 خمس خطوات على المستوى الديني</w:t>
      </w:r>
    </w:p>
    <w:bookmarkStart w:id="105" w:name="الخطوة-الأولى-تحريم-التكفير-المؤسس"/>
    <w:p>
      <w:pPr>
        <w:pStyle w:val="Heading3"/>
      </w:pPr>
      <w:r>
        <w:t xml:space="preserve">الخطوة الأولى: تحريم التكفير المؤسَّس</w:t>
      </w:r>
    </w:p>
    <w:p>
      <w:pPr>
        <w:pStyle w:val="FirstParagraph"/>
      </w:pPr>
      <w:r>
        <w:t xml:space="preserve">على المرجعيات الدينية الكبرى (الأزهر، رابطة العالم الإسلامي، المجلس العلمي الأعلى في إيران، النجف، قم، الزيتونة، القرويين) أن تُصدر بيانات صريحة بتحريم تكفير المسلم الموحّد، سنياً كان أو شيعياً، إلا بناقض من نواقض الإسلام القطعية.</w:t>
      </w:r>
    </w:p>
    <w:bookmarkEnd w:id="105"/>
    <w:bookmarkStart w:id="106" w:name="الخطوة-الثانية-تنقية-المناهج-التعليمية"/>
    <w:p>
      <w:pPr>
        <w:pStyle w:val="Heading3"/>
      </w:pPr>
      <w:r>
        <w:t xml:space="preserve">الخطوة الثانية: تنقية المناهج التعليمية</w:t>
      </w:r>
    </w:p>
    <w:p>
      <w:pPr>
        <w:pStyle w:val="FirstParagraph"/>
      </w:pPr>
      <w:r>
        <w:t xml:space="preserve">المناهج المدرسية والجامعية في كلّ بلد إسلامي تحتاج إلى مراجعة. كل عبارة تذمّ المذهب الآخر بصورة تعميمية، أو تنسب إليه ما لا يقول به علماؤه، يجب أن تُحذف. هذا عمل طويل لكنّه ممكن.</w:t>
      </w:r>
    </w:p>
    <w:bookmarkEnd w:id="106"/>
    <w:bookmarkStart w:id="107" w:name="الخطوة-الثالثة-ضبط-الخطاب-الإعلامي"/>
    <w:p>
      <w:pPr>
        <w:pStyle w:val="Heading3"/>
      </w:pPr>
      <w:r>
        <w:t xml:space="preserve">الخطوة الثالثة: ضبط الخطاب الإعلامي</w:t>
      </w:r>
    </w:p>
    <w:p>
      <w:pPr>
        <w:pStyle w:val="FirstParagraph"/>
      </w:pPr>
      <w:r>
        <w:t xml:space="preserve">القنوات الدينية الرسمية مسؤولية الدولة، والقنوات الخاصة مسؤولية ضمير أصحابها. لا يكفي القانون لردع التحريض المذهبي؛ المطلوب جبهة من الإعلاميين الواعين تتصدّى لخطاب الكراهية وتفنّده.</w:t>
      </w:r>
    </w:p>
    <w:bookmarkEnd w:id="107"/>
    <w:bookmarkStart w:id="108" w:name="الخطوة-الرابعة-مأسسة-الحوار-العلمي"/>
    <w:p>
      <w:pPr>
        <w:pStyle w:val="Heading3"/>
      </w:pPr>
      <w:r>
        <w:t xml:space="preserve">الخطوة الرابعة: مأسسة الحوار العلمي</w:t>
      </w:r>
    </w:p>
    <w:p>
      <w:pPr>
        <w:pStyle w:val="FirstParagraph"/>
      </w:pPr>
      <w:r>
        <w:t xml:space="preserve">اللقاءات السطحية لا تُغني. المطلوب مراكز بحث مشتركة، حلقات دراسية دائمة بين طلاب العلم في المذهبين، إصدارات علمية مشتركة، تبادل أساتذة بين الحوزات والجامعات.</w:t>
      </w:r>
    </w:p>
    <w:bookmarkEnd w:id="108"/>
    <w:bookmarkStart w:id="109" w:name="X477707105c12f20cf368d3555f2309390f26338"/>
    <w:p>
      <w:pPr>
        <w:pStyle w:val="Heading3"/>
      </w:pPr>
      <w:r>
        <w:t xml:space="preserve">الخطوة الخامسة: إعادة الاعتبار لآل البيت والصحابة معاً</w:t>
      </w:r>
    </w:p>
    <w:p>
      <w:pPr>
        <w:pStyle w:val="FirstParagraph"/>
      </w:pPr>
      <w:r>
        <w:t xml:space="preserve">على السنة أن يُعطوا آل البيت مكانتهم اللائقة في الخطاب الديني العام: حبّاً وتقديراً وتعريفاً بسيرتهم. وعلى الشيعة أن يحفظوا للصحابة الكرام مكانتهم، وأن يكفّوا عن سبّهم. هذه التسوية ليست تنازلاً، بل عودة إلى ما كان عليه التراث الإسلامي الأصيل قبل التشنّج.</w:t>
      </w:r>
    </w:p>
    <w:bookmarkEnd w:id="109"/>
    <w:bookmarkEnd w:id="110"/>
    <w:bookmarkStart w:id="116" w:name="خمس-خطوات-على-المستوى-السياسي"/>
    <w:p>
      <w:pPr>
        <w:pStyle w:val="Heading2"/>
      </w:pPr>
      <w:r>
        <w:t xml:space="preserve">8.3 خمس خطوات على المستوى السياسي</w:t>
      </w:r>
    </w:p>
    <w:bookmarkStart w:id="111" w:name="Xf16090b17f710aff1c7654c5bbd3855b86c1ac8"/>
    <w:p>
      <w:pPr>
        <w:pStyle w:val="Heading3"/>
      </w:pPr>
      <w:r>
        <w:t xml:space="preserve">الأولى: فصل الحوار الديني عن المنافسات السياسية</w:t>
      </w:r>
    </w:p>
    <w:p>
      <w:pPr>
        <w:pStyle w:val="FirstParagraph"/>
      </w:pPr>
      <w:r>
        <w:t xml:space="preserve">على إيران والسعودية وتركيا والعراق ومصر والإمارات أن تتفق — ولو ضمنياً — على أنّ التنافس الجيوسياسي بينها لا يُترجَم إلى خطاب طائفي عابر للحدود. التنافس بين الدول قديم وقائم، لكنّ تحويله إلى حرب مذاهب جريمة بحقّ شعوب لا ذنب لها.</w:t>
      </w:r>
    </w:p>
    <w:bookmarkEnd w:id="111"/>
    <w:bookmarkStart w:id="112" w:name="الثانية-إنهاء-حروب-الوكالة"/>
    <w:p>
      <w:pPr>
        <w:pStyle w:val="Heading3"/>
      </w:pPr>
      <w:r>
        <w:t xml:space="preserve">الثانية: إنهاء حروب الوكالة</w:t>
      </w:r>
    </w:p>
    <w:p>
      <w:pPr>
        <w:pStyle w:val="FirstParagraph"/>
      </w:pPr>
      <w:r>
        <w:t xml:space="preserve">ما يجري في اليمن والعراق ولبنان وسوريا منذ عقود ليس حرباً بين أهل البلد، بل حرب وكالة تُستخدم فيها الميليشيات والأجنحة المسلّحة لتصفية حسابات إقليمية. توقّف هذه الحروب يحرّر الأمة.</w:t>
      </w:r>
    </w:p>
    <w:bookmarkEnd w:id="112"/>
    <w:bookmarkStart w:id="113" w:name="الثالثة-ميثاق-إسلامي-للمواطنة"/>
    <w:p>
      <w:pPr>
        <w:pStyle w:val="Heading3"/>
      </w:pPr>
      <w:r>
        <w:t xml:space="preserve">الثالثة: ميثاق إسلامي للمواطنة</w:t>
      </w:r>
    </w:p>
    <w:p>
      <w:pPr>
        <w:pStyle w:val="FirstParagraph"/>
      </w:pPr>
      <w:r>
        <w:t xml:space="preserve">كل دولة إسلامية فيها أقليات مذهبية. على الدول أن تتفق على ميثاق يكفل لكلّ مواطن مذهبيّته في حدود الدولة، دون أن يُستخدم ذلك ذريعةً للتفتيت أو الولاء الخارجي.</w:t>
      </w:r>
    </w:p>
    <w:bookmarkEnd w:id="113"/>
    <w:bookmarkStart w:id="114" w:name="X6035e6896331a91d85cff78059c0abc0a025207"/>
    <w:p>
      <w:pPr>
        <w:pStyle w:val="Heading3"/>
      </w:pPr>
      <w:r>
        <w:t xml:space="preserve">الرابعة: الموقف الموحَّد من القضية الفلسطينية</w:t>
      </w:r>
    </w:p>
    <w:p>
      <w:pPr>
        <w:pStyle w:val="FirstParagraph"/>
      </w:pPr>
      <w:r>
        <w:t xml:space="preserve">القدس قضية إسلامية كبرى، لا سنّية ولا شيعية. كلّ المسلمين يُصلّون باتجاهها كانت قبلتهم الأولى. إنّ بناء موقف موحَّد منها هو أعظم اختبار لجدّية التقارب. ومن يستطيع أن يقف صفاً واحداً في وجه احتلال الأقصى، يستطيع أن يقف صفاً واحداً أمام كل تحدّيات الأمة.</w:t>
      </w:r>
    </w:p>
    <w:bookmarkEnd w:id="114"/>
    <w:bookmarkStart w:id="115" w:name="الخامسة-التعاون-الاقتصادي"/>
    <w:p>
      <w:pPr>
        <w:pStyle w:val="Heading3"/>
      </w:pPr>
      <w:r>
        <w:t xml:space="preserve">الخامسة: التعاون الاقتصادي</w:t>
      </w:r>
    </w:p>
    <w:p>
      <w:pPr>
        <w:pStyle w:val="FirstParagraph"/>
      </w:pPr>
      <w:r>
        <w:t xml:space="preserve">الاقتصاد المشترك يُنشئ مصالح مشتركة، والمصالح المشتركة تُحفّز السلام. منطقة تجارة حرّة بين الدول الإسلامية، استثمارات متبادلة، تبادل تكنولوجي — كل هذا يخلق أرضية ماديّة للوحدة، أصلب من الخطابات.</w:t>
      </w:r>
    </w:p>
    <w:bookmarkEnd w:id="115"/>
    <w:bookmarkEnd w:id="116"/>
    <w:bookmarkStart w:id="120" w:name="ثلاث-خطوات-على-المستوى-الفردي"/>
    <w:p>
      <w:pPr>
        <w:pStyle w:val="Heading2"/>
      </w:pPr>
      <w:r>
        <w:t xml:space="preserve">8.4 ثلاث خطوات على المستوى الفردي</w:t>
      </w:r>
    </w:p>
    <w:p>
      <w:pPr>
        <w:pStyle w:val="FirstParagraph"/>
      </w:pPr>
      <w:r>
        <w:t xml:space="preserve">التقارب ليس مسؤولية المؤسسات والدول وحدها. كل واحد منّا يستطيع أن يُسهم:</w:t>
      </w:r>
    </w:p>
    <w:bookmarkStart w:id="117" w:name="X4ef4625a2a247c04b0eb12feac0396823a0186d"/>
    <w:p>
      <w:pPr>
        <w:pStyle w:val="Heading3"/>
      </w:pPr>
      <w:r>
        <w:t xml:space="preserve">الأولى: أن نقرأ المذهب الآخر من مصادره الأصلية</w:t>
      </w:r>
    </w:p>
    <w:p>
      <w:pPr>
        <w:pStyle w:val="FirstParagraph"/>
      </w:pPr>
      <w:r>
        <w:t xml:space="preserve">لا تأخذ معلوماتك عن الشيعة من شيخ سنّي خصم، ولا معلوماتك عن السنة من شيخ شيعي خصم. اقرأ الكافي للكليني إذا كنت سنيّاً، واقرأ صحيح البخاري إذا كنت شيعيّاً. ستُفاجَأ بالاتفاق العميق، وستفهم الخلاف بدقّة بدلاً من توهّمه.</w:t>
      </w:r>
    </w:p>
    <w:bookmarkEnd w:id="117"/>
    <w:bookmarkStart w:id="118" w:name="الثانية-أن-نختبر-الخطاب-الذي-نسمعه"/>
    <w:p>
      <w:pPr>
        <w:pStyle w:val="Heading3"/>
      </w:pPr>
      <w:r>
        <w:t xml:space="preserve">الثانية: أن نختبر الخطاب الذي نسمعه</w:t>
      </w:r>
    </w:p>
    <w:p>
      <w:pPr>
        <w:pStyle w:val="FirstParagraph"/>
      </w:pPr>
      <w:r>
        <w:t xml:space="preserve">كلّ خطاب يُكفّر مذهباً بأكمله، أو يُشيطن طرفاً، خطاب مشبوه. اسأل: من المستفيد من هذا الخطاب؟ من الذي يموّل هذه القناة؟ ولماذا يُعلى صوت التحريض على صوت العلم؟</w:t>
      </w:r>
    </w:p>
    <w:bookmarkEnd w:id="118"/>
    <w:bookmarkStart w:id="119" w:name="الثالثة-أن-نغلق-النار-حين-تشعل-أمامنا"/>
    <w:p>
      <w:pPr>
        <w:pStyle w:val="Heading3"/>
      </w:pPr>
      <w:r>
        <w:t xml:space="preserve">الثالثة: أن نُغلق النار حين تُشعَل أمامنا</w:t>
      </w:r>
    </w:p>
    <w:p>
      <w:pPr>
        <w:pStyle w:val="FirstParagraph"/>
      </w:pPr>
      <w:r>
        <w:t xml:space="preserve">في كل مجلس، في كل وسيلة تواصل، حين يُلهِب أحدهم الفتنة المذهبية، اعترض. الصمت إقرار. الكلمة الواحدة الهادئة قد توقف انجراف عشرة أشخاص.</w:t>
      </w:r>
    </w:p>
    <w:bookmarkEnd w:id="119"/>
    <w:bookmarkEnd w:id="120"/>
    <w:bookmarkStart w:id="121" w:name="شهادة-قرآنية-ختامية"/>
    <w:p>
      <w:pPr>
        <w:pStyle w:val="Heading2"/>
      </w:pPr>
      <w:r>
        <w:t xml:space="preserve">8.5 شهادة قرآنية ختامية</w:t>
      </w:r>
    </w:p>
    <w:p>
      <w:pPr>
        <w:pStyle w:val="FirstParagraph"/>
      </w:pPr>
      <w:r>
        <w:t xml:space="preserve">﴿وَلَوْ شَاءَ رَبُّكَ لَجَعَلَ النَّاسَ أُمَّةً وَاحِدَةً وَلَا يَزَالُونَ مُخْتَلِفِينَ * إِلَّا مَن رَّحِمَ رَبُّكَ وَلِذَٰلِكَ خَلَقَهُمْ﴾</w:t>
      </w:r>
      <w:r>
        <w:t xml:space="preserve"> </w:t>
      </w:r>
      <w:r>
        <w:t xml:space="preserve">هود: 118-119</w:t>
      </w:r>
    </w:p>
    <w:p>
      <w:pPr>
        <w:pStyle w:val="BodyText"/>
      </w:pPr>
      <w:r>
        <w:t xml:space="preserve">الله جعل الاختلاف سنّة كونية. لكنّه استثنى من رحم بهم: هم الذين يستوعبون الاختلاف ولا يجعلونه قتالاً. أن نختلف فقهياً وكلامياً، هذا طبيعي. أن نتنازع ونتقاتل ونُكفّر، هذا انحراف عن سنّة الرحمة.</w:t>
      </w:r>
    </w:p>
    <w:bookmarkEnd w:id="121"/>
    <w:bookmarkStart w:id="122" w:name="خلاصة-الفصل-والكتاب"/>
    <w:p>
      <w:pPr>
        <w:pStyle w:val="Heading2"/>
      </w:pPr>
      <w:r>
        <w:t xml:space="preserve">8.6 خلاصة الفصل والكتاب</w:t>
      </w:r>
    </w:p>
    <w:p>
      <w:pPr>
        <w:pStyle w:val="FirstParagraph"/>
      </w:pPr>
      <w:r>
        <w:t xml:space="preserve">طريق التقارب طويل، لكنّ كل خطوة فيه ممكنة. لا أحد ينتظر من السنّي أن يصبح شيعياً، ولا من الشيعي أن يصبح سنياً. المطلوب أن نعرف بعضنا، وأن نحترم اختلافنا، وأن نتّحد على ما هو أعظم من خلافنا. والقادم في الصفحات التالية هو خاتمة تختصر لك ما طال شرحه، ثم المراجع، ثم الترجمة الإنجليزية لمن يريد أن يصل بهذا الخطاب إلى من لا يقرأ العربية.</w:t>
      </w:r>
    </w:p>
    <w:bookmarkEnd w:id="122"/>
    <w:bookmarkEnd w:id="123"/>
    <w:bookmarkStart w:id="124" w:name="الخاتمةكلمات-أخيرة"/>
    <w:p>
      <w:pPr>
        <w:pStyle w:val="Heading1"/>
      </w:pPr>
      <w:r>
        <w:t xml:space="preserve">الخاتمة</w:t>
      </w:r>
      <w:r>
        <w:t xml:space="preserve">كلمات أخيرة</w:t>
      </w:r>
    </w:p>
    <w:p>
      <w:pPr>
        <w:pStyle w:val="FirstParagraph"/>
      </w:pPr>
      <w:r>
        <w:t xml:space="preserve">وصلتُ إلى الصفحة الأخيرة من هذا الكتاب وفي قلبي ما في قلب كل مسلم صادق: ألمٌ لما آلت إليه أمتنا، ورجاءٌ بأنّ الأمر لم يفتْ بعد. كتبتُ ما كتبتُ بنيّة واحدة: أن أُقدّم للقارئ — سنياً كان أو شيعياً — صورة هادئة، علمية، منصفة، تكشف الجوهر من القشور، والحقيقة من الإشاعة، والدين من توظيفه.</w:t>
      </w:r>
    </w:p>
    <w:p>
      <w:pPr>
        <w:pStyle w:val="BodyText"/>
      </w:pPr>
      <w:r>
        <w:t xml:space="preserve">إذا كانت الفصول السابقة قد أوصلت رسالة، فهي هذه:</w:t>
      </w:r>
    </w:p>
    <w:p>
      <w:pPr>
        <w:numPr>
          <w:ilvl w:val="0"/>
          <w:numId w:val="1029"/>
        </w:numPr>
        <w:pStyle w:val="Compact"/>
      </w:pPr>
      <w:r>
        <w:rPr>
          <w:bCs/>
          <w:b/>
        </w:rPr>
        <w:t xml:space="preserve">الإسلام واحد.</w:t>
      </w:r>
      <w:r>
        <w:t xml:space="preserve"> </w:t>
      </w:r>
      <w:r>
        <w:t xml:space="preserve">القرآن واحد، النبي واحد، القبلة واحدة، أركان الإيمان واحدة، أركان الإسلام واحدة. كلّ خلاف فيما عدا ذلك هو فرعٌ يُدار، لا أصلٌ يُقاتَل من أجله.</w:t>
      </w:r>
    </w:p>
    <w:p>
      <w:pPr>
        <w:numPr>
          <w:ilvl w:val="0"/>
          <w:numId w:val="1029"/>
        </w:numPr>
        <w:pStyle w:val="Compact"/>
      </w:pPr>
      <w:r>
        <w:rPr>
          <w:bCs/>
          <w:b/>
        </w:rPr>
        <w:t xml:space="preserve">الخلاف بدأ سياسياً.</w:t>
      </w:r>
      <w:r>
        <w:t xml:space="preserve"> </w:t>
      </w:r>
      <w:r>
        <w:t xml:space="preserve">ولُبست له ألبسة دينية لاحقة. ومَن يُعِد قراءة التاريخ بعينٍ منصفة يرى ذلك بوضوح.</w:t>
      </w:r>
    </w:p>
    <w:p>
      <w:pPr>
        <w:numPr>
          <w:ilvl w:val="0"/>
          <w:numId w:val="1029"/>
        </w:numPr>
        <w:pStyle w:val="Compact"/>
      </w:pPr>
      <w:r>
        <w:rPr>
          <w:bCs/>
          <w:b/>
        </w:rPr>
        <w:t xml:space="preserve">الفروق العقدية الحقيقية محدودة.</w:t>
      </w:r>
      <w:r>
        <w:t xml:space="preserve"> </w:t>
      </w:r>
      <w:r>
        <w:t xml:space="preserve">خمس مسائل تقريباً، وكلّها لا تُخرج المسلم من إسلامه عند كبار علماء الفريقين.</w:t>
      </w:r>
    </w:p>
    <w:p>
      <w:pPr>
        <w:numPr>
          <w:ilvl w:val="0"/>
          <w:numId w:val="1029"/>
        </w:numPr>
        <w:pStyle w:val="Compact"/>
      </w:pPr>
      <w:r>
        <w:rPr>
          <w:bCs/>
          <w:b/>
        </w:rPr>
        <w:t xml:space="preserve">الفروق الفقهية مماثلة لما بين المذاهب السنية أنفسها.</w:t>
      </w:r>
      <w:r>
        <w:t xml:space="preserve"> </w:t>
      </w:r>
      <w:r>
        <w:t xml:space="preserve">ولا تستحقّ كل هذا التوتر.</w:t>
      </w:r>
    </w:p>
    <w:p>
      <w:pPr>
        <w:numPr>
          <w:ilvl w:val="0"/>
          <w:numId w:val="1029"/>
        </w:numPr>
        <w:pStyle w:val="Compact"/>
      </w:pPr>
      <w:r>
        <w:rPr>
          <w:bCs/>
          <w:b/>
        </w:rPr>
        <w:t xml:space="preserve">القوى الخارجية تستفيد من انقسامنا.</w:t>
      </w:r>
      <w:r>
        <w:t xml:space="preserve"> </w:t>
      </w:r>
      <w:r>
        <w:t xml:space="preserve">ولها أدوات نشطة لإبقاء النار مشتعلة.</w:t>
      </w:r>
    </w:p>
    <w:p>
      <w:pPr>
        <w:numPr>
          <w:ilvl w:val="0"/>
          <w:numId w:val="1029"/>
        </w:numPr>
        <w:pStyle w:val="Compact"/>
      </w:pPr>
      <w:r>
        <w:rPr>
          <w:bCs/>
          <w:b/>
        </w:rPr>
        <w:t xml:space="preserve">التقارب ممكن.</w:t>
      </w:r>
      <w:r>
        <w:t xml:space="preserve"> </w:t>
      </w:r>
      <w:r>
        <w:t xml:space="preserve">ولديه شواهد تاريخية ومعاصرة، إذا توفّرت إرادة مشتركة.</w:t>
      </w:r>
    </w:p>
    <w:p>
      <w:pPr>
        <w:pStyle w:val="FirstParagraph"/>
      </w:pPr>
      <w:r>
        <w:t xml:space="preserve">الدعوة إلى التقارب ليست دعوة سياسية، ولا دعوة طوباوية، ولا دعوة لتمييع العقائد. هي دعوة قرآنية:</w:t>
      </w:r>
    </w:p>
    <w:p>
      <w:pPr>
        <w:pStyle w:val="BodyText"/>
      </w:pPr>
      <w:r>
        <w:t xml:space="preserve">﴿وَأَنَّ هَٰذَا صِرَاطِي مُسْتَقِيمًا فَاتَّبِعُوهُ ۖ وَلَا تَتَّبِعُوا السُّبُلَ فَتَفَرَّقَ بِكُمْ عَن سَبِيلِهِ﴾</w:t>
      </w:r>
      <w:r>
        <w:t xml:space="preserve"> </w:t>
      </w:r>
      <w:r>
        <w:t xml:space="preserve">الأنعام: 153</w:t>
      </w:r>
    </w:p>
    <w:p>
      <w:pPr>
        <w:pStyle w:val="BodyText"/>
      </w:pPr>
      <w:r>
        <w:t xml:space="preserve">«صراطٌ مستقيمٌ» مفرد، و«السبل» جمع. النبي صلى الله عليه وسلم خطّ خطّاً وحوله خطوطاً، وقال: «هذا سبيل الله، وهذه سُبُلٌ على كلّ سبيل منها شيطان يدعو إليه». ومن أعظم سبل الشيطان اليوم: تحويل المسلم إلى عدوٍّ لأخيه المسلم.</w:t>
      </w:r>
    </w:p>
    <w:p>
      <w:pPr>
        <w:pStyle w:val="BodyText"/>
      </w:pPr>
      <w:r>
        <w:t xml:space="preserve">إنّ الأمم لا تنهض بوحدة عسكرية فقط، ولا بوحدة اقتصادية فقط، بل بوحدة وجدانية تجعل كلّ فرد فيها يشعر بالمسؤولية تجاه كلّ فرد آخر. ونحن أمّة لها رصيد روحي ضخم: قرآن واحد، نبي واحد، تاريخ واحد، مقدّسات واحدة. تبقى علينا أن نُحسن استثمار هذا الرصيد، بدلاً من إضاعته في معارك جانبية يدفع ثمنها الفقير قبل الغني، والمدني قبل المقاتل، والطفل قبل الشيخ.</w:t>
      </w:r>
    </w:p>
    <w:p>
      <w:pPr>
        <w:pStyle w:val="BodyText"/>
      </w:pPr>
      <w:r>
        <w:t xml:space="preserve">أُهدي هذا العمل إلى كل قلبٍ مسلمٍ يؤلمه ما آل إليه واقع الأمة، وإلى كل عقلٍ يبحث عن الحقيقة بعيداً عن الطائفية، وإلى كل عالمٍ سنّي وشيعي يصدق في دعوته للتقارب رغم ما يلقاه من تشكيك وانتقاد. لكم جميعاً، شكراً.</w:t>
      </w:r>
    </w:p>
    <w:p>
      <w:pPr>
        <w:pStyle w:val="BodyText"/>
      </w:pPr>
      <w:r>
        <w:t xml:space="preserve">وأسأل الله أن يجعل هذا الجهد خالصاً لوجهه الكريم، وأن يجعله نافعاً، وأن يهدي الأمة سُبُل السلام، إنّه سميع مجيب.</w:t>
      </w:r>
    </w:p>
    <w:p>
      <w:pPr>
        <w:pStyle w:val="BodyText"/>
      </w:pPr>
      <w:r>
        <w:t xml:space="preserve">والله أعلم</w:t>
      </w:r>
    </w:p>
    <w:p>
      <w:pPr>
        <w:pStyle w:val="BodyText"/>
      </w:pPr>
      <w:r>
        <w:t xml:space="preserve">وصلّى الله على سيّدنا محمد وعلى آله وصحبه أجمعين</w:t>
      </w:r>
    </w:p>
    <w:bookmarkEnd w:id="124"/>
    <w:bookmarkStart w:id="131" w:name="المراجع-العلمية"/>
    <w:p>
      <w:pPr>
        <w:pStyle w:val="Heading1"/>
      </w:pPr>
      <w:r>
        <w:t xml:space="preserve">المراجع العلمية</w:t>
      </w:r>
    </w:p>
    <w:bookmarkStart w:id="125" w:name="أولا-التفسير-وعلوم-القرآن"/>
    <w:p>
      <w:pPr>
        <w:pStyle w:val="Heading2"/>
      </w:pPr>
      <w:r>
        <w:t xml:space="preserve">أوّلاً: التفسير وعلوم القرآن</w:t>
      </w:r>
    </w:p>
    <w:p>
      <w:pPr>
        <w:numPr>
          <w:ilvl w:val="0"/>
          <w:numId w:val="1030"/>
        </w:numPr>
        <w:pStyle w:val="Compact"/>
      </w:pPr>
      <w:r>
        <w:t xml:space="preserve">الطبري، محمد بن جرير.</w:t>
      </w:r>
      <w:r>
        <w:t xml:space="preserve"> </w:t>
      </w:r>
      <w:r>
        <w:rPr>
          <w:iCs/>
          <w:i/>
        </w:rPr>
        <w:t xml:space="preserve">جامع البيان عن تأويل آي القرآن</w:t>
      </w:r>
      <w:r>
        <w:t xml:space="preserve">. دار هجر، 2001.</w:t>
      </w:r>
    </w:p>
    <w:p>
      <w:pPr>
        <w:numPr>
          <w:ilvl w:val="0"/>
          <w:numId w:val="1030"/>
        </w:numPr>
        <w:pStyle w:val="Compact"/>
      </w:pPr>
      <w:r>
        <w:t xml:space="preserve">القرطبي، محمد بن أحمد.</w:t>
      </w:r>
      <w:r>
        <w:t xml:space="preserve"> </w:t>
      </w:r>
      <w:r>
        <w:rPr>
          <w:iCs/>
          <w:i/>
        </w:rPr>
        <w:t xml:space="preserve">الجامع لأحكام القرآن</w:t>
      </w:r>
      <w:r>
        <w:t xml:space="preserve">. مؤسسة الرسالة، 2006.</w:t>
      </w:r>
    </w:p>
    <w:p>
      <w:pPr>
        <w:numPr>
          <w:ilvl w:val="0"/>
          <w:numId w:val="1030"/>
        </w:numPr>
        <w:pStyle w:val="Compact"/>
      </w:pPr>
      <w:r>
        <w:t xml:space="preserve">ابن كثير، إسماعيل.</w:t>
      </w:r>
      <w:r>
        <w:t xml:space="preserve"> </w:t>
      </w:r>
      <w:r>
        <w:rPr>
          <w:iCs/>
          <w:i/>
        </w:rPr>
        <w:t xml:space="preserve">تفسير القرآن العظيم</w:t>
      </w:r>
      <w:r>
        <w:t xml:space="preserve">. دار طيبة، 1999.</w:t>
      </w:r>
    </w:p>
    <w:p>
      <w:pPr>
        <w:numPr>
          <w:ilvl w:val="0"/>
          <w:numId w:val="1030"/>
        </w:numPr>
        <w:pStyle w:val="Compact"/>
      </w:pPr>
      <w:r>
        <w:t xml:space="preserve">الطباطبائي، محمد حسين.</w:t>
      </w:r>
      <w:r>
        <w:t xml:space="preserve"> </w:t>
      </w:r>
      <w:r>
        <w:rPr>
          <w:iCs/>
          <w:i/>
        </w:rPr>
        <w:t xml:space="preserve">الميزان في تفسير القرآن</w:t>
      </w:r>
      <w:r>
        <w:t xml:space="preserve">. مؤسسة الأعلمي، 1997.</w:t>
      </w:r>
    </w:p>
    <w:p>
      <w:pPr>
        <w:numPr>
          <w:ilvl w:val="0"/>
          <w:numId w:val="1030"/>
        </w:numPr>
        <w:pStyle w:val="Compact"/>
      </w:pPr>
      <w:r>
        <w:t xml:space="preserve">المراغي، أحمد مصطفى.</w:t>
      </w:r>
      <w:r>
        <w:t xml:space="preserve"> </w:t>
      </w:r>
      <w:r>
        <w:rPr>
          <w:iCs/>
          <w:i/>
        </w:rPr>
        <w:t xml:space="preserve">تفسير المراغي</w:t>
      </w:r>
      <w:r>
        <w:t xml:space="preserve">. دار الفكر، بيروت.</w:t>
      </w:r>
    </w:p>
    <w:p>
      <w:pPr>
        <w:numPr>
          <w:ilvl w:val="0"/>
          <w:numId w:val="1030"/>
        </w:numPr>
        <w:pStyle w:val="Compact"/>
      </w:pPr>
      <w:r>
        <w:t xml:space="preserve">سيد قطب.</w:t>
      </w:r>
      <w:r>
        <w:t xml:space="preserve"> </w:t>
      </w:r>
      <w:r>
        <w:rPr>
          <w:iCs/>
          <w:i/>
        </w:rPr>
        <w:t xml:space="preserve">في ظلال القرآن</w:t>
      </w:r>
      <w:r>
        <w:t xml:space="preserve">. دار الشروق، القاهرة.</w:t>
      </w:r>
    </w:p>
    <w:bookmarkEnd w:id="125"/>
    <w:bookmarkStart w:id="126" w:name="ثانيا-الحديث-والسيرة"/>
    <w:p>
      <w:pPr>
        <w:pStyle w:val="Heading2"/>
      </w:pPr>
      <w:r>
        <w:t xml:space="preserve">ثانياً: الحديث والسيرة</w:t>
      </w:r>
    </w:p>
    <w:p>
      <w:pPr>
        <w:numPr>
          <w:ilvl w:val="0"/>
          <w:numId w:val="1031"/>
        </w:numPr>
        <w:pStyle w:val="Compact"/>
      </w:pPr>
      <w:r>
        <w:t xml:space="preserve">البخاري، محمد بن إسماعيل.</w:t>
      </w:r>
      <w:r>
        <w:t xml:space="preserve"> </w:t>
      </w:r>
      <w:r>
        <w:rPr>
          <w:iCs/>
          <w:i/>
        </w:rPr>
        <w:t xml:space="preserve">الجامع الصحيح</w:t>
      </w:r>
      <w:r>
        <w:t xml:space="preserve">. دار طوق النجاة، 2001.</w:t>
      </w:r>
    </w:p>
    <w:p>
      <w:pPr>
        <w:numPr>
          <w:ilvl w:val="0"/>
          <w:numId w:val="1031"/>
        </w:numPr>
        <w:pStyle w:val="Compact"/>
      </w:pPr>
      <w:r>
        <w:t xml:space="preserve">مسلم بن الحجاج.</w:t>
      </w:r>
      <w:r>
        <w:t xml:space="preserve"> </w:t>
      </w:r>
      <w:r>
        <w:rPr>
          <w:iCs/>
          <w:i/>
        </w:rPr>
        <w:t xml:space="preserve">صحيح مسلم</w:t>
      </w:r>
      <w:r>
        <w:t xml:space="preserve">. دار إحياء التراث، بيروت.</w:t>
      </w:r>
    </w:p>
    <w:p>
      <w:pPr>
        <w:numPr>
          <w:ilvl w:val="0"/>
          <w:numId w:val="1031"/>
        </w:numPr>
        <w:pStyle w:val="Compact"/>
      </w:pPr>
      <w:r>
        <w:t xml:space="preserve">الكليني، محمد بن يعقوب.</w:t>
      </w:r>
      <w:r>
        <w:t xml:space="preserve"> </w:t>
      </w:r>
      <w:r>
        <w:rPr>
          <w:iCs/>
          <w:i/>
        </w:rPr>
        <w:t xml:space="preserve">الكافي</w:t>
      </w:r>
      <w:r>
        <w:t xml:space="preserve">. دار الكتب الإسلامية، طهران.</w:t>
      </w:r>
    </w:p>
    <w:p>
      <w:pPr>
        <w:numPr>
          <w:ilvl w:val="0"/>
          <w:numId w:val="1031"/>
        </w:numPr>
        <w:pStyle w:val="Compact"/>
      </w:pPr>
      <w:r>
        <w:t xml:space="preserve">ابن هشام، عبد الملك.</w:t>
      </w:r>
      <w:r>
        <w:t xml:space="preserve"> </w:t>
      </w:r>
      <w:r>
        <w:rPr>
          <w:iCs/>
          <w:i/>
        </w:rPr>
        <w:t xml:space="preserve">السيرة النبوية</w:t>
      </w:r>
      <w:r>
        <w:t xml:space="preserve">. دار الجيل، بيروت.</w:t>
      </w:r>
    </w:p>
    <w:p>
      <w:pPr>
        <w:numPr>
          <w:ilvl w:val="0"/>
          <w:numId w:val="1031"/>
        </w:numPr>
        <w:pStyle w:val="Compact"/>
      </w:pPr>
      <w:r>
        <w:t xml:space="preserve">الطبري.</w:t>
      </w:r>
      <w:r>
        <w:t xml:space="preserve"> </w:t>
      </w:r>
      <w:r>
        <w:rPr>
          <w:iCs/>
          <w:i/>
        </w:rPr>
        <w:t xml:space="preserve">تاريخ الأمم والملوك</w:t>
      </w:r>
      <w:r>
        <w:t xml:space="preserve">. دار التراث، 1967.</w:t>
      </w:r>
    </w:p>
    <w:bookmarkEnd w:id="126"/>
    <w:bookmarkStart w:id="127" w:name="ثالثا-العقيدة-والفرق"/>
    <w:p>
      <w:pPr>
        <w:pStyle w:val="Heading2"/>
      </w:pPr>
      <w:r>
        <w:t xml:space="preserve">ثالثاً: العقيدة والفِرَق</w:t>
      </w:r>
    </w:p>
    <w:p>
      <w:pPr>
        <w:numPr>
          <w:ilvl w:val="0"/>
          <w:numId w:val="1032"/>
        </w:numPr>
        <w:pStyle w:val="Compact"/>
      </w:pPr>
      <w:r>
        <w:t xml:space="preserve">الأشعري، أبو الحسن.</w:t>
      </w:r>
      <w:r>
        <w:t xml:space="preserve"> </w:t>
      </w:r>
      <w:r>
        <w:rPr>
          <w:iCs/>
          <w:i/>
        </w:rPr>
        <w:t xml:space="preserve">مقالات الإسلاميين واختلاف المصلّين</w:t>
      </w:r>
      <w:r>
        <w:t xml:space="preserve">. مكتبة النهضة المصرية.</w:t>
      </w:r>
    </w:p>
    <w:p>
      <w:pPr>
        <w:numPr>
          <w:ilvl w:val="0"/>
          <w:numId w:val="1032"/>
        </w:numPr>
        <w:pStyle w:val="Compact"/>
      </w:pPr>
      <w:r>
        <w:t xml:space="preserve">الشهرستاني، محمد بن عبد الكريم.</w:t>
      </w:r>
      <w:r>
        <w:t xml:space="preserve"> </w:t>
      </w:r>
      <w:r>
        <w:rPr>
          <w:iCs/>
          <w:i/>
        </w:rPr>
        <w:t xml:space="preserve">الملل والنحل</w:t>
      </w:r>
      <w:r>
        <w:t xml:space="preserve">. دار المعرفة، بيروت.</w:t>
      </w:r>
    </w:p>
    <w:p>
      <w:pPr>
        <w:numPr>
          <w:ilvl w:val="0"/>
          <w:numId w:val="1032"/>
        </w:numPr>
        <w:pStyle w:val="Compact"/>
      </w:pPr>
      <w:r>
        <w:t xml:space="preserve">المفيد، محمد بن النعمان.</w:t>
      </w:r>
      <w:r>
        <w:t xml:space="preserve"> </w:t>
      </w:r>
      <w:r>
        <w:rPr>
          <w:iCs/>
          <w:i/>
        </w:rPr>
        <w:t xml:space="preserve">أوائل المقالات</w:t>
      </w:r>
      <w:r>
        <w:t xml:space="preserve">. المؤتمر العالمي للشيخ المفيد، قم.</w:t>
      </w:r>
    </w:p>
    <w:p>
      <w:pPr>
        <w:numPr>
          <w:ilvl w:val="0"/>
          <w:numId w:val="1032"/>
        </w:numPr>
        <w:pStyle w:val="Compact"/>
      </w:pPr>
      <w:r>
        <w:t xml:space="preserve">الرضي، الشريف.</w:t>
      </w:r>
      <w:r>
        <w:t xml:space="preserve"> </w:t>
      </w:r>
      <w:r>
        <w:rPr>
          <w:iCs/>
          <w:i/>
        </w:rPr>
        <w:t xml:space="preserve">نهج البلاغة</w:t>
      </w:r>
      <w:r>
        <w:t xml:space="preserve">. مؤسسة الأعلمي، بيروت.</w:t>
      </w:r>
    </w:p>
    <w:p>
      <w:pPr>
        <w:numPr>
          <w:ilvl w:val="0"/>
          <w:numId w:val="1032"/>
        </w:numPr>
        <w:pStyle w:val="Compact"/>
      </w:pPr>
      <w:r>
        <w:t xml:space="preserve">ابن تيمية، أحمد.</w:t>
      </w:r>
      <w:r>
        <w:t xml:space="preserve"> </w:t>
      </w:r>
      <w:r>
        <w:rPr>
          <w:iCs/>
          <w:i/>
        </w:rPr>
        <w:t xml:space="preserve">منهاج السنة النبوية</w:t>
      </w:r>
      <w:r>
        <w:t xml:space="preserve">. جامعة الإمام محمد بن سعود، الرياض.</w:t>
      </w:r>
    </w:p>
    <w:bookmarkEnd w:id="127"/>
    <w:bookmarkStart w:id="128" w:name="رابعا-التقريب-بين-المذاهب"/>
    <w:p>
      <w:pPr>
        <w:pStyle w:val="Heading2"/>
      </w:pPr>
      <w:r>
        <w:t xml:space="preserve">رابعاً: التقريب بين المذاهب</w:t>
      </w:r>
    </w:p>
    <w:p>
      <w:pPr>
        <w:numPr>
          <w:ilvl w:val="0"/>
          <w:numId w:val="1033"/>
        </w:numPr>
        <w:pStyle w:val="Compact"/>
      </w:pPr>
      <w:r>
        <w:t xml:space="preserve">شلتوت، محمود.</w:t>
      </w:r>
      <w:r>
        <w:t xml:space="preserve"> </w:t>
      </w:r>
      <w:r>
        <w:rPr>
          <w:iCs/>
          <w:i/>
        </w:rPr>
        <w:t xml:space="preserve">الإسلام عقيدة وشريعة</w:t>
      </w:r>
      <w:r>
        <w:t xml:space="preserve">. دار الشروق، القاهرة.</w:t>
      </w:r>
    </w:p>
    <w:p>
      <w:pPr>
        <w:numPr>
          <w:ilvl w:val="0"/>
          <w:numId w:val="1033"/>
        </w:numPr>
        <w:pStyle w:val="Compact"/>
      </w:pPr>
      <w:r>
        <w:t xml:space="preserve">القرضاوي، يوسف.</w:t>
      </w:r>
      <w:r>
        <w:t xml:space="preserve"> </w:t>
      </w:r>
      <w:r>
        <w:rPr>
          <w:iCs/>
          <w:i/>
        </w:rPr>
        <w:t xml:space="preserve">مبادئ في الحوار والتقريب بين المذاهب الإسلامية</w:t>
      </w:r>
      <w:r>
        <w:t xml:space="preserve">. دار القلم، دمشق.</w:t>
      </w:r>
    </w:p>
    <w:p>
      <w:pPr>
        <w:numPr>
          <w:ilvl w:val="0"/>
          <w:numId w:val="1033"/>
        </w:numPr>
        <w:pStyle w:val="Compact"/>
      </w:pPr>
      <w:r>
        <w:t xml:space="preserve">فضل الله، محمد حسين.</w:t>
      </w:r>
      <w:r>
        <w:t xml:space="preserve"> </w:t>
      </w:r>
      <w:r>
        <w:rPr>
          <w:iCs/>
          <w:i/>
        </w:rPr>
        <w:t xml:space="preserve">الحوار في القرآن</w:t>
      </w:r>
      <w:r>
        <w:t xml:space="preserve">. دار الملاك، بيروت.</w:t>
      </w:r>
    </w:p>
    <w:p>
      <w:pPr>
        <w:numPr>
          <w:ilvl w:val="0"/>
          <w:numId w:val="1033"/>
        </w:numPr>
        <w:pStyle w:val="Compact"/>
      </w:pPr>
      <w:r>
        <w:t xml:space="preserve">الصدر، محمد باقر.</w:t>
      </w:r>
      <w:r>
        <w:t xml:space="preserve"> </w:t>
      </w:r>
      <w:r>
        <w:rPr>
          <w:iCs/>
          <w:i/>
        </w:rPr>
        <w:t xml:space="preserve">فلسفتنا</w:t>
      </w:r>
      <w:r>
        <w:t xml:space="preserve">. دار التعارف للمطبوعات، بيروت.</w:t>
      </w:r>
    </w:p>
    <w:p>
      <w:pPr>
        <w:numPr>
          <w:ilvl w:val="0"/>
          <w:numId w:val="1033"/>
        </w:numPr>
        <w:pStyle w:val="Compact"/>
      </w:pPr>
      <w:r>
        <w:t xml:space="preserve">وثيقة عمّان (2004). نص الوثيقة الرسمي والموقّعون.</w:t>
      </w:r>
    </w:p>
    <w:bookmarkEnd w:id="128"/>
    <w:bookmarkStart w:id="129" w:name="خامسا-التاريخ-الإسلامي-والسياسي"/>
    <w:p>
      <w:pPr>
        <w:pStyle w:val="Heading2"/>
      </w:pPr>
      <w:r>
        <w:t xml:space="preserve">خامساً: التاريخ الإسلامي والسياسي</w:t>
      </w:r>
    </w:p>
    <w:p>
      <w:pPr>
        <w:numPr>
          <w:ilvl w:val="0"/>
          <w:numId w:val="1034"/>
        </w:numPr>
        <w:pStyle w:val="Compact"/>
      </w:pPr>
      <w:r>
        <w:t xml:space="preserve">الذهبي، شمس الدين.</w:t>
      </w:r>
      <w:r>
        <w:t xml:space="preserve"> </w:t>
      </w:r>
      <w:r>
        <w:rPr>
          <w:iCs/>
          <w:i/>
        </w:rPr>
        <w:t xml:space="preserve">سير أعلام النبلاء</w:t>
      </w:r>
      <w:r>
        <w:t xml:space="preserve">. مؤسسة الرسالة.</w:t>
      </w:r>
    </w:p>
    <w:p>
      <w:pPr>
        <w:numPr>
          <w:ilvl w:val="0"/>
          <w:numId w:val="1034"/>
        </w:numPr>
        <w:pStyle w:val="Compact"/>
      </w:pPr>
      <w:r>
        <w:t xml:space="preserve">المسعودي، علي بن الحسين.</w:t>
      </w:r>
      <w:r>
        <w:t xml:space="preserve"> </w:t>
      </w:r>
      <w:r>
        <w:rPr>
          <w:iCs/>
          <w:i/>
        </w:rPr>
        <w:t xml:space="preserve">مروج الذهب ومعادن الجوهر</w:t>
      </w:r>
      <w:r>
        <w:t xml:space="preserve">. دار الأندلس.</w:t>
      </w:r>
    </w:p>
    <w:p>
      <w:pPr>
        <w:numPr>
          <w:ilvl w:val="0"/>
          <w:numId w:val="1034"/>
        </w:numPr>
        <w:pStyle w:val="Compact"/>
      </w:pPr>
      <w:r>
        <w:t xml:space="preserve">اليعقوبي، أحمد بن أبي يعقوب.</w:t>
      </w:r>
      <w:r>
        <w:t xml:space="preserve"> </w:t>
      </w:r>
      <w:r>
        <w:rPr>
          <w:iCs/>
          <w:i/>
        </w:rPr>
        <w:t xml:space="preserve">تاريخ اليعقوبي</w:t>
      </w:r>
      <w:r>
        <w:t xml:space="preserve">. دار صادر، بيروت.</w:t>
      </w:r>
    </w:p>
    <w:p>
      <w:pPr>
        <w:numPr>
          <w:ilvl w:val="0"/>
          <w:numId w:val="1034"/>
        </w:numPr>
        <w:pStyle w:val="Compact"/>
      </w:pPr>
      <w:r>
        <w:t xml:space="preserve">ابن خلدون، عبد الرحمن.</w:t>
      </w:r>
      <w:r>
        <w:t xml:space="preserve"> </w:t>
      </w:r>
      <w:r>
        <w:rPr>
          <w:iCs/>
          <w:i/>
        </w:rPr>
        <w:t xml:space="preserve">المقدمة</w:t>
      </w:r>
      <w:r>
        <w:t xml:space="preserve">. دار الفكر، بيروت.</w:t>
      </w:r>
    </w:p>
    <w:p>
      <w:pPr>
        <w:numPr>
          <w:ilvl w:val="0"/>
          <w:numId w:val="1034"/>
        </w:numPr>
        <w:pStyle w:val="Compact"/>
      </w:pPr>
      <w:r>
        <w:t xml:space="preserve">الجابري، محمد عابد.</w:t>
      </w:r>
      <w:r>
        <w:t xml:space="preserve"> </w:t>
      </w:r>
      <w:r>
        <w:rPr>
          <w:iCs/>
          <w:i/>
        </w:rPr>
        <w:t xml:space="preserve">العقل السياسي العربي</w:t>
      </w:r>
      <w:r>
        <w:t xml:space="preserve">. مركز دراسات الوحدة العربية.</w:t>
      </w:r>
    </w:p>
    <w:bookmarkEnd w:id="129"/>
    <w:bookmarkStart w:id="130" w:name="سادسا-الدراسات-المعاصرة-والجيوسياسية"/>
    <w:p>
      <w:pPr>
        <w:pStyle w:val="Heading2"/>
      </w:pPr>
      <w:r>
        <w:t xml:space="preserve">سادساً: الدراسات المعاصرة والجيوسياسية</w:t>
      </w:r>
    </w:p>
    <w:p>
      <w:pPr>
        <w:numPr>
          <w:ilvl w:val="0"/>
          <w:numId w:val="1035"/>
        </w:numPr>
        <w:pStyle w:val="Compact"/>
      </w:pPr>
      <w:r>
        <w:t xml:space="preserve">ينون، عوديد. «استراتيجية لإسرائيل في الثمانينيات». مجلة</w:t>
      </w:r>
      <w:r>
        <w:t xml:space="preserve"> </w:t>
      </w:r>
      <w:r>
        <w:rPr>
          <w:iCs/>
          <w:i/>
        </w:rPr>
        <w:t xml:space="preserve">كيفونيم</w:t>
      </w:r>
      <w:r>
        <w:t xml:space="preserve">، العدد 14، 1982.</w:t>
      </w:r>
    </w:p>
    <w:p>
      <w:pPr>
        <w:numPr>
          <w:ilvl w:val="0"/>
          <w:numId w:val="1035"/>
        </w:numPr>
        <w:pStyle w:val="Compact"/>
      </w:pPr>
      <w:r>
        <w:t xml:space="preserve">ميرشايمر، جون، ووالت، ستيفن.</w:t>
      </w:r>
      <w:r>
        <w:t xml:space="preserve"> </w:t>
      </w:r>
      <w:r>
        <w:rPr>
          <w:iCs/>
          <w:i/>
        </w:rPr>
        <w:t xml:space="preserve">اللوبي الإسرائيلي والسياسة الخارجية الأمريكية</w:t>
      </w:r>
      <w:r>
        <w:t xml:space="preserve">. دار الفارابي، 2008.</w:t>
      </w:r>
    </w:p>
    <w:p>
      <w:pPr>
        <w:numPr>
          <w:ilvl w:val="0"/>
          <w:numId w:val="1035"/>
        </w:numPr>
        <w:pStyle w:val="Compact"/>
      </w:pPr>
      <w:r>
        <w:t xml:space="preserve">عمارة، محمد.</w:t>
      </w:r>
      <w:r>
        <w:t xml:space="preserve"> </w:t>
      </w:r>
      <w:r>
        <w:rPr>
          <w:iCs/>
          <w:i/>
        </w:rPr>
        <w:t xml:space="preserve">الفتنة الكبرى</w:t>
      </w:r>
      <w:r>
        <w:t xml:space="preserve">. دار الشروق.</w:t>
      </w:r>
    </w:p>
    <w:p>
      <w:pPr>
        <w:numPr>
          <w:ilvl w:val="0"/>
          <w:numId w:val="1035"/>
        </w:numPr>
        <w:pStyle w:val="Compact"/>
      </w:pPr>
      <w:r>
        <w:t xml:space="preserve">غليون، برهان.</w:t>
      </w:r>
      <w:r>
        <w:t xml:space="preserve"> </w:t>
      </w:r>
      <w:r>
        <w:rPr>
          <w:iCs/>
          <w:i/>
        </w:rPr>
        <w:t xml:space="preserve">اغتيال العقل: محنة الثقافة العربية بين السلفية والتبعية</w:t>
      </w:r>
      <w:r>
        <w:t xml:space="preserve">. المركز الثقافي العربي.</w:t>
      </w:r>
    </w:p>
    <w:p>
      <w:pPr>
        <w:numPr>
          <w:ilvl w:val="0"/>
          <w:numId w:val="1035"/>
        </w:numPr>
        <w:pStyle w:val="Compact"/>
      </w:pPr>
      <w:r>
        <w:t xml:space="preserve">نصر، ولي.</w:t>
      </w:r>
      <w:r>
        <w:t xml:space="preserve"> </w:t>
      </w:r>
      <w:r>
        <w:rPr>
          <w:iCs/>
          <w:i/>
        </w:rPr>
        <w:t xml:space="preserve">صحوة الشيعة: كيف ستشكّل الصراعات داخل الإسلام مستقبل العالم</w:t>
      </w:r>
      <w:r>
        <w:t xml:space="preserve"> </w:t>
      </w:r>
      <w:r>
        <w:t xml:space="preserve">(نسخة عربية). دار النهار، 2007.</w:t>
      </w:r>
    </w:p>
    <w:p>
      <w:pPr>
        <w:numPr>
          <w:ilvl w:val="0"/>
          <w:numId w:val="1035"/>
        </w:numPr>
        <w:pStyle w:val="Compact"/>
      </w:pPr>
      <w:r>
        <w:t xml:space="preserve">كوربان، هنري.</w:t>
      </w:r>
      <w:r>
        <w:t xml:space="preserve"> </w:t>
      </w:r>
      <w:r>
        <w:rPr>
          <w:iCs/>
          <w:i/>
        </w:rPr>
        <w:t xml:space="preserve">تاريخ الفلسفة الإسلامية</w:t>
      </w:r>
      <w:r>
        <w:t xml:space="preserve">. منشورات عويدات، بيروت.</w:t>
      </w:r>
    </w:p>
    <w:bookmarkEnd w:id="130"/>
    <w:bookmarkEnd w:id="131"/>
    <w:bookmarkStart w:id="132" w:name="english-section"/>
    <w:p>
      <w:pPr>
        <w:pStyle w:val="Heading1"/>
      </w:pPr>
      <w:r>
        <w:t xml:space="preserve">English Section</w:t>
      </w:r>
    </w:p>
    <w:p>
      <w:pPr>
        <w:pStyle w:val="FirstParagraph"/>
      </w:pPr>
      <w:r>
        <w:t xml:space="preserve">❖❖❖</w:t>
      </w:r>
    </w:p>
    <w:p>
      <w:pPr>
        <w:pStyle w:val="BodyText"/>
      </w:pPr>
      <w:r>
        <w:t xml:space="preserve">Sunni–Shia Rapprochement</w:t>
      </w:r>
    </w:p>
    <w:p>
      <w:pPr>
        <w:pStyle w:val="BodyText"/>
      </w:pPr>
      <w:r>
        <w:t xml:space="preserve">Between Religious Substance and Political Conflict</w:t>
      </w:r>
    </w:p>
    <w:p>
      <w:pPr>
        <w:pStyle w:val="BodyText"/>
      </w:pPr>
      <w:r>
        <w:t xml:space="preserve">A complete English translation of the eight chapters,</w:t>
      </w:r>
      <w:r>
        <w:br/>
      </w:r>
      <w:r>
        <w:t xml:space="preserve">with introduction and conclusion.</w:t>
      </w:r>
    </w:p>
    <w:bookmarkEnd w:id="132"/>
    <w:bookmarkStart w:id="135" w:name="prefaceintroduction"/>
    <w:p>
      <w:pPr>
        <w:pStyle w:val="Heading1"/>
      </w:pPr>
      <w:r>
        <w:t xml:space="preserve">Preface</w:t>
      </w:r>
      <w:r>
        <w:t xml:space="preserve">Introduction</w:t>
      </w:r>
    </w:p>
    <w:p>
      <w:pPr>
        <w:pStyle w:val="FirstParagraph"/>
      </w:pPr>
      <w:r>
        <w:t xml:space="preserve">In the name of Allah, the Most Gracious, the Most Merciful. Praise be to Allah, Lord of the Worlds, and peace and blessings upon the Seal of the Prophets and Messengers, our master Muhammad, his family, and his Companions.</w:t>
      </w:r>
    </w:p>
    <w:p>
      <w:pPr>
        <w:pStyle w:val="BodyText"/>
      </w:pPr>
      <w:r>
        <w:t xml:space="preserve">Among the gravest afflictions to befall the Muslim Ummah throughout its long history is the disagreement that arose among its members and its division into multiple schools and sects. The single Islam that the Prophet Muhammad ﷺ brought as a mercy to all worlds is now presented in everyday discourse as if it were two warring religions: a Sunni Islam and a Shia Islam. The fundamental truth that must serve as the starting point for any serious investigation into this subject is that Islam is one, the Qur'an is one, the qiblah is one, the Messenger is one, the pillars of faith are one, and the pillars of Islam are one. The disagreement that arose after the death of the Prophet ﷺ was, in its origin, on matters of independent reasoning and politics. Layers of theological, juridical, political, and cultural tradition then accumulated upon these matters over centuries, until they appeared as if they were disagreements in the very fundamentals of religion.</w:t>
      </w:r>
    </w:p>
    <w:p>
      <w:pPr>
        <w:pStyle w:val="BodyText"/>
      </w:pPr>
      <w:r>
        <w:t xml:space="preserve">"And hold firmly to the rope of Allah all together and do not become divided."</w:t>
      </w:r>
      <w:r>
        <w:t xml:space="preserve">Aal 'Imran: 103</w:t>
      </w:r>
    </w:p>
    <w:p>
      <w:pPr>
        <w:pStyle w:val="BodyText"/>
      </w:pPr>
      <w:r>
        <w:t xml:space="preserve">This Qur'anic verse establishes a binding principle: unity is an obligation, and division is forbidden. Yet the reality of the Ummah today—fourteen centuries after this verse was revealed—shows a starkly different picture. The relationship between Sunnis and Shias has, in many regions, deteriorated from a relationship of faith-based brotherhood into one of mutual suspicion, and at its worst, into open hostility and bloody conflict.</w:t>
      </w:r>
    </w:p>
    <w:bookmarkStart w:id="133" w:name="the-books-central-questions"/>
    <w:p>
      <w:pPr>
        <w:pStyle w:val="Heading2"/>
      </w:pPr>
      <w:r>
        <w:t xml:space="preserve">The Book's Central Questions</w:t>
      </w:r>
    </w:p>
    <w:p>
      <w:pPr>
        <w:pStyle w:val="FirstParagraph"/>
      </w:pPr>
      <w:r>
        <w:t xml:space="preserve">This book poses pivotal questions that no thoughtful Muslim can avoid: Are the differences between Sunnis and Shias substantive differences in the fundamentals of religion, or are they differences on matters of independent reasoning and history? What are the true causes of the major disagreement that has developed over the centuries—are they religious in essence, or political? What role do external powers—Israel, the United States, Europe, and regional actors—play in fueling and prolonging this conflict? Is rapprochement between the two schools possible one day, and what are the realistic conditions for it?</w:t>
      </w:r>
    </w:p>
    <w:bookmarkEnd w:id="133"/>
    <w:bookmarkStart w:id="134" w:name="methodology"/>
    <w:p>
      <w:pPr>
        <w:pStyle w:val="Heading2"/>
      </w:pPr>
      <w:r>
        <w:t xml:space="preserve">Methodology</w:t>
      </w:r>
    </w:p>
    <w:p>
      <w:pPr>
        <w:pStyle w:val="FirstParagraph"/>
      </w:pPr>
      <w:r>
        <w:t xml:space="preserve">The book adopts a comparative analytical method that engages the original sources of both schools with scholarly respect, and carefully distinguishes between three levels of disagreement that should never be conflated: the level of fundamental creed (where agreement is nearly total), the level of jurisprudence and independent reasoning (where the differences are similar to those between the four Sunni schools themselves), and the level of history and politics (where the deepest fractures lie).</w:t>
      </w:r>
    </w:p>
    <w:p>
      <w:pPr>
        <w:pStyle w:val="BodyText"/>
      </w:pPr>
      <w:r>
        <w:t xml:space="preserve">Confusing these three levels is what leads some to believe that Sunnis and Shias worship different gods or follow different prophets—both of which are categorically false. The real disagreement is, in most of its substance, a historical and political one that has been clothed in religious garb over centuries until it has become difficult for the non-specialist reader to distinguish substance from accretion.</w:t>
      </w:r>
    </w:p>
    <w:bookmarkEnd w:id="134"/>
    <w:bookmarkEnd w:id="135"/>
    <w:bookmarkStart w:id="140" w:name="X7c35de22ab88cfb654b47aca000bb607e47b475"/>
    <w:p>
      <w:pPr>
        <w:pStyle w:val="Heading1"/>
      </w:pPr>
      <w:r>
        <w:t xml:space="preserve">Chapter 1</w:t>
      </w:r>
      <w:r>
        <w:t xml:space="preserve">One Islam and the Emergence of Schools</w:t>
      </w:r>
    </w:p>
    <w:bookmarkStart w:id="136" w:name="Xcab08869b3643616153f92391137cc3008286bc"/>
    <w:p>
      <w:pPr>
        <w:pStyle w:val="Heading2"/>
      </w:pPr>
      <w:r>
        <w:t xml:space="preserve">1.1 Islam in the Era of the Prophet: Complete Unity</w:t>
      </w:r>
    </w:p>
    <w:p>
      <w:pPr>
        <w:pStyle w:val="FirstParagraph"/>
      </w:pPr>
      <w:r>
        <w:t xml:space="preserve">In the era of the Prophet Muhammad ﷺ, there were no "Sunnis" and "Shias," no Hanafis or Malikis or Shafi'is or Hanbalis or Ja'faris or Zaydis or Isma'ilis. There were only Muslims, taking their religion from a single source: the revelation descending upon their Messenger. The Prophet ﷺ was the reference in every disagreement, the jurist in every question, the imam in prayer, the judge in dispute, and the leader in war and peace. That was the moment of complete unity that has never been repeated in this idealized form in the Ummah's history.</w:t>
      </w:r>
    </w:p>
    <w:bookmarkEnd w:id="136"/>
    <w:bookmarkStart w:id="137" w:name="Xfaa981c2271d3c56eaf062ee72f0d50848fa558"/>
    <w:p>
      <w:pPr>
        <w:pStyle w:val="Heading2"/>
      </w:pPr>
      <w:r>
        <w:t xml:space="preserve">1.2 The Moment of Death: An Eruption of Postponed Questions</w:t>
      </w:r>
    </w:p>
    <w:p>
      <w:pPr>
        <w:pStyle w:val="FirstParagraph"/>
      </w:pPr>
      <w:r>
        <w:t xml:space="preserve">When the Prophet ﷺ passed to the highest companion in the third Hijri month of the eleventh year, a series of questions—never before posed with such urgency—opened upon the Ummah: Who succeeds the Prophet in administering the affairs of the community? Did the Prophet leave an explicit text appointing his successor, or did he leave the matter to the Ummah? What is the nature of the office of caliphate—is it purely religious, political, or a combination? What are the rights of the Prophet's family in leadership and in legislation? These questions, whose answers were clear during the Prophet's life by virtue of his physical presence, became, after his death, major matters of independent reasoning on which even the noble Companions disagreed—a disagreement that became the seed of every later division.</w:t>
      </w:r>
    </w:p>
    <w:bookmarkEnd w:id="137"/>
    <w:bookmarkStart w:id="138" w:name="X9709b6914104f03fee49957c814fc206179e220"/>
    <w:p>
      <w:pPr>
        <w:pStyle w:val="Heading2"/>
      </w:pPr>
      <w:r>
        <w:t xml:space="preserve">1.3 The Saqifah of Banu Sa'idah: The Founding Event</w:t>
      </w:r>
    </w:p>
    <w:p>
      <w:pPr>
        <w:pStyle w:val="FirstParagraph"/>
      </w:pPr>
      <w:r>
        <w:t xml:space="preserve">The Ansar gathered at the Saqifah of Banu Sa'idah immediately after the Prophet's death to consider the matter of leadership. Abu Bakr, Umar, and Abu 'Ubaydah joined them, and a discussion concluded with the pledge of allegiance to Abu Bakr al-Siddiq as Caliph of the Muslims. Ali ibn Abi Talib was at that hour preparing the Prophet's funeral at his home and did not attend the Saqifah. This event—although it ended in subsequent consensus—has continued to raise historical and juridical questions to this day. The Sunni reading sees in Abu Bakr's pledge a valid consultation; the Shia reading holds that it bypassed Ali's right designated at Ghadir Khumm. Both rely on texts and narrators, but the matter remains, in truth, a matter of historical interpretation rather than categorical creed.</w:t>
      </w:r>
    </w:p>
    <w:bookmarkEnd w:id="138"/>
    <w:bookmarkStart w:id="139" w:name="the-diversity-within"/>
    <w:p>
      <w:pPr>
        <w:pStyle w:val="Heading2"/>
      </w:pPr>
      <w:r>
        <w:t xml:space="preserve">1.4 The Diversity Within</w:t>
      </w:r>
    </w:p>
    <w:p>
      <w:pPr>
        <w:pStyle w:val="FirstParagraph"/>
      </w:pPr>
      <w:r>
        <w:t xml:space="preserve">Before proceeding, the reader must grasp that neither "Sunni" nor "Shia" is a monolithic bloc; both contain wide internal diversity. The major Sunni schools include the Hanafi, Maliki, Shafi'i, and Hanbali traditions. The major Shia schools include the Twelver Ja'faris (the most numerous, in Iran, Iraq, Lebanon, and Bahrain), the Zaydis (mostly in Yemen, the closest of the Shia schools to Sunni jurisprudence), and the Isma'ilis (in India, Yemen, and parts of the Levant). When we speak of "the Sunni–Shia disagreement," which Sunnis and which Shias do we mean? The generalizing discourse that places all Sunnis in one camp and all Shias in another is misleading by nature; it conceals enormous internal diversity and constructs an abstract enemy that does not exist in reality.</w:t>
      </w:r>
    </w:p>
    <w:bookmarkEnd w:id="139"/>
    <w:bookmarkEnd w:id="140"/>
    <w:bookmarkStart w:id="141" w:name="Xf30dda8eb8896b14865f0ffa256c0f9663fe8de"/>
    <w:p>
      <w:pPr>
        <w:pStyle w:val="Heading1"/>
      </w:pPr>
      <w:r>
        <w:t xml:space="preserve">Chapter 2</w:t>
      </w:r>
      <w:r>
        <w:t xml:space="preserve">Historical Roots of the Sunni–Shia Disagreement</w:t>
      </w:r>
    </w:p>
    <w:p>
      <w:pPr>
        <w:pStyle w:val="FirstParagraph"/>
      </w:pPr>
      <w:r>
        <w:t xml:space="preserve">Six historical milestones shaped the path of division: (1) The Saqifah (11 AH) opened the question of authority. (2) The assassination of Caliph 'Uthman (35 AH) shattered the unity of the early state. (3) The battles of the Camel and Siffin (36–37 AH) were not Sunni–Shia wars in any later sense, but rather wars between Companions all of whom had been promised paradise or were among the earliest believers, who differed in independent reasoning on a political question. (4) The emergence of the Kharijites and the early formation of Shi'ism crystallized the first sectarian outlines, though early Shi'ism was very close to Sunni belief. (5) The tragedy of Karbala (61 AH) remains the deepest wound in Shia consciousness, while Sunnis recognize it as a major crime and tragedy without making it the axis of creed. (6) The Safavid–Ottoman rivalry (16th century onward) transformed what had been an intellectual disagreement among scholars into a geopolitical conflict between two neighboring empires. This is the truth this book repeatedly affirms: what appears to be religious disagreement is, in much of its detail, an extension of political conflict between states, empires, and centers of power.</w:t>
      </w:r>
    </w:p>
    <w:bookmarkEnd w:id="141"/>
    <w:bookmarkStart w:id="146" w:name="Xbb114ec682349fa407aa691b2379d494a6fa4d0"/>
    <w:p>
      <w:pPr>
        <w:pStyle w:val="Heading1"/>
      </w:pPr>
      <w:r>
        <w:t xml:space="preserve">Chapter 3</w:t>
      </w:r>
      <w:r>
        <w:t xml:space="preserve">Doctrinal Differences: What is Substantive and What is Secondary?</w:t>
      </w:r>
    </w:p>
    <w:bookmarkStart w:id="142" w:name="Xaa4e1b632cc913d938dbb556f23bc9f1574a6b1"/>
    <w:p>
      <w:pPr>
        <w:pStyle w:val="Heading2"/>
      </w:pPr>
      <w:r>
        <w:t xml:space="preserve">3.1 The Six Pillars of Faith: Complete Agreement</w:t>
      </w:r>
    </w:p>
    <w:p>
      <w:pPr>
        <w:pStyle w:val="FirstParagraph"/>
      </w:pPr>
      <w:r>
        <w:t xml:space="preserve">On every pillar of faith—belief in Allah, the angels, the books, the messengers, the Last Day, and divine decree—Sunnis and Shias agree completely. Both believe in the One God, who has no equal. Both believe the Qur'an is the Book revealed to Muhammad ﷺ, the seal of prophets, and that it has not been altered. Both believe in the Last Day, paradise, hell, the bridge, and the scales. Both believe in divine decree, though some theological formulations may differ.</w:t>
      </w:r>
    </w:p>
    <w:bookmarkEnd w:id="142"/>
    <w:bookmarkStart w:id="143" w:name="X2388804d106800c7c9888f9409b34c152996eff"/>
    <w:p>
      <w:pPr>
        <w:pStyle w:val="Heading2"/>
      </w:pPr>
      <w:r>
        <w:t xml:space="preserve">3.2 The Five Pillars of Islam: Agreement on Substance</w:t>
      </w:r>
    </w:p>
    <w:p>
      <w:pPr>
        <w:pStyle w:val="FirstParagraph"/>
      </w:pPr>
      <w:r>
        <w:t xml:space="preserve">The two testimonies, prayer, zakat, fasting, and pilgrimage are points of full agreement on substance. The differences that may appear lie in the modalities of performing these acts of worship, not in their essence.</w:t>
      </w:r>
    </w:p>
    <w:bookmarkEnd w:id="143"/>
    <w:bookmarkStart w:id="144" w:name="where-genuine-disagreement-lies"/>
    <w:p>
      <w:pPr>
        <w:pStyle w:val="Heading2"/>
      </w:pPr>
      <w:r>
        <w:t xml:space="preserve">3.3 Where Genuine Disagreement Lies</w:t>
      </w:r>
    </w:p>
    <w:p>
      <w:pPr>
        <w:pStyle w:val="FirstParagraph"/>
      </w:pPr>
      <w:r>
        <w:t xml:space="preserve">If agreement holds in the fundamentals, where does the real disagreement lie? It can be summarized in five issues: (a) the Imamate—is it a fundamental of religion (Twelver Shia view) or a derivative branch (Sunni view); (b) infallibility ('isma)—Sunnis affirm it for prophets in matters of revelation, while Twelver Shias affirm it for the prophets and the twelve imams; (c) taqiyya, where the Shia application is broader, having developed under historical conditions of persecution; (d) the position on the Companions, perhaps the most sensitive node, where senior contemporary Shia authorities such as Sayyid al-Sistani and the late Imam Shams al-Din have called for ceasing to insult the Companions; and (e) juridical reference—the Sunni four imams versus the twelve imams and the marja' al-taqlid system in Shi'ism.</w:t>
      </w:r>
    </w:p>
    <w:bookmarkEnd w:id="144"/>
    <w:bookmarkStart w:id="145" w:name="X22558dfc8b43bfc5cf720d97d4b3d65390241ee"/>
    <w:p>
      <w:pPr>
        <w:pStyle w:val="Heading2"/>
      </w:pPr>
      <w:r>
        <w:t xml:space="preserve">3.4 Senior Scholars Testify to Common Substance</w:t>
      </w:r>
    </w:p>
    <w:p>
      <w:pPr>
        <w:pStyle w:val="FirstParagraph"/>
      </w:pPr>
      <w:r>
        <w:t xml:space="preserve">The reader need not take this book's word alone. In 1959, the Grand Imam of al-Azhar, Mahmoud Shaltut, issued an official fatwa stating that the Twelver Ja'fari school is a school of law in which a Muslim may legitimately worship, just as in the Sunni schools. The late Sayyid Muhammad Husayn Fadlallah said that the disagreement between Sunnis and Shias does not justify declaring any of them a disbeliever, nor permit blood or property; whoever excludes ordinary Sunni Muslims from Islam has himself departed from the wisdom of Islam.</w:t>
      </w:r>
    </w:p>
    <w:bookmarkEnd w:id="145"/>
    <w:bookmarkEnd w:id="146"/>
    <w:bookmarkStart w:id="147" w:name="X05c1149b075ce0d00022a1e22e4a23f2476f380"/>
    <w:p>
      <w:pPr>
        <w:pStyle w:val="Heading1"/>
      </w:pPr>
      <w:r>
        <w:t xml:space="preserve">Chapter 4</w:t>
      </w:r>
      <w:r>
        <w:t xml:space="preserve">Juridical and Practical Differences</w:t>
      </w:r>
    </w:p>
    <w:p>
      <w:pPr>
        <w:pStyle w:val="FirstParagraph"/>
      </w:pPr>
      <w:r>
        <w:t xml:space="preserve">In prayer, the foundations are identical: same qiblah, same opening takbir, same closing salam, same Fatihah, same bowing and prostration, nearly identical adhan. Practical variations exist: the Shia Twelvers combine some prayers, place hands at the sides like the Maliki Sunnis, prefer to prostrate on what is of the earth (which is also the position of some Sunnis), and add certain phrases to the adhan. Zakat is agreed; the Shia addition of khums is a matter of Qur'anic interpretation. Fasting in Ramadan is identical, with a small difference in the timing of breaking the fast. Pilgrimage is performed at the same Ka'bah with the same rites. In personal status law, the most discussed difference is mut'ah marriage, permitted by Shia jurists on the basis of a Qur'anic verse and narrations they consider unabrogated, and prohibited by Sunni jurists who hold the verse abrogated. None of these differences place the practitioners of either school outside the religion of Islam.</w:t>
      </w:r>
    </w:p>
    <w:bookmarkEnd w:id="147"/>
    <w:bookmarkStart w:id="148" w:name="X14d1a03271f1fc2a84782dde893b4236c4134fb"/>
    <w:p>
      <w:pPr>
        <w:pStyle w:val="Heading1"/>
      </w:pPr>
      <w:r>
        <w:t xml:space="preserve">Chapter 5</w:t>
      </w:r>
      <w:r>
        <w:t xml:space="preserve">Religious or Political? Anatomy of the Real Causes</w:t>
      </w:r>
    </w:p>
    <w:p>
      <w:pPr>
        <w:pStyle w:val="FirstParagraph"/>
      </w:pPr>
      <w:r>
        <w:t xml:space="preserve">If the doctrinal disagreement is limited (five contested issues amid an ocean of agreement) and the juridical disagreement resembles that among the Sunni schools themselves, why has the Sunni–Shia conflict reached the level of war, killing, and excommunication? In one word: politics.</w:t>
      </w:r>
    </w:p>
    <w:p>
      <w:pPr>
        <w:pStyle w:val="BodyText"/>
      </w:pPr>
      <w:r>
        <w:t xml:space="preserve">Five lines of evidence demonstrate the political nature of the conflict. First, the historical oscillation: if the disagreement were a fundamental religious one, it would maintain a constant intensity. In fact, there are long periods of peaceful coexistence (the early Abbasid era, the Fatimid period in Egypt, the Ottoman era's modus vivendi with Shia communities, pre-modern Yemen) and short bursts of acute conflict that match periods of political competition. Second, geopolitics shapes the school: Iran was largely Sunni Shafi'i before the Safavids; it became Twelver Shia by state imposition for geopolitical reasons. Third, alliances repeatedly cross the supposed sectarian line in ways inconsistent with a purely doctrinal logic. Fourth, the internal divisions within each camp are themselves often greater than the divisions across camps. Fifth, the rhetoric of incitement is the universal rhetoric of every internal political conflict, not a specifically religious analysis. The fitnah is, in short, a tool of power.</w:t>
      </w:r>
    </w:p>
    <w:bookmarkEnd w:id="148"/>
    <w:bookmarkStart w:id="149" w:name="X6c077c4c2a96f90b789a88023adedf3aa31662c"/>
    <w:p>
      <w:pPr>
        <w:pStyle w:val="Heading1"/>
      </w:pPr>
      <w:r>
        <w:t xml:space="preserve">Chapter 6</w:t>
      </w:r>
      <w:r>
        <w:t xml:space="preserve">The Role of External Powers in Fueling the Conflict</w:t>
      </w:r>
    </w:p>
    <w:p>
      <w:pPr>
        <w:pStyle w:val="FirstParagraph"/>
      </w:pPr>
      <w:r>
        <w:t xml:space="preserve">"Divide and rule" is not an Israeli or American invention—it is a classical colonial principle practiced by the British in India and Iraq, by the French in the Maghreb and Lebanon, and continued after formal independence through new instruments: intelligence services, media, financial support to competing parties, and military intervention. Israel, founded on the occupation of sacred Islamic land, understands that a unified Ummah means the end of its project. The 1982 Oded Yinon document explicitly called for fragmenting the region's states along sectarian and ethnic lines—predictions much of which has materialized in subsequent decades. The United States, declared to promote "democracy," has in practice dismantled central states (Iraq 2003), supported proxy wars across the region in ways that prevent decisive outcomes, and sold arms to both sides of regional rivalries. European powers contribute through arms sales, media platforming of incitement under "free speech" labels, financing of think tanks that produce divisive scholarship, and historical map-drawing.</w:t>
      </w:r>
    </w:p>
    <w:p>
      <w:pPr>
        <w:pStyle w:val="BodyText"/>
      </w:pPr>
      <w:r>
        <w:t xml:space="preserve">Fairness requires acknowledging that some Muslim regional powers have themselves contributed—knowingly or otherwise—to deepening the conflict, through funding sectarian missionary infrastructures, supporting militias with sectarian agendas, and weaponizing religious clerics in service of state agendas. External powers benefit from division, but internal powers manufacture it; without our own response to fragmentation projects, no external scheme would succeed.</w:t>
      </w:r>
    </w:p>
    <w:bookmarkEnd w:id="149"/>
    <w:bookmarkStart w:id="150" w:name="X7ad0ba18883546f88dc8fe0d583683fe597bf0e"/>
    <w:p>
      <w:pPr>
        <w:pStyle w:val="Heading1"/>
      </w:pPr>
      <w:r>
        <w:t xml:space="preserve">Chapter 7</w:t>
      </w:r>
      <w:r>
        <w:t xml:space="preserve">Historical and Contemporary Experiences of Rapprochement</w:t>
      </w:r>
    </w:p>
    <w:p>
      <w:pPr>
        <w:pStyle w:val="FirstParagraph"/>
      </w:pPr>
      <w:r>
        <w:t xml:space="preserve">Amid the dominant discourse of division, one might forget that experiences of rapprochement exist and merit study. Al-Azhar's Shaltut fatwa (1959) institutionally recognized the Ja'fari school as a legitimate path of worship and inspired Dar al-Taqrib bayna al-Madhahib al-Islamiyyah. The Amman Message (2004), signed by more than 200 senior scholars from across the Islamic world, recognized eight Islamic schools (the four Sunni schools plus Ja'fari, Zaydi, Ibadi, and Zahiri) and prohibited mutual takfir. Yemen's centuries of Zaydi–Shafi'i coexistence and Iraq's pre-2003 social fabric demonstrate that ordinary Muslims live together easily when politics does not deliberately tear them apart. Individual figures—Sayyid Fadlallah, Shaykh al-Qaradawi, Sayyid al-Sistani in his post-2006 fatwas preventing Sunni–Shia civil war in Iraq—prove that responsible religious leadership can change historical trajectories.</w:t>
      </w:r>
    </w:p>
    <w:bookmarkEnd w:id="150"/>
    <w:bookmarkStart w:id="151" w:name="X3ebcd65e65476d034076a23ce14305a60663b6d"/>
    <w:p>
      <w:pPr>
        <w:pStyle w:val="Heading1"/>
      </w:pPr>
      <w:r>
        <w:t xml:space="preserve">Chapter 8</w:t>
      </w:r>
      <w:r>
        <w:t xml:space="preserve">Toward a Realistic Path of Rapprochement</w:t>
      </w:r>
    </w:p>
    <w:p>
      <w:pPr>
        <w:pStyle w:val="FirstParagraph"/>
      </w:pPr>
      <w:r>
        <w:t xml:space="preserve">Rapprochement does not mean a Sunni surrendering Sunnism or a Shia surrendering Shi'ism, nor creating a "third Islam" that erases the schools' particularities. It means treating one another as Muslims first, before any sub-identity, and agreeing on the testimony of faith, the Qur'an, the qiblah, the pillars of worship, and the love of the Prophet, his family, and his Companions.</w:t>
      </w:r>
    </w:p>
    <w:p>
      <w:pPr>
        <w:pStyle w:val="BodyText"/>
      </w:pPr>
      <w:r>
        <w:t xml:space="preserve">On the religious level, five steps: institutional prohibition of mutual takfir issued by the major religious authorities; revision of educational curricula to remove generalizing condemnations of the other school; disciplining of media discourse against incitement; institutionalization of scholarly dialogue through joint research centers and exchange between seminaries; and restoring proper standing to both the Prophet's family and his Companions in each tradition's discourse. On the political level, five steps: separating religious dialogue from geopolitical rivalry; ending proxy wars in Yemen, Iraq, Lebanon, and Syria; an Islamic charter of citizenship guaranteeing every citizen's school within the bounds of the state without conditioning external loyalty; a unified position on Palestine, the supreme test of the seriousness of rapprochement; and economic cooperation that builds material foundations for unity. On the individual level, three commitments: to read the other school from its primary sources; to question every discourse of incitement and ask who funds and benefits from it; and to actively close the door on sectarian incitement whenever it is opened in our presence.</w:t>
      </w:r>
    </w:p>
    <w:bookmarkEnd w:id="151"/>
    <w:bookmarkStart w:id="152" w:name="closingconclusion"/>
    <w:p>
      <w:pPr>
        <w:pStyle w:val="Heading1"/>
      </w:pPr>
      <w:r>
        <w:t xml:space="preserve">Closing</w:t>
      </w:r>
      <w:r>
        <w:t xml:space="preserve">Conclusion</w:t>
      </w:r>
    </w:p>
    <w:p>
      <w:pPr>
        <w:pStyle w:val="FirstParagraph"/>
      </w:pPr>
      <w:r>
        <w:t xml:space="preserve">If the preceding chapters have conveyed any single message, it is this: Islam is one. The Qur'an is one. The Prophet is one. The qiblah is one. The pillars of faith and Islam are one. Every disagreement beyond that is a branch to be managed, not a foundation to fight over. The disagreement began as political and was clothed in religious garments later. The genuine doctrinal differences are limited—roughly five issues—and none of them, in the verdict of the senior scholars of both camps, removes a Muslim from Islam. The juridical differences resemble those among the Sunni schools themselves and do not warrant such tension. External powers profit from our division and possess active tools to keep the fire burning. Rapprochement is possible, with both historical and contemporary precedents, when shared will exists.</w:t>
      </w:r>
    </w:p>
    <w:p>
      <w:pPr>
        <w:pStyle w:val="BodyText"/>
      </w:pPr>
      <w:r>
        <w:t xml:space="preserve">The call to rapprochement is not a political slogan, nor a utopian fantasy, nor a call to dilute creeds. It is a Qur'anic call: "And this is My straight path, so follow it; and do not follow other ways, for they will lead you astray from His path" (al-An'am: 153). One straight path, many side paths. The Prophet ﷺ drew a single line and lines around it, and said: "This is the path of Allah, and these are paths upon every one of which is a devil calling to it." Among the greatest of Satan's paths today is to turn the Muslim into an enemy of his Muslim brother.</w:t>
      </w:r>
    </w:p>
    <w:p>
      <w:pPr>
        <w:pStyle w:val="BodyText"/>
      </w:pPr>
      <w:r>
        <w:t xml:space="preserve">I dedicate this work to every Muslim heart pained by what our Ummah has come to, every mind seeking truth beyond sectarianism, and every Sunni and Shia scholar sincere in calling for rapprochement despite the doubt and criticism they encounter. I ask Allah to make this effort sincere for His noble face, beneficial, and a guide for the Ummah toward the paths of peace. He is All-Hearing, All-Responsive.</w:t>
      </w:r>
    </w:p>
    <w:p>
      <w:pPr>
        <w:pStyle w:val="BodyText"/>
      </w:pPr>
      <w:r>
        <w:t xml:space="preserve">والله أعلم — And Allah knows best</w:t>
      </w:r>
    </w:p>
    <w:bookmarkEnd w:id="152"/>
    <w:bookmarkStart w:id="153" w:name="نبذة-عن-المؤلف"/>
    <w:p>
      <w:pPr>
        <w:pStyle w:val="Heading1"/>
      </w:pPr>
      <w:r>
        <w:t xml:space="preserve">نبذة عن المؤلف</w:t>
      </w:r>
    </w:p>
    <w:p>
      <w:pPr>
        <w:pStyle w:val="FirstParagraph"/>
      </w:pPr>
      <w:r>
        <w:t xml:space="preserve">د. فضل محمد الأكوع</w:t>
      </w:r>
      <w:r>
        <w:br/>
      </w:r>
      <w:r>
        <w:t xml:space="preserve">Dr. Fadhl Mohammed Al-Akwa'a</w:t>
      </w:r>
    </w:p>
    <w:p>
      <w:pPr>
        <w:pStyle w:val="BodyText"/>
      </w:pPr>
      <w:r>
        <w:t xml:space="preserve">باحث وأكاديمي يمني، يجمع بين العمق العلمي والإحاطة بالقضايا المعاصرة. تتركّز اهتماماته البحثية في الدراسات الإسلامية المقارنة، وتاريخ الإسلام السياسي، والعلاقات بين المذاهب الإسلامية، والقضايا الفكرية المعاصرة في العالم الإسلامي. له العديد من المؤلفات والدراسات في مجالات الفكر الإسلامي والتاريخ والقضايا الجيوسياسية المتعلقة بالعالم الإسلامي والشرق الأوسط.</w:t>
      </w:r>
    </w:p>
    <w:p>
      <w:pPr>
        <w:pStyle w:val="BodyText"/>
      </w:pPr>
      <w:r>
        <w:t xml:space="preserve">يتميّز نهجه البحثي بالاعتماد على المصادر الأولية لكل المذاهب والاتجاهات، والتعامل معها بأمانة علمية بعيداً عن التعصّب، مع توظيف منهج مقارن يكشف ما هو جوهري وما هو تاريخي. ويسعى من خلال إنتاجه الفكري إلى تقديم خطاب إسلامي معتدل، يحفظ ثوابت الدين، ويُنفتح على متغيرات العصر، ويُسهم في إحياء وحدة الأمة على أسس علمية متينة.</w:t>
      </w:r>
    </w:p>
    <w:p>
      <w:pPr>
        <w:pStyle w:val="BodyText"/>
      </w:pPr>
      <w:r>
        <w:t xml:space="preserve">English Bio:</w:t>
      </w:r>
    </w:p>
    <w:p>
      <w:pPr>
        <w:pStyle w:val="BodyText"/>
      </w:pPr>
      <w:r>
        <w:t xml:space="preserve">Dr. Fadhl Mohammed Al-Akwa'a is a Yemeni scholar and academic researcher specializing in comparative Islamic studies, the history of political Islam, inter-madhhab relations, and contemporary intellectual questions in the Muslim world. His work draws on primary sources across schools and approaches them with scholarly fairness, employing a comparative method that distinguishes the substantive from the historical. Through his publications, he advances a moderate Islamic discourse that preserves the religion's fundamentals, engages the realities of the present age, and contributes to the renewal of the Ummah's unity on rigorous scholarly foundations.</w:t>
      </w:r>
    </w:p>
    <w:p>
      <w:pPr>
        <w:pStyle w:val="BodyText"/>
      </w:pPr>
      <w:r>
        <w:t xml:space="preserve">المجالات البحثية / Areas of Research:</w:t>
      </w:r>
    </w:p>
    <w:p>
      <w:pPr>
        <w:numPr>
          <w:ilvl w:val="0"/>
          <w:numId w:val="1036"/>
        </w:numPr>
        <w:pStyle w:val="Compact"/>
      </w:pPr>
      <w:r>
        <w:t xml:space="preserve">الفكر الإسلامي المقارن — Comparative Islamic Thought</w:t>
      </w:r>
    </w:p>
    <w:p>
      <w:pPr>
        <w:numPr>
          <w:ilvl w:val="0"/>
          <w:numId w:val="1036"/>
        </w:numPr>
        <w:pStyle w:val="Compact"/>
      </w:pPr>
      <w:r>
        <w:t xml:space="preserve">تاريخ المذاهب والفرق — History of Islamic Schools and Sects</w:t>
      </w:r>
    </w:p>
    <w:p>
      <w:pPr>
        <w:numPr>
          <w:ilvl w:val="0"/>
          <w:numId w:val="1036"/>
        </w:numPr>
        <w:pStyle w:val="Compact"/>
      </w:pPr>
      <w:r>
        <w:t xml:space="preserve">العلاقات الجيوسياسية في العالم الإسلامي — Geopolitical Relations in the Muslim World</w:t>
      </w:r>
    </w:p>
    <w:p>
      <w:pPr>
        <w:numPr>
          <w:ilvl w:val="0"/>
          <w:numId w:val="1036"/>
        </w:numPr>
        <w:pStyle w:val="Compact"/>
      </w:pPr>
      <w:r>
        <w:t xml:space="preserve">قضايا الوحدة والتقارب — Issues of Islamic Unity and Rapprochement</w:t>
      </w:r>
    </w:p>
    <w:p>
      <w:pPr>
        <w:numPr>
          <w:ilvl w:val="0"/>
          <w:numId w:val="1036"/>
        </w:numPr>
        <w:pStyle w:val="Compact"/>
      </w:pPr>
      <w:r>
        <w:t xml:space="preserve">الإسلام والقضايا المعاصرة — Islam and Contemporary Issues</w:t>
      </w:r>
    </w:p>
    <w:bookmarkEnd w:id="153"/>
    <w:bookmarkStart w:id="154" w:name="مؤلفات-المؤلف"/>
    <w:p>
      <w:pPr>
        <w:pStyle w:val="Heading1"/>
      </w:pPr>
      <w:r>
        <w:t xml:space="preserve">مؤلفات المؤلف</w:t>
      </w:r>
    </w:p>
    <w:p>
      <w:pPr>
        <w:pStyle w:val="FirstParagraph"/>
      </w:pPr>
      <w:r>
        <w:t xml:space="preserve">قائمة بأبرز أعمال د. فضل محمد الأكوع</w:t>
      </w:r>
    </w:p>
    <w:p>
      <w:pPr>
        <w:numPr>
          <w:ilvl w:val="0"/>
          <w:numId w:val="1037"/>
        </w:numPr>
        <w:pStyle w:val="Compact"/>
      </w:pPr>
      <w:r>
        <w:rPr>
          <w:bCs/>
          <w:b/>
        </w:rPr>
        <w:t xml:space="preserve">نهاية الكون في القرآن الكريم — تحليل علمي شامل</w:t>
      </w:r>
      <w:r>
        <w:t xml:space="preserve"> </w:t>
      </w:r>
      <w:r>
        <w:t xml:space="preserve">(2026)</w:t>
      </w:r>
      <w:r>
        <w:br/>
      </w:r>
      <w:r>
        <w:t xml:space="preserve">دراسة تجمع بين النصوص القرآنية والكشوف العلمية الحديثة في مسألة نهاية الكون.</w:t>
      </w:r>
    </w:p>
    <w:p>
      <w:pPr>
        <w:numPr>
          <w:ilvl w:val="0"/>
          <w:numId w:val="1037"/>
        </w:numPr>
        <w:pStyle w:val="Compact"/>
      </w:pPr>
      <w:r>
        <w:rPr>
          <w:bCs/>
          <w:b/>
        </w:rPr>
        <w:t xml:space="preserve">مجازر ضد المسلمين عبر العصور</w:t>
      </w:r>
      <w:r>
        <w:t xml:space="preserve"> </w:t>
      </w:r>
      <w:r>
        <w:t xml:space="preserve">(2026)</w:t>
      </w:r>
      <w:r>
        <w:br/>
      </w:r>
      <w:r>
        <w:t xml:space="preserve">دراسة تاريخية مقارنة للمجازر التي وقعت بحقّ المسلمين عبر التاريخ.</w:t>
      </w:r>
    </w:p>
    <w:p>
      <w:pPr>
        <w:numPr>
          <w:ilvl w:val="0"/>
          <w:numId w:val="1037"/>
        </w:numPr>
        <w:pStyle w:val="Compact"/>
      </w:pPr>
      <w:r>
        <w:rPr>
          <w:bCs/>
          <w:b/>
        </w:rPr>
        <w:t xml:space="preserve">العلاقات اليمنية السعودية</w:t>
      </w:r>
      <w:r>
        <w:t xml:space="preserve"> </w:t>
      </w:r>
      <w:r>
        <w:t xml:space="preserve">(2026)</w:t>
      </w:r>
      <w:r>
        <w:br/>
      </w:r>
      <w:r>
        <w:t xml:space="preserve">دراسة تحليلية تاريخية للعلاقة بين البلدين الجارَين.</w:t>
      </w:r>
    </w:p>
    <w:p>
      <w:pPr>
        <w:numPr>
          <w:ilvl w:val="0"/>
          <w:numId w:val="1037"/>
        </w:numPr>
        <w:pStyle w:val="Compact"/>
      </w:pPr>
      <w:r>
        <w:rPr>
          <w:bCs/>
          <w:b/>
        </w:rPr>
        <w:t xml:space="preserve">التقارب السني الشيعي — بين الجوهر الديني والصراع السياسي</w:t>
      </w:r>
      <w:r>
        <w:t xml:space="preserve"> </w:t>
      </w:r>
      <w:r>
        <w:t xml:space="preserve">(2026)</w:t>
      </w:r>
      <w:r>
        <w:br/>
      </w:r>
      <w:r>
        <w:t xml:space="preserve">الكتاب الحالي: تشريح علمي للخلاف وتأصيل لمسارات التقارب.</w:t>
      </w:r>
    </w:p>
    <w:bookmarkEnd w:id="154"/>
    <w:p>
      <w:pPr>
        <w:pStyle w:val="FirstParagraph"/>
      </w:pPr>
      <w:r>
        <w:drawing>
          <wp:inline>
            <wp:extent cx="5334000" cy="7567688"/>
            <wp:effectExtent b="0" l="0" r="0" t="0"/>
            <wp:docPr descr="Back Cover" title="" id="156" name="Picture"/>
            <a:graphic>
              <a:graphicData uri="http://schemas.openxmlformats.org/drawingml/2006/picture">
                <pic:pic>
                  <pic:nvPicPr>
                    <pic:cNvPr descr="/home/claude/sunni_shia_book/assets/back_cover.png" id="157" name="Picture"/>
                    <pic:cNvPicPr>
                      <a:picLocks noChangeArrowheads="1" noChangeAspect="1"/>
                    </pic:cNvPicPr>
                  </pic:nvPicPr>
                  <pic:blipFill>
                    <a:blip r:embed="rId155"/>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5" Target="media/rId15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dc:title>
  <dc:creator>��. ������ �������� ������������</dc:creator>
  <dc:language>ar</dc:language>
  <cp:keywords/>
  <dcterms:created xsi:type="dcterms:W3CDTF">2026-04-27T07:00:32Z</dcterms:created>
  <dcterms:modified xsi:type="dcterms:W3CDTF">2026-04-27T07:00:32Z</dcterms:modified>
</cp:coreProperties>
</file>

<file path=docProps/custom.xml><?xml version="1.0" encoding="utf-8"?>
<Properties xmlns="http://schemas.openxmlformats.org/officeDocument/2006/custom-properties" xmlns:vt="http://schemas.openxmlformats.org/officeDocument/2006/docPropsVTypes"/>
</file>