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bidi/>
        <w:spacing w:after="300"/>
        <w:jc w:val="center"/>
      </w:pPr>
      <w:r>
        <w:rPr>
          <w:rFonts w:ascii="Amiri" w:cs="Amiri" w:eastAsia="Amiri" w:hAnsi="Amiri"/>
          <w:b/>
          <w:bCs/>
          <w:color w:val="1B3A5C"/>
          <w:sz w:val="56"/>
          <w:szCs w:val="56"/>
          <w:rtl/>
        </w:rPr>
        <w:t xml:space="preserve">البطن بيت الداء</w:t>
      </w:r>
    </w:p>
    <w:p>
      <w:pPr>
        <w:bidi/>
        <w:spacing w:after="200"/>
        <w:jc w:val="center"/>
      </w:pPr>
      <w:r>
        <w:rPr>
          <w:rFonts w:ascii="Amiri" w:cs="Amiri" w:eastAsia="Amiri" w:hAnsi="Amiri"/>
          <w:color w:val="2E75B6"/>
          <w:sz w:val="32"/>
          <w:szCs w:val="32"/>
          <w:rtl/>
        </w:rPr>
        <w:t xml:space="preserve">من حكمة النبي إلى ثورة الأوزمبك</w:t>
      </w:r>
    </w:p>
    <w:p>
      <w:pPr>
        <w:pBdr>
          <w:top w:val="single" w:color="C9A84C" w:sz="1" w:space="5"/>
          <w:bottom w:val="single" w:color="C9A84C" w:sz="1" w:space="5"/>
        </w:pBdr>
        <w:spacing w:after="100" w:before="100"/>
        <w:jc w:val="center"/>
      </w:pPr>
      <w:r>
        <w:rPr>
          <w:rFonts w:ascii="Amiri" w:cs="Amiri" w:eastAsia="Amiri" w:hAnsi="Amiri"/>
          <w:sz w:val="4"/>
          <w:szCs w:val="4"/>
        </w:rPr>
        <w:t xml:space="preserve"/>
      </w:r>
    </w:p>
    <w:p>
      <w:pPr>
        <w:spacing w:after="200"/>
        <w:jc w:val="center"/>
      </w:pPr>
      <w:r>
        <w:rPr>
          <w:rFonts w:ascii="Amiri" w:cs="Amiri" w:eastAsia="Amiri" w:hAnsi="Amiri"/>
          <w:b/>
          <w:bCs/>
          <w:color w:val="1B3A5C"/>
          <w:sz w:val="36"/>
          <w:szCs w:val="36"/>
        </w:rPr>
        <w:t xml:space="preserve">The Stomach Is the Home of Disease</w:t>
      </w:r>
    </w:p>
    <w:p>
      <w:pPr>
        <w:spacing w:after="300"/>
        <w:jc w:val="center"/>
      </w:pPr>
      <w:r>
        <w:rPr>
          <w:rFonts w:ascii="Amiri" w:cs="Amiri" w:eastAsia="Amiri" w:hAnsi="Amiri"/>
          <w:color w:val="2E75B6"/>
          <w:sz w:val="24"/>
          <w:szCs w:val="24"/>
        </w:rPr>
        <w:t xml:space="preserve">From Prophetic Wisdom to the Ozempic Revolution</w:t>
      </w:r>
    </w:p>
    <w:p>
      <w:pPr>
        <w:pBdr>
          <w:top w:val="single" w:color="C9A84C" w:sz="1" w:space="5"/>
          <w:bottom w:val="single" w:color="C9A84C" w:sz="1" w:space="5"/>
        </w:pBdr>
        <w:spacing w:after="100" w:before="100"/>
        <w:jc w:val="center"/>
      </w:pPr>
      <w:r>
        <w:rPr>
          <w:rFonts w:ascii="Amiri" w:cs="Amiri" w:eastAsia="Amiri" w:hAnsi="Amiri"/>
          <w:sz w:val="4"/>
          <w:szCs w:val="4"/>
        </w:rPr>
        <w:t xml:space="preserve"/>
      </w:r>
    </w:p>
    <w:p>
      <w:pPr>
        <w:bidi/>
        <w:spacing w:after="100"/>
        <w:jc w:val="center"/>
      </w:pPr>
      <w:r>
        <w:rPr>
          <w:rFonts w:ascii="Amiri" w:cs="Amiri" w:eastAsia="Amiri" w:hAnsi="Amiri"/>
          <w:b/>
          <w:bCs/>
          <w:color w:val="C9A84C"/>
          <w:sz w:val="32"/>
          <w:szCs w:val="32"/>
          <w:rtl/>
        </w:rPr>
        <w:t xml:space="preserve">د. فضل محمد الأكوع</w:t>
      </w:r>
    </w:p>
    <w:p>
      <w:pPr>
        <w:spacing w:after="200"/>
        <w:jc w:val="center"/>
      </w:pPr>
      <w:r>
        <w:rPr>
          <w:rFonts w:ascii="Amiri" w:cs="Amiri" w:eastAsia="Amiri" w:hAnsi="Amiri"/>
          <w:b/>
          <w:bCs/>
          <w:color w:val="C9A84C"/>
          <w:sz w:val="28"/>
          <w:szCs w:val="28"/>
        </w:rPr>
        <w:t xml:space="preserve">Dr. Fadhl Mohammed Alakwaa</w:t>
      </w:r>
    </w:p>
    <w:p>
      <w:pPr>
        <w:spacing w:after="100"/>
        <w:jc w:val="center"/>
      </w:pPr>
      <w:r>
        <w:rPr>
          <w:rFonts w:ascii="Amiri" w:cs="Amiri" w:eastAsia="Amiri" w:hAnsi="Amiri"/>
          <w:color w:val="666666"/>
          <w:sz w:val="22"/>
          <w:szCs w:val="22"/>
          <w:rtl/>
        </w:rPr>
        <w:t xml:space="preserve">الطبعة الأولى — 2026</w:t>
      </w:r>
    </w:p>
    <w:p>
      <w:pPr>
        <w:spacing w:after="100"/>
        <w:jc w:val="center"/>
      </w:pPr>
      <w:r>
        <w:rPr>
          <w:rFonts w:ascii="Amiri" w:cs="Amiri" w:eastAsia="Amiri" w:hAnsi="Amiri"/>
          <w:color w:val="999999"/>
          <w:sz w:val="18"/>
          <w:szCs w:val="18"/>
        </w:rPr>
        <w:t xml:space="preserve">أُنتج بمساعدة Claude Opus 4.8 (Anthropic)</w:t>
      </w:r>
    </w:p>
    <w:p>
      <w:r>
        <w:br w:type="page"/>
      </w:r>
    </w:p>
    <w:p>
      <w:pPr>
        <w:spacing w:before="3000"/>
      </w:pPr>
    </w:p>
    <w:p>
      <w:pPr>
        <w:bidi/>
        <w:jc w:val="center"/>
      </w:pPr>
      <w:r>
        <w:rPr>
          <w:rFonts w:ascii="Amiri" w:cs="Amiri" w:eastAsia="Amiri" w:hAnsi="Amiri"/>
          <w:b/>
          <w:bCs/>
          <w:color w:val="C9A84C"/>
          <w:sz w:val="44"/>
          <w:szCs w:val="44"/>
          <w:rtl/>
        </w:rPr>
        <w:t xml:space="preserve">بِسْمِ اللَّهِ الرَّحْمَٰنِ الرَّحِيمِ</w:t>
      </w:r>
    </w:p>
    <w:p>
      <w:r>
        <w:br w:type="page"/>
      </w:r>
    </w:p>
    <w:p>
      <w:pPr>
        <w:spacing w:before="2000"/>
      </w:pPr>
    </w:p>
    <w:p>
      <w:pPr>
        <w:bidi/>
        <w:spacing w:after="400"/>
        <w:jc w:val="center"/>
      </w:pPr>
      <w:r>
        <w:rPr>
          <w:rFonts w:ascii="Amiri" w:cs="Amiri" w:eastAsia="Amiri" w:hAnsi="Amiri"/>
          <w:b/>
          <w:bCs/>
          <w:color w:val="C9A84C"/>
          <w:sz w:val="36"/>
          <w:szCs w:val="36"/>
          <w:rtl/>
        </w:rPr>
        <w:t xml:space="preserve">❖ إهداء ❖</w:t>
      </w:r>
    </w:p>
    <w:p>
      <w:pPr>
        <w:bidi/>
        <w:spacing w:after="200" w:line="360"/>
        <w:jc w:val="center"/>
      </w:pPr>
      <w:r>
        <w:rPr>
          <w:rFonts w:ascii="Amiri" w:cs="Amiri" w:eastAsia="Amiri" w:hAnsi="Amiri"/>
          <w:color w:val="1C1C1C"/>
          <w:sz w:val="24"/>
          <w:szCs w:val="24"/>
          <w:rtl/>
        </w:rPr>
        <w:t xml:space="preserve">إلى كل باحث عن الحقيقة وكل مريض يبحث عن الشفاء وكل طبيب يسعى لفهم أسرار الجسد البشري.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Amiri" w:cs="Amiri" w:eastAsia="Amiri" w:hAnsi="Amiri"/>
          <w:color w:val="C9A84C"/>
          <w:sz w:val="32"/>
          <w:szCs w:val="32"/>
        </w:rPr>
        <w:t xml:space="preserve">﷽</w:t>
      </w:r>
    </w:p>
    <w:p>
      <w:pPr>
        <w:shd w:fill="F5F0E8" w:val="clear"/>
        <w:bidi/>
        <w:spacing w:after="100" w:before="200"/>
        <w:jc w:val="center"/>
      </w:pPr>
      <w:r>
        <w:rPr>
          <w:rFonts w:ascii="Amiri" w:cs="Amiri" w:eastAsia="Amiri" w:hAnsi="Amiri"/>
          <w:b/>
          <w:bCs/>
          <w:color w:val="2C3E50"/>
          <w:sz w:val="26"/>
          <w:szCs w:val="26"/>
          <w:rtl/>
        </w:rPr>
        <w:t xml:space="preserve">﴿ وَكُلُوا وَاشْرَبُوا وَلَا تُسْرِفُوا ۚ إِنَّهُ لَا يُحِبُّ الْمُسْرِفِينَ ﴾</w:t>
      </w:r>
    </w:p>
    <w:p>
      <w:pPr>
        <w:bidi/>
        <w:spacing w:after="200"/>
        <w:jc w:val="center"/>
      </w:pPr>
      <w:r>
        <w:rPr>
          <w:rFonts w:ascii="Amiri" w:cs="Amiri" w:eastAsia="Amiri" w:hAnsi="Amiri"/>
          <w:color w:val="999999"/>
          <w:sz w:val="18"/>
          <w:szCs w:val="18"/>
          <w:rtl/>
        </w:rPr>
        <w:t xml:space="preserve">سورة الأعراف: 31</w:t>
      </w:r>
    </w:p>
    <w:p>
      <w:pPr>
        <w:pStyle w:val="Heading1"/>
        <w:bidi/>
        <w:spacing w:after="300" w:before="400"/>
        <w:jc w:val="center"/>
      </w:pPr>
      <w:r>
        <w:rPr>
          <w:rFonts w:ascii="Amiri" w:cs="Amiri" w:eastAsia="Amiri" w:hAnsi="Amiri"/>
          <w:b/>
          <w:bCs/>
          <w:color w:val="1B3A5C"/>
          <w:sz w:val="36"/>
          <w:szCs w:val="36"/>
          <w:rtl/>
        </w:rPr>
        <w:t xml:space="preserve">المقدمة</w:t>
      </w:r>
    </w:p>
    <w:p>
      <w:pPr>
        <w:bidi/>
        <w:spacing w:after="200" w:line="360"/>
        <w:jc w:val="right"/>
      </w:pPr>
      <w:r>
        <w:rPr>
          <w:rFonts w:ascii="Amiri" w:cs="Amiri" w:eastAsia="Amiri" w:hAnsi="Amiri"/>
          <w:color w:val="1C1C1C"/>
          <w:sz w:val="24"/>
          <w:szCs w:val="24"/>
          <w:rtl/>
        </w:rPr>
        <w:t xml:space="preserve">يشهد عالمنا ثورة طبية غير مسبوقة في علاج السمنة. أدوية GLP-1 مثل الأوزمبك غيّرت الطب جذريًا — لكن جوهرها تأكيد لما أرشد إليه النبي ﷺ قبل 14 قرنًا.</w:t>
      </w:r>
    </w:p>
    <w:p>
      <w:pPr>
        <w:bidi/>
        <w:spacing w:after="200" w:line="360"/>
        <w:jc w:val="right"/>
      </w:pPr>
      <w:r>
        <w:rPr>
          <w:rFonts w:ascii="Amiri" w:cs="Amiri" w:eastAsia="Amiri" w:hAnsi="Amiri"/>
          <w:color w:val="1C1C1C"/>
          <w:sz w:val="24"/>
          <w:szCs w:val="24"/>
          <w:rtl/>
        </w:rPr>
        <w:t xml:space="preserve">نبّه النبي ﷺ إلى خطورة الإفراط: «ما ملأ آدمي وعاء شرًا من بطنه، بحسب ابن آدم لقيمات يقمن صلبه، فإن كان لا محالة فثلث لطعامه وثلث لشرابه وثلث لنفسه». وأكد الغزالي أن «البطن ينبوع الشهوات ومنبت الأدواء».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Amiri" w:cs="Amiri" w:eastAsia="Amiri" w:hAnsi="Amiri"/>
          <w:color w:val="C9A84C"/>
          <w:sz w:val="32"/>
          <w:szCs w:val="32"/>
        </w:rPr>
        <w:t xml:space="preserve">﷽</w:t>
      </w:r>
    </w:p>
    <w:p>
      <w:pPr>
        <w:shd w:fill="F5F0E8" w:val="clear"/>
        <w:bidi/>
        <w:spacing w:after="100" w:before="200"/>
        <w:jc w:val="center"/>
      </w:pPr>
      <w:r>
        <w:rPr>
          <w:rFonts w:ascii="Amiri" w:cs="Amiri" w:eastAsia="Amiri" w:hAnsi="Amiri"/>
          <w:b/>
          <w:bCs/>
          <w:color w:val="2C3E50"/>
          <w:sz w:val="26"/>
          <w:szCs w:val="26"/>
          <w:rtl/>
        </w:rPr>
        <w:t xml:space="preserve">﴿ يَا بَنِي آدَمَ خُذُوا زِينَتَكُمْ عِنْدَ كُلِّ مَسْجِدٍ وَكُلُوا وَاشْرَبُوا وَلَا تُسْرِفُوا ﴾</w:t>
      </w:r>
    </w:p>
    <w:p>
      <w:pPr>
        <w:bidi/>
        <w:spacing w:after="200"/>
        <w:jc w:val="center"/>
      </w:pPr>
      <w:r>
        <w:rPr>
          <w:rFonts w:ascii="Amiri" w:cs="Amiri" w:eastAsia="Amiri" w:hAnsi="Amiri"/>
          <w:color w:val="999999"/>
          <w:sz w:val="18"/>
          <w:szCs w:val="18"/>
          <w:rtl/>
        </w:rPr>
        <w:t xml:space="preserve">سورة الأعراف: 31</w:t>
      </w:r>
    </w:p>
    <w:p>
      <w:pPr>
        <w:pStyle w:val="Heading1"/>
        <w:bidi/>
        <w:spacing w:after="300" w:before="400"/>
        <w:jc w:val="center"/>
      </w:pPr>
      <w:r>
        <w:rPr>
          <w:rFonts w:ascii="Amiri" w:cs="Amiri" w:eastAsia="Amiri" w:hAnsi="Amiri"/>
          <w:b/>
          <w:bCs/>
          <w:color w:val="1B3A5C"/>
          <w:sz w:val="36"/>
          <w:szCs w:val="36"/>
          <w:rtl/>
        </w:rPr>
        <w:t xml:space="preserve">الفصل الأول: حديث النبي ﷺ في الاعتدال في الطعام</w:t>
      </w:r>
    </w:p>
    <w:p>
      <w:pPr>
        <w:pBdr>
          <w:top w:val="single" w:color="C9A84C" w:sz="1" w:space="8"/>
          <w:bottom w:val="single" w:color="C9A84C" w:sz="1" w:space="8"/>
        </w:pBdr>
        <w:bidi/>
        <w:spacing w:after="100" w:before="200"/>
        <w:jc w:val="center"/>
      </w:pPr>
      <w:r>
        <w:rPr>
          <w:rFonts w:ascii="Amiri" w:cs="Amiri" w:eastAsia="Amiri" w:hAnsi="Amiri"/>
          <w:i/>
          <w:iCs/>
          <w:color w:val="2C3E50"/>
          <w:sz w:val="26"/>
          <w:szCs w:val="26"/>
          <w:rtl/>
        </w:rPr>
        <w:t xml:space="preserve">«ما ملأ آدَميٌّ وِعاءً شرًّا من بطنٍ، بحَسْبِ ابنِ آدمَ لُقَيماتٌ يُقِمْنَ صُلبَه، فإن كان لا مَحالَةَ فثُلُثٌ لطعامِه وثُلُثٌ لشرابِه وثُلُثٌ لنفَسِه»</w:t>
      </w:r>
    </w:p>
    <w:p>
      <w:pPr>
        <w:bidi/>
        <w:spacing w:after="200"/>
        <w:jc w:val="center"/>
      </w:pPr>
      <w:r>
        <w:rPr>
          <w:rFonts w:ascii="Amiri" w:cs="Amiri" w:eastAsia="Amiri" w:hAnsi="Amiri"/>
          <w:color w:val="999999"/>
          <w:sz w:val="18"/>
          <w:szCs w:val="18"/>
          <w:rtl/>
        </w:rPr>
        <w:t xml:space="preserve">رواه الترمذي (2380) — المقدام بن معد يكرب</w:t>
      </w:r>
    </w:p>
    <w:p>
      <w:pPr>
        <w:pStyle w:val="Heading2"/>
        <w:bidi/>
        <w:spacing w:after="300" w:before="400"/>
        <w:jc w:val="center"/>
      </w:pPr>
      <w:r>
        <w:rPr>
          <w:rFonts w:ascii="Amiri" w:cs="Amiri" w:eastAsia="Amiri" w:hAnsi="Amiri"/>
          <w:b/>
          <w:bCs/>
          <w:color w:val="1B3A5C"/>
          <w:sz w:val="30"/>
          <w:szCs w:val="30"/>
          <w:rtl/>
        </w:rPr>
        <w:t xml:space="preserve">التخريج</w:t>
      </w:r>
    </w:p>
    <w:p>
      <w:pPr>
        <w:bidi/>
        <w:spacing w:after="200" w:line="360"/>
        <w:jc w:val="right"/>
      </w:pPr>
      <w:r>
        <w:rPr>
          <w:rFonts w:ascii="Amiri" w:cs="Amiri" w:eastAsia="Amiri" w:hAnsi="Amiri"/>
          <w:color w:val="1C1C1C"/>
          <w:sz w:val="24"/>
          <w:szCs w:val="24"/>
          <w:rtl/>
        </w:rPr>
        <w:t xml:space="preserve">رواه أحمد والترمذي والنسائي وابن ماجه. صححه الألباني وابن حبان والحاكم.</w:t>
      </w:r>
    </w:p>
    <w:p>
      <w:pPr>
        <w:pStyle w:val="Heading2"/>
        <w:bidi/>
        <w:spacing w:after="300" w:before="400"/>
        <w:jc w:val="center"/>
      </w:pPr>
      <w:r>
        <w:rPr>
          <w:rFonts w:ascii="Amiri" w:cs="Amiri" w:eastAsia="Amiri" w:hAnsi="Amiri"/>
          <w:b/>
          <w:bCs/>
          <w:color w:val="1B3A5C"/>
          <w:sz w:val="30"/>
          <w:szCs w:val="30"/>
          <w:rtl/>
        </w:rPr>
        <w:t xml:space="preserve">المراتب الثلاث</w:t>
      </w:r>
    </w:p>
    <w:p>
      <w:pPr>
        <w:bidi/>
        <w:spacing w:after="200" w:line="360"/>
        <w:jc w:val="right"/>
      </w:pPr>
      <w:r>
        <w:rPr>
          <w:rFonts w:ascii="Amiri" w:cs="Amiri" w:eastAsia="Amiri" w:hAnsi="Amiri"/>
          <w:color w:val="1C1C1C"/>
          <w:sz w:val="24"/>
          <w:szCs w:val="24"/>
          <w:rtl/>
        </w:rPr>
        <w:t xml:space="preserve">المرتبة الأولى: التحذير من ملء البطن. المرتبة الثانية: الاكتفاء بلقيمات = تقييد السعرات الحرارية. المرتبة الثالثة: ثلث طعام وثلث شراب وثلث نفَس.</w:t>
      </w:r>
    </w:p>
    <w:p>
      <w:pPr>
        <w:pStyle w:val="Heading2"/>
        <w:bidi/>
        <w:spacing w:after="300" w:before="400"/>
        <w:jc w:val="center"/>
      </w:pPr>
      <w:r>
        <w:rPr>
          <w:rFonts w:ascii="Amiri" w:cs="Amiri" w:eastAsia="Amiri" w:hAnsi="Amiri"/>
          <w:b/>
          <w:bCs/>
          <w:color w:val="1B3A5C"/>
          <w:sz w:val="30"/>
          <w:szCs w:val="30"/>
          <w:rtl/>
        </w:rPr>
        <w:t xml:space="preserve">أقوال العلماء</w:t>
      </w:r>
    </w:p>
    <w:p>
      <w:pPr>
        <w:bidi/>
        <w:spacing w:after="200" w:line="360"/>
        <w:jc w:val="right"/>
      </w:pPr>
      <w:r>
        <w:rPr>
          <w:rFonts w:ascii="Amiri" w:cs="Amiri" w:eastAsia="Amiri" w:hAnsi="Amiri"/>
          <w:color w:val="1C1C1C"/>
          <w:sz w:val="24"/>
          <w:szCs w:val="24"/>
          <w:rtl/>
        </w:rPr>
        <w:t xml:space="preserve">قال ابن رجب: «أصل جامع لأصول الطب كلها». وقال ابن ماسويه: «لو استعمل الناس هذه الكلمات لسلموا من الأمراض والأسقام».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Amiri" w:cs="Amiri" w:eastAsia="Amiri" w:hAnsi="Amiri"/>
          <w:color w:val="C9A84C"/>
          <w:sz w:val="32"/>
          <w:szCs w:val="32"/>
        </w:rPr>
        <w:t xml:space="preserve">﷽</w:t>
      </w:r>
    </w:p>
    <w:p>
      <w:pPr>
        <w:shd w:fill="F5F0E8" w:val="clear"/>
        <w:bidi/>
        <w:spacing w:after="100" w:before="200"/>
        <w:jc w:val="center"/>
      </w:pPr>
      <w:r>
        <w:rPr>
          <w:rFonts w:ascii="Amiri" w:cs="Amiri" w:eastAsia="Amiri" w:hAnsi="Amiri"/>
          <w:b/>
          <w:bCs/>
          <w:color w:val="2C3E50"/>
          <w:sz w:val="26"/>
          <w:szCs w:val="26"/>
          <w:rtl/>
        </w:rPr>
        <w:t xml:space="preserve">﴿ وَالَّذِينَ إِذَا أَنفَقُوا لَمْ يُسْرِفُوا وَلَمْ يَقْتُرُوا وَكَانَ بَيْنَ ذَٰلِكَ قَوَامًا ﴾</w:t>
      </w:r>
    </w:p>
    <w:p>
      <w:pPr>
        <w:bidi/>
        <w:spacing w:after="200"/>
        <w:jc w:val="center"/>
      </w:pPr>
      <w:r>
        <w:rPr>
          <w:rFonts w:ascii="Amiri" w:cs="Amiri" w:eastAsia="Amiri" w:hAnsi="Amiri"/>
          <w:color w:val="999999"/>
          <w:sz w:val="18"/>
          <w:szCs w:val="18"/>
          <w:rtl/>
        </w:rPr>
        <w:t xml:space="preserve">سورة الفرقان: 67</w:t>
      </w:r>
    </w:p>
    <w:p>
      <w:pPr>
        <w:pStyle w:val="Heading1"/>
        <w:bidi/>
        <w:spacing w:after="300" w:before="400"/>
        <w:jc w:val="center"/>
      </w:pPr>
      <w:r>
        <w:rPr>
          <w:rFonts w:ascii="Amiri" w:cs="Amiri" w:eastAsia="Amiri" w:hAnsi="Amiri"/>
          <w:b/>
          <w:bCs/>
          <w:color w:val="1B3A5C"/>
          <w:sz w:val="36"/>
          <w:szCs w:val="36"/>
          <w:rtl/>
        </w:rPr>
        <w:t xml:space="preserve">الفصل الثاني: الإمام الغزالي وآفات شره الطعام</w:t>
      </w:r>
    </w:p>
    <w:p>
      <w:pPr>
        <w:bidi/>
        <w:spacing w:after="200" w:line="360"/>
        <w:jc w:val="right"/>
      </w:pPr>
      <w:r>
        <w:rPr>
          <w:rFonts w:ascii="Amiri" w:cs="Amiri" w:eastAsia="Amiri" w:hAnsi="Amiri"/>
          <w:color w:val="1C1C1C"/>
          <w:sz w:val="24"/>
          <w:szCs w:val="24"/>
          <w:rtl/>
        </w:rPr>
        <w:t xml:space="preserve">خصص الغزالي (450-505 هـ) كتاب كسر الشهوتين في إحياء علوم الدين. قال: «البطن على التحقيق ينبوع الشهوات ومنبت الأدواء والآفات».</w:t>
      </w:r>
    </w:p>
    <w:p>
      <w:pPr>
        <w:pStyle w:val="Heading2"/>
        <w:bidi/>
        <w:spacing w:after="300" w:before="400"/>
        <w:jc w:val="center"/>
      </w:pPr>
      <w:r>
        <w:rPr>
          <w:rFonts w:ascii="Amiri" w:cs="Amiri" w:eastAsia="Amiri" w:hAnsi="Amiri"/>
          <w:b/>
          <w:bCs/>
          <w:color w:val="1B3A5C"/>
          <w:sz w:val="30"/>
          <w:szCs w:val="30"/>
          <w:rtl/>
        </w:rPr>
        <w:t xml:space="preserve">فوائد تقليل الطعام الثمانية</w:t>
      </w:r>
    </w:p>
    <w:p>
      <w:pPr>
        <w:bidi/>
        <w:spacing w:after="200" w:line="360"/>
        <w:jc w:val="right"/>
      </w:pPr>
      <w:r>
        <w:rPr>
          <w:rFonts w:ascii="Amiri" w:cs="Amiri" w:eastAsia="Amiri" w:hAnsi="Amiri"/>
          <w:color w:val="1C1C1C"/>
          <w:sz w:val="24"/>
          <w:szCs w:val="24"/>
          <w:rtl/>
        </w:rPr>
        <w:t xml:space="preserve">رقة القلب، ذل النفس، تذكر البلاء والمساكين، كسر شهوات المعاصي، دفع النوم، تيسير العبادة، صحة البدن ودفع الأمراض.</w:t>
      </w:r>
    </w:p>
    <w:p>
      <w:pPr>
        <w:pStyle w:val="Heading2"/>
        <w:bidi/>
        <w:spacing w:after="300" w:before="400"/>
        <w:jc w:val="center"/>
      </w:pPr>
      <w:r>
        <w:rPr>
          <w:rFonts w:ascii="Amiri" w:cs="Amiri" w:eastAsia="Amiri" w:hAnsi="Amiri"/>
          <w:b/>
          <w:bCs/>
          <w:color w:val="1B3A5C"/>
          <w:sz w:val="30"/>
          <w:szCs w:val="30"/>
          <w:rtl/>
        </w:rPr>
        <w:t xml:space="preserve">آفات الشبع</w:t>
      </w:r>
    </w:p>
    <w:p>
      <w:pPr>
        <w:bidi/>
        <w:spacing w:after="200" w:line="360"/>
        <w:jc w:val="right"/>
      </w:pPr>
      <w:r>
        <w:rPr>
          <w:rFonts w:ascii="Amiri" w:cs="Amiri" w:eastAsia="Amiri" w:hAnsi="Amiri"/>
          <w:color w:val="1C1C1C"/>
          <w:sz w:val="24"/>
          <w:szCs w:val="24"/>
          <w:rtl/>
        </w:rPr>
        <w:t xml:space="preserve">قسوة القلب، «البِطنة تُذهب الفطنة»، اضطرابات النوم.</w:t>
      </w:r>
    </w:p>
    <w:p>
      <w:pPr>
        <w:pStyle w:val="Heading2"/>
        <w:bidi/>
        <w:spacing w:after="300" w:before="400"/>
        <w:jc w:val="center"/>
      </w:pPr>
      <w:r>
        <w:rPr>
          <w:rFonts w:ascii="Amiri" w:cs="Amiri" w:eastAsia="Amiri" w:hAnsi="Amiri"/>
          <w:b/>
          <w:bCs/>
          <w:color w:val="1B3A5C"/>
          <w:sz w:val="30"/>
          <w:szCs w:val="30"/>
          <w:rtl/>
        </w:rPr>
        <w:t xml:space="preserve">التقليل التدريجي</w:t>
      </w:r>
    </w:p>
    <w:p>
      <w:pPr>
        <w:bidi/>
        <w:spacing w:after="200" w:line="360"/>
        <w:jc w:val="right"/>
      </w:pPr>
      <w:r>
        <w:rPr>
          <w:rFonts w:ascii="Amiri" w:cs="Amiri" w:eastAsia="Amiri" w:hAnsi="Amiri"/>
          <w:color w:val="1C1C1C"/>
          <w:sz w:val="24"/>
          <w:szCs w:val="24"/>
          <w:rtl/>
        </w:rPr>
        <w:t xml:space="preserve">«فمن اعتاد الكثير فليتدرج قليلًا قليلًا» = الصيام المتقطع وتقييد السعرات.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Amiri" w:cs="Amiri" w:eastAsia="Amiri" w:hAnsi="Amiri"/>
          <w:color w:val="C9A84C"/>
          <w:sz w:val="32"/>
          <w:szCs w:val="32"/>
        </w:rPr>
        <w:t xml:space="preserve">﷽</w:t>
      </w:r>
    </w:p>
    <w:p>
      <w:pPr>
        <w:pStyle w:val="Heading1"/>
        <w:bidi/>
        <w:spacing w:after="300" w:before="400"/>
        <w:jc w:val="center"/>
      </w:pPr>
      <w:r>
        <w:rPr>
          <w:rFonts w:ascii="Amiri" w:cs="Amiri" w:eastAsia="Amiri" w:hAnsi="Amiri"/>
          <w:b/>
          <w:bCs/>
          <w:color w:val="1B3A5C"/>
          <w:sz w:val="36"/>
          <w:szCs w:val="36"/>
          <w:rtl/>
        </w:rPr>
        <w:t xml:space="preserve">الفصل الثالث: ثورة أدوية GLP-1</w:t>
      </w:r>
    </w:p>
    <w:p>
      <w:pPr>
        <w:bidi/>
        <w:spacing w:after="200" w:line="360"/>
        <w:jc w:val="right"/>
      </w:pPr>
      <w:r>
        <w:rPr>
          <w:rFonts w:ascii="Amiri" w:cs="Amiri" w:eastAsia="Amiri" w:hAnsi="Amiri"/>
          <w:color w:val="1C1C1C"/>
          <w:sz w:val="24"/>
          <w:szCs w:val="24"/>
          <w:rtl/>
        </w:rPr>
        <w:t xml:space="preserve">سيماغلوتيد (أوزمبك/ويغوفي): إنقاص وزن 15-20%. تيرزيباتيد (مونجارو/زيبباوند): 20-26%. معتمدة لأمراض القلب والكلى والكبد الدهني وتوقف التنفس أثناء النوم. تجارب في ألزهايمر والإدمان.</w:t>
      </w:r>
    </w:p>
    <w:p>
      <w:pPr>
        <w:bidi/>
        <w:spacing w:after="200" w:line="360"/>
        <w:jc w:val="right"/>
      </w:pPr>
      <w:r>
        <w:rPr>
          <w:rFonts w:ascii="Amiri" w:cs="Amiri" w:eastAsia="Amiri" w:hAnsi="Amiri"/>
          <w:color w:val="1C1C1C"/>
          <w:sz w:val="24"/>
          <w:szCs w:val="24"/>
          <w:rtl/>
        </w:rPr>
        <w:t xml:space="preserve">ريتاتروتيد (ناهض ثلاثي — 24%). السوق: 70 مليار دولار (2025)، متوقع 200+ مليار (2033).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Amiri" w:cs="Amiri" w:eastAsia="Amiri" w:hAnsi="Amiri"/>
          <w:color w:val="C9A84C"/>
          <w:sz w:val="32"/>
          <w:szCs w:val="32"/>
        </w:rPr>
        <w:t xml:space="preserve">﷽</w:t>
      </w:r>
    </w:p>
    <w:p>
      <w:pPr>
        <w:pStyle w:val="Heading1"/>
        <w:bidi/>
        <w:spacing w:after="300" w:before="400"/>
        <w:jc w:val="center"/>
      </w:pPr>
      <w:r>
        <w:rPr>
          <w:rFonts w:ascii="Amiri" w:cs="Amiri" w:eastAsia="Amiri" w:hAnsi="Amiri"/>
          <w:b/>
          <w:bCs/>
          <w:color w:val="1B3A5C"/>
          <w:sz w:val="36"/>
          <w:szCs w:val="36"/>
          <w:rtl/>
        </w:rPr>
        <w:t xml:space="preserve">الفصل الرابع: مثبطات SGLT2 وحماية الكلى</w:t>
      </w:r>
    </w:p>
    <w:p>
      <w:pPr>
        <w:bidi/>
        <w:spacing w:after="200" w:line="360"/>
        <w:jc w:val="right"/>
      </w:pPr>
      <w:r>
        <w:rPr>
          <w:rFonts w:ascii="Amiri" w:cs="Amiri" w:eastAsia="Amiri" w:hAnsi="Amiri"/>
          <w:color w:val="1C1C1C"/>
          <w:sz w:val="24"/>
          <w:szCs w:val="24"/>
          <w:rtl/>
        </w:rPr>
        <w:t xml:space="preserve">دراستنا (Schaub, AlAkwaa et al., JCI 2023): scRNAseq من خزعات كلوية لشباب (12-21 سنة). قمع التحلل السكري/TCA، تعزيز AMPK/FOXO3، تراجع mTORC1. نتائج إضافية: تحسين أكسجة الكلى، تعزيز الميتالوثيونين، زيادة EGF.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Amiri" w:cs="Amiri" w:eastAsia="Amiri" w:hAnsi="Amiri"/>
          <w:color w:val="C9A84C"/>
          <w:sz w:val="32"/>
          <w:szCs w:val="32"/>
        </w:rPr>
        <w:t xml:space="preserve">﷽</w:t>
      </w:r>
    </w:p>
    <w:p>
      <w:pPr>
        <w:pStyle w:val="Heading1"/>
        <w:bidi/>
        <w:spacing w:after="300" w:before="400"/>
        <w:jc w:val="center"/>
      </w:pPr>
      <w:r>
        <w:rPr>
          <w:rFonts w:ascii="Amiri" w:cs="Amiri" w:eastAsia="Amiri" w:hAnsi="Amiri"/>
          <w:b/>
          <w:bCs/>
          <w:color w:val="1B3A5C"/>
          <w:sz w:val="36"/>
          <w:szCs w:val="36"/>
          <w:rtl/>
        </w:rPr>
        <w:t xml:space="preserve">الفصل الخامس: جراحة تكميم المعدة VSG</w:t>
      </w:r>
    </w:p>
    <w:p>
      <w:pPr>
        <w:bidi/>
        <w:spacing w:after="200" w:line="360"/>
        <w:jc w:val="right"/>
      </w:pPr>
      <w:r>
        <w:rPr>
          <w:rFonts w:ascii="Amiri" w:cs="Amiri" w:eastAsia="Amiri" w:hAnsi="Amiri"/>
          <w:color w:val="1C1C1C"/>
          <w:sz w:val="24"/>
          <w:szCs w:val="24"/>
          <w:rtl/>
        </w:rPr>
        <w:t xml:space="preserve">دراستنا (Naik, Alakwaa et al., 2026): IMPROVE-T2D — scRNAseq قبل وبعد 12 شهرًا. تراجع الترشيح المفرط وحجم الكلى. قمع التحلل السكري/TCA، تنشيط AMPK/FOXO3، تراجع mTORC1 وJAK-STAT. التشابه المذهل مع مثبطات SGLT2 = آلية مشتركة: تقليل الحمل الأيضي.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Amiri" w:cs="Amiri" w:eastAsia="Amiri" w:hAnsi="Amiri"/>
          <w:color w:val="C9A84C"/>
          <w:sz w:val="32"/>
          <w:szCs w:val="32"/>
        </w:rPr>
        <w:t xml:space="preserve">﷽</w:t>
      </w:r>
    </w:p>
    <w:p>
      <w:pPr>
        <w:pStyle w:val="Heading1"/>
        <w:bidi/>
        <w:spacing w:after="300" w:before="400"/>
        <w:jc w:val="center"/>
      </w:pPr>
      <w:r>
        <w:rPr>
          <w:rFonts w:ascii="Amiri" w:cs="Amiri" w:eastAsia="Amiri" w:hAnsi="Amiri"/>
          <w:b/>
          <w:bCs/>
          <w:color w:val="1B3A5C"/>
          <w:sz w:val="36"/>
          <w:szCs w:val="36"/>
          <w:rtl/>
        </w:rPr>
        <w:t xml:space="preserve">الفصل السادس: أبحاثنا المنشورة</w:t>
      </w:r>
    </w:p>
    <w:p>
      <w:pPr>
        <w:bidi/>
        <w:spacing w:after="200" w:line="360"/>
        <w:jc w:val="right"/>
      </w:pPr>
      <w:r>
        <w:rPr>
          <w:rFonts w:ascii="Amiri" w:cs="Amiri" w:eastAsia="Amiri" w:hAnsi="Amiri"/>
          <w:color w:val="1C1C1C"/>
          <w:sz w:val="24"/>
          <w:szCs w:val="24"/>
          <w:rtl/>
        </w:rPr>
        <w:t xml:space="preserve">1. JCI 2023: Schaub*, AlAkwaa* et al. J Clin Invest. 2023;133(5):e164486.</w:t>
      </w:r>
    </w:p>
    <w:p>
      <w:pPr>
        <w:bidi/>
        <w:spacing w:after="200" w:line="360"/>
        <w:jc w:val="right"/>
      </w:pPr>
      <w:r>
        <w:rPr>
          <w:rFonts w:ascii="Amiri" w:cs="Amiri" w:eastAsia="Amiri" w:hAnsi="Amiri"/>
          <w:color w:val="1C1C1C"/>
          <w:sz w:val="24"/>
          <w:szCs w:val="24"/>
          <w:rtl/>
        </w:rPr>
        <w:t xml:space="preserve">2. VSG 2026: Naik, Alakwaa et al.</w:t>
      </w:r>
    </w:p>
    <w:p>
      <w:pPr>
        <w:bidi/>
        <w:spacing w:after="200" w:line="360"/>
        <w:jc w:val="right"/>
      </w:pPr>
      <w:r>
        <w:rPr>
          <w:rFonts w:ascii="Amiri" w:cs="Amiri" w:eastAsia="Amiri" w:hAnsi="Amiri"/>
          <w:color w:val="1C1C1C"/>
          <w:sz w:val="24"/>
          <w:szCs w:val="24"/>
          <w:rtl/>
        </w:rPr>
        <w:t xml:space="preserve">3. Kidney International 2023: SGLT2i increases EGF expression.</w:t>
      </w:r>
    </w:p>
    <w:p>
      <w:pPr>
        <w:bidi/>
        <w:spacing w:after="200" w:line="360"/>
        <w:jc w:val="right"/>
      </w:pPr>
      <w:r>
        <w:rPr>
          <w:rFonts w:ascii="Amiri" w:cs="Amiri" w:eastAsia="Amiri" w:hAnsi="Amiri"/>
          <w:color w:val="1C1C1C"/>
          <w:sz w:val="24"/>
          <w:szCs w:val="24"/>
          <w:rtl/>
        </w:rPr>
        <w:t xml:space="preserve">4. مؤتمرات WCN: WCN23-0761, WCN23-0471, WCN23-0472.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Amiri" w:cs="Amiri" w:eastAsia="Amiri" w:hAnsi="Amiri"/>
          <w:color w:val="C9A84C"/>
          <w:sz w:val="32"/>
          <w:szCs w:val="32"/>
        </w:rPr>
        <w:t xml:space="preserve">﷽</w:t>
      </w:r>
    </w:p>
    <w:p>
      <w:pPr>
        <w:pStyle w:val="Heading1"/>
        <w:bidi/>
        <w:spacing w:after="300" w:before="400"/>
        <w:jc w:val="center"/>
      </w:pPr>
      <w:r>
        <w:rPr>
          <w:rFonts w:ascii="Amiri" w:cs="Amiri" w:eastAsia="Amiri" w:hAnsi="Amiri"/>
          <w:b/>
          <w:bCs/>
          <w:color w:val="1B3A5C"/>
          <w:sz w:val="36"/>
          <w:szCs w:val="36"/>
          <w:rtl/>
        </w:rPr>
        <w:t xml:space="preserve">الفصل السابع: الجسر بين الحكمة والطب</w:t>
      </w:r>
    </w:p>
    <w:p>
      <w:pPr>
        <w:bidi/>
        <w:spacing w:after="200" w:line="360"/>
        <w:jc w:val="right"/>
      </w:pPr>
      <w:r>
        <w:rPr>
          <w:rFonts w:ascii="Amiri" w:cs="Amiri" w:eastAsia="Amiri" w:hAnsi="Amiri"/>
          <w:color w:val="1C1C1C"/>
          <w:sz w:val="24"/>
          <w:szCs w:val="24"/>
          <w:rtl/>
        </w:rPr>
        <w:t xml:space="preserve">أدوية GLP-1 تقلل الشهية 20-30% = ما أرشد إليه النبي ﷺ بلا دواء. متلازمة الأيض = تسلسل الغزالي. الصيام الإسلامي = أقدم صيام متقطع (نوبل 2016). مسار mTORC1 = مسار طول العمر.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Amiri" w:cs="Amiri" w:eastAsia="Amiri" w:hAnsi="Amiri"/>
          <w:color w:val="C9A84C"/>
          <w:sz w:val="32"/>
          <w:szCs w:val="32"/>
        </w:rPr>
        <w:t xml:space="preserve">﷽</w:t>
      </w:r>
    </w:p>
    <w:p>
      <w:pPr>
        <w:pStyle w:val="Heading1"/>
        <w:bidi/>
        <w:spacing w:after="300" w:before="400"/>
        <w:jc w:val="center"/>
      </w:pPr>
      <w:r>
        <w:rPr>
          <w:rFonts w:ascii="Amiri" w:cs="Amiri" w:eastAsia="Amiri" w:hAnsi="Amiri"/>
          <w:b/>
          <w:bCs/>
          <w:color w:val="1B3A5C"/>
          <w:sz w:val="36"/>
          <w:szCs w:val="36"/>
          <w:rtl/>
        </w:rPr>
        <w:t xml:space="preserve">الفصل الثامن: توصيات عملية</w:t>
      </w:r>
    </w:p>
    <w:p>
      <w:pPr>
        <w:bidi/>
        <w:spacing w:after="200" w:line="360"/>
        <w:jc w:val="right"/>
      </w:pPr>
      <w:r>
        <w:rPr>
          <w:rFonts w:ascii="Amiri" w:cs="Amiri" w:eastAsia="Amiri" w:hAnsi="Amiri"/>
          <w:color w:val="1C1C1C"/>
          <w:sz w:val="24"/>
          <w:szCs w:val="24"/>
          <w:rtl/>
        </w:rPr>
        <w:t xml:space="preserve">نظام الثلث النبوي. الصيام على السنة (الاثنين والخميس والأيام البيض). الأدوية عند BMI &gt; 30. الجراحة عند BMI &gt; 40. الوقاية أفضل وأرخص.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Amiri" w:cs="Amiri" w:eastAsia="Amiri" w:hAnsi="Amiri"/>
          <w:color w:val="C9A84C"/>
          <w:sz w:val="32"/>
          <w:szCs w:val="32"/>
        </w:rPr>
        <w:t xml:space="preserve">﷽</w:t>
      </w:r>
    </w:p>
    <w:p>
      <w:pPr>
        <w:pStyle w:val="Heading1"/>
        <w:bidi/>
        <w:spacing w:after="300" w:before="400"/>
        <w:jc w:val="center"/>
      </w:pPr>
      <w:r>
        <w:rPr>
          <w:rFonts w:ascii="Amiri" w:cs="Amiri" w:eastAsia="Amiri" w:hAnsi="Amiri"/>
          <w:b/>
          <w:bCs/>
          <w:color w:val="1B3A5C"/>
          <w:sz w:val="36"/>
          <w:szCs w:val="36"/>
          <w:rtl/>
        </w:rPr>
        <w:t xml:space="preserve">الخاتمة</w:t>
      </w:r>
    </w:p>
    <w:p>
      <w:pPr>
        <w:bidi/>
        <w:spacing w:after="200" w:line="360"/>
        <w:jc w:val="right"/>
      </w:pPr>
      <w:r>
        <w:rPr>
          <w:rFonts w:ascii="Amiri" w:cs="Amiri" w:eastAsia="Amiri" w:hAnsi="Amiri"/>
          <w:color w:val="1C1C1C"/>
          <w:sz w:val="24"/>
          <w:szCs w:val="24"/>
          <w:rtl/>
        </w:rPr>
        <w:t xml:space="preserve">الثورة الطبية تأكيد لهدي النبي ﷺ. أبحاثنا أثبتت أن تقليل الحمل الأيضي يحمي الأعضاء — الترجمة العلمية لحكمة النبوة.</w:t>
      </w:r>
    </w:p>
    <w:p>
      <w:pPr>
        <w:bidi/>
        <w:spacing w:before="300"/>
        <w:jc w:val="center"/>
      </w:pPr>
      <w:r>
        <w:rPr>
          <w:rFonts w:ascii="Amiri" w:cs="Amiri" w:eastAsia="Amiri" w:hAnsi="Amiri"/>
          <w:b/>
          <w:bCs/>
          <w:color w:val="C9A84C"/>
          <w:sz w:val="28"/>
          <w:szCs w:val="28"/>
          <w:rtl/>
        </w:rPr>
        <w:t xml:space="preserve">والله أعلم</w:t>
      </w:r>
    </w:p>
    <w:p>
      <w:r>
        <w:br w:type="page"/>
      </w:r>
    </w:p>
    <w:p>
      <w:pPr>
        <w:pBdr>
          <w:top w:val="single" w:color="C9A84C" w:sz="1" w:space="5"/>
          <w:bottom w:val="single" w:color="C9A84C" w:sz="1" w:space="5"/>
        </w:pBdr>
        <w:spacing w:after="100" w:before="100"/>
        <w:jc w:val="center"/>
      </w:pPr>
      <w:r>
        <w:rPr>
          <w:rFonts w:ascii="Amiri" w:cs="Amiri" w:eastAsia="Amiri" w:hAnsi="Amiri"/>
          <w:sz w:val="4"/>
          <w:szCs w:val="4"/>
        </w:rPr>
        <w:t xml:space="preserve"/>
      </w:r>
    </w:p>
    <w:p>
      <w:pPr>
        <w:pStyle w:val="Heading1"/>
        <w:spacing w:after="300" w:before="400"/>
        <w:jc w:val="center"/>
      </w:pPr>
      <w:r>
        <w:rPr>
          <w:rFonts w:ascii="Amiri" w:cs="Amiri" w:eastAsia="Amiri" w:hAnsi="Amiri"/>
          <w:b/>
          <w:bCs/>
          <w:color w:val="1B3A5C"/>
          <w:sz w:val="36"/>
          <w:szCs w:val="36"/>
        </w:rPr>
        <w:t xml:space="preserve">English Translation Section</w:t>
      </w:r>
    </w:p>
    <w:p>
      <w:pPr>
        <w:spacing w:after="200" w:line="360"/>
        <w:jc w:val="left"/>
      </w:pPr>
      <w:r>
        <w:rPr>
          <w:rFonts w:ascii="Amiri" w:cs="Amiri" w:eastAsia="Amiri" w:hAnsi="Amiri"/>
          <w:color w:val="1C1C1C"/>
          <w:sz w:val="24"/>
          <w:szCs w:val="24"/>
        </w:rPr>
        <w:t xml:space="preserve">GLP-1 drugs confirm what the Prophet taught: moderation in eating. Our research at the University of Michigan demonstrates that both SGLT2 inhibitors (JCI 2023) and VSG surgery (2026) protect kidneys by suppressing glycolysis/TCA, enhancing AMPK/FOXO3, and reducing mTORC1 — the same longevity pathway inhibited by caloric restriction and fasting.</w:t>
      </w:r>
    </w:p>
    <w:p>
      <w:pPr>
        <w:spacing w:after="200" w:line="360"/>
        <w:jc w:val="left"/>
      </w:pPr>
      <w:r>
        <w:rPr>
          <w:rFonts w:ascii="Amiri" w:cs="Amiri" w:eastAsia="Amiri" w:hAnsi="Amiri"/>
          <w:color w:val="1C1C1C"/>
          <w:sz w:val="24"/>
          <w:szCs w:val="24"/>
        </w:rPr>
        <w:t xml:space="preserve">Al-Ghazali's cascade of afflictions from gluttony parallels Metabolic Syndrome. Islamic fasting activates autophagy (Nobel Prize 2016). The Prophet connected dietary moderation to health 14 centuries before science identified these molecular pathways.</w:t>
      </w:r>
    </w:p>
    <w:p>
      <w:r>
        <w:br w:type="page"/>
      </w:r>
    </w:p>
    <w:p>
      <w:pPr>
        <w:pStyle w:val="Heading1"/>
        <w:bidi/>
        <w:spacing w:after="300" w:before="400"/>
        <w:jc w:val="center"/>
      </w:pPr>
      <w:r>
        <w:rPr>
          <w:rFonts w:ascii="Amiri" w:cs="Amiri" w:eastAsia="Amiri" w:hAnsi="Amiri"/>
          <w:b/>
          <w:bCs/>
          <w:color w:val="1B3A5C"/>
          <w:sz w:val="36"/>
          <w:szCs w:val="36"/>
          <w:rtl/>
        </w:rPr>
        <w:t xml:space="preserve">نبذة عن المؤلف</w:t>
      </w:r>
    </w:p>
    <w:p>
      <w:pPr>
        <w:bidi/>
        <w:spacing w:after="200" w:line="360"/>
        <w:jc w:val="right"/>
      </w:pPr>
      <w:r>
        <w:rPr>
          <w:rFonts w:ascii="Amiri" w:cs="Amiri" w:eastAsia="Amiri" w:hAnsi="Amiri"/>
          <w:color w:val="1C1C1C"/>
          <w:sz w:val="22"/>
          <w:szCs w:val="22"/>
          <w:rtl/>
        </w:rPr>
        <w:t xml:space="preserve">د. فضل محمد الأكوع — باحث في البيولوجيا الحاسوبية والجينوميات المكانية في جامعة ميشيغان. 8+ منح بحثية و10+ سنوات تدريس.</w:t>
      </w:r>
    </w:p>
    <w:p>
      <w:pPr>
        <w:spacing w:after="200" w:line="360"/>
        <w:jc w:val="left"/>
      </w:pPr>
      <w:r>
        <w:rPr>
          <w:rFonts w:ascii="Amiri" w:cs="Amiri" w:eastAsia="Amiri" w:hAnsi="Amiri"/>
          <w:color w:val="1C1C1C"/>
          <w:sz w:val="22"/>
          <w:szCs w:val="22"/>
        </w:rPr>
        <w:t xml:space="preserve">Dr. Fadhl Mohammed Alakwaa — Researcher in computational biology at the University of Michigan. Over 8 grants, 10+ years teaching.</w:t>
      </w:r>
    </w:p>
    <w:p>
      <w:r>
        <w:br w:type="page"/>
      </w:r>
    </w:p>
    <w:p>
      <w:pPr>
        <w:pStyle w:val="Heading1"/>
        <w:bidi/>
        <w:spacing w:after="300" w:before="400"/>
        <w:jc w:val="center"/>
      </w:pPr>
      <w:r>
        <w:rPr>
          <w:rFonts w:ascii="Amiri" w:cs="Amiri" w:eastAsia="Amiri" w:hAnsi="Amiri"/>
          <w:b/>
          <w:bCs/>
          <w:color w:val="1B3A5C"/>
          <w:sz w:val="36"/>
          <w:szCs w:val="36"/>
          <w:rtl/>
        </w:rPr>
        <w:t xml:space="preserve">مؤلفات المؤلف</w:t>
      </w:r>
    </w:p>
    <w:p>
      <w:pPr>
        <w:bidi/>
        <w:spacing w:after="80"/>
        <w:jc w:val="right"/>
      </w:pPr>
      <w:r>
        <w:rPr>
          <w:rFonts w:ascii="Amiri" w:cs="Amiri" w:eastAsia="Amiri" w:hAnsi="Amiri"/>
          <w:color w:val="1C1C1C"/>
          <w:sz w:val="20"/>
          <w:szCs w:val="20"/>
          <w:rtl/>
        </w:rPr>
        <w:t xml:space="preserve">1. نهاية الكون في القرآن</w:t>
      </w:r>
    </w:p>
    <w:p>
      <w:pPr>
        <w:bidi/>
        <w:spacing w:after="80"/>
        <w:jc w:val="right"/>
      </w:pPr>
      <w:r>
        <w:rPr>
          <w:rFonts w:ascii="Amiri" w:cs="Amiri" w:eastAsia="Amiri" w:hAnsi="Amiri"/>
          <w:color w:val="1C1C1C"/>
          <w:sz w:val="20"/>
          <w:szCs w:val="20"/>
          <w:rtl/>
        </w:rPr>
        <w:t xml:space="preserve">2. تغيير الأجيال</w:t>
      </w:r>
    </w:p>
    <w:p>
      <w:pPr>
        <w:bidi/>
        <w:spacing w:after="80"/>
        <w:jc w:val="right"/>
      </w:pPr>
      <w:r>
        <w:rPr>
          <w:rFonts w:ascii="Amiri" w:cs="Amiri" w:eastAsia="Amiri" w:hAnsi="Amiri"/>
          <w:color w:val="1C1C1C"/>
          <w:sz w:val="20"/>
          <w:szCs w:val="20"/>
          <w:rtl/>
        </w:rPr>
        <w:t xml:space="preserve">3. هل انتهت الوحدة اليمنية؟</w:t>
      </w:r>
    </w:p>
    <w:p>
      <w:pPr>
        <w:bidi/>
        <w:spacing w:after="80"/>
        <w:jc w:val="right"/>
      </w:pPr>
      <w:r>
        <w:rPr>
          <w:rFonts w:ascii="Amiri" w:cs="Amiri" w:eastAsia="Amiri" w:hAnsi="Amiri"/>
          <w:color w:val="1C1C1C"/>
          <w:sz w:val="20"/>
          <w:szCs w:val="20"/>
          <w:rtl/>
        </w:rPr>
        <w:t xml:space="preserve">4. سر التقارب الأمريكي الإسرائيلي</w:t>
      </w:r>
    </w:p>
    <w:p>
      <w:pPr>
        <w:bidi/>
        <w:spacing w:after="80"/>
        <w:jc w:val="right"/>
      </w:pPr>
      <w:r>
        <w:rPr>
          <w:rFonts w:ascii="Amiri" w:cs="Amiri" w:eastAsia="Amiri" w:hAnsi="Amiri"/>
          <w:color w:val="1C1C1C"/>
          <w:sz w:val="20"/>
          <w:szCs w:val="20"/>
          <w:rtl/>
        </w:rPr>
        <w:t xml:space="preserve">5. العِلم نورٌ والجهل ظلام</w:t>
      </w:r>
    </w:p>
    <w:p>
      <w:pPr>
        <w:bidi/>
        <w:spacing w:after="80"/>
        <w:jc w:val="right"/>
      </w:pPr>
      <w:r>
        <w:rPr>
          <w:rFonts w:ascii="Amiri" w:cs="Amiri" w:eastAsia="Amiri" w:hAnsi="Amiri"/>
          <w:color w:val="1C1C1C"/>
          <w:sz w:val="20"/>
          <w:szCs w:val="20"/>
          <w:rtl/>
        </w:rPr>
        <w:t xml:space="preserve">6. الرؤساء اليمنيون في ويكيليكس</w:t>
      </w:r>
    </w:p>
    <w:p>
      <w:pPr>
        <w:bidi/>
        <w:spacing w:after="80"/>
        <w:jc w:val="right"/>
      </w:pPr>
      <w:r>
        <w:rPr>
          <w:rFonts w:ascii="Amiri" w:cs="Amiri" w:eastAsia="Amiri" w:hAnsi="Amiri"/>
          <w:color w:val="1C1C1C"/>
          <w:sz w:val="20"/>
          <w:szCs w:val="20"/>
          <w:rtl/>
        </w:rPr>
        <w:t xml:space="preserve">7. مشاكل اليمن</w:t>
      </w:r>
    </w:p>
    <w:p>
      <w:pPr>
        <w:bidi/>
        <w:spacing w:after="80"/>
        <w:jc w:val="right"/>
      </w:pPr>
      <w:r>
        <w:rPr>
          <w:rFonts w:ascii="Amiri" w:cs="Amiri" w:eastAsia="Amiri" w:hAnsi="Amiri"/>
          <w:color w:val="1C1C1C"/>
          <w:sz w:val="20"/>
          <w:szCs w:val="20"/>
          <w:rtl/>
        </w:rPr>
        <w:t xml:space="preserve">8. علامات الساعة</w:t>
      </w:r>
    </w:p>
    <w:p>
      <w:pPr>
        <w:bidi/>
        <w:spacing w:after="80"/>
        <w:jc w:val="right"/>
      </w:pPr>
      <w:r>
        <w:rPr>
          <w:rFonts w:ascii="Amiri" w:cs="Amiri" w:eastAsia="Amiri" w:hAnsi="Amiri"/>
          <w:color w:val="1C1C1C"/>
          <w:sz w:val="20"/>
          <w:szCs w:val="20"/>
          <w:rtl/>
        </w:rPr>
        <w:t xml:space="preserve">9. فن التربية</w:t>
      </w:r>
    </w:p>
    <w:p>
      <w:pPr>
        <w:bidi/>
        <w:spacing w:after="80"/>
        <w:jc w:val="right"/>
      </w:pPr>
      <w:r>
        <w:rPr>
          <w:rFonts w:ascii="Amiri" w:cs="Amiri" w:eastAsia="Amiri" w:hAnsi="Amiri"/>
          <w:color w:val="1C1C1C"/>
          <w:sz w:val="20"/>
          <w:szCs w:val="20"/>
          <w:rtl/>
        </w:rPr>
        <w:t xml:space="preserve">10. تأثير النماذج اللغوية</w:t>
      </w:r>
    </w:p>
    <w:p>
      <w:pPr>
        <w:bidi/>
        <w:spacing w:after="80"/>
        <w:jc w:val="right"/>
      </w:pPr>
      <w:r>
        <w:rPr>
          <w:rFonts w:ascii="Amiri" w:cs="Amiri" w:eastAsia="Amiri" w:hAnsi="Amiri"/>
          <w:color w:val="1C1C1C"/>
          <w:sz w:val="20"/>
          <w:szCs w:val="20"/>
          <w:rtl/>
        </w:rPr>
        <w:t xml:space="preserve">11. تصنيف الآيات</w:t>
      </w:r>
    </w:p>
    <w:p>
      <w:pPr>
        <w:bidi/>
        <w:spacing w:after="80"/>
        <w:jc w:val="right"/>
      </w:pPr>
      <w:r>
        <w:rPr>
          <w:rFonts w:ascii="Amiri" w:cs="Amiri" w:eastAsia="Amiri" w:hAnsi="Amiri"/>
          <w:color w:val="1C1C1C"/>
          <w:sz w:val="20"/>
          <w:szCs w:val="20"/>
          <w:rtl/>
        </w:rPr>
        <w:t xml:space="preserve">12. كيف تعمل النماذج اللغوية</w:t>
      </w:r>
    </w:p>
    <w:p>
      <w:pPr>
        <w:bidi/>
        <w:spacing w:after="80"/>
        <w:jc w:val="right"/>
      </w:pPr>
      <w:r>
        <w:rPr>
          <w:rFonts w:ascii="Amiri" w:cs="Amiri" w:eastAsia="Amiri" w:hAnsi="Amiri"/>
          <w:color w:val="1C1C1C"/>
          <w:sz w:val="20"/>
          <w:szCs w:val="20"/>
          <w:rtl/>
        </w:rPr>
        <w:t xml:space="preserve">13. دليل المهاجر اليمني</w:t>
      </w:r>
    </w:p>
    <w:p>
      <w:pPr>
        <w:bidi/>
        <w:spacing w:after="80"/>
        <w:jc w:val="right"/>
      </w:pPr>
      <w:r>
        <w:rPr>
          <w:rFonts w:ascii="Amiri" w:cs="Amiri" w:eastAsia="Amiri" w:hAnsi="Amiri"/>
          <w:color w:val="1C1C1C"/>
          <w:sz w:val="20"/>
          <w:szCs w:val="20"/>
          <w:rtl/>
        </w:rPr>
        <w:t xml:space="preserve">14. وادي السيليكون</w:t>
      </w:r>
    </w:p>
    <w:p>
      <w:pPr>
        <w:bidi/>
        <w:spacing w:after="80"/>
        <w:jc w:val="right"/>
      </w:pPr>
      <w:r>
        <w:rPr>
          <w:rFonts w:ascii="Amiri" w:cs="Amiri" w:eastAsia="Amiri" w:hAnsi="Amiri"/>
          <w:color w:val="1C1C1C"/>
          <w:sz w:val="20"/>
          <w:szCs w:val="20"/>
          <w:rtl/>
        </w:rPr>
        <w:t xml:space="preserve">15. المتنزهات الوطنية</w:t>
      </w:r>
    </w:p>
    <w:p>
      <w:pPr>
        <w:bidi/>
        <w:spacing w:after="80"/>
        <w:jc w:val="right"/>
      </w:pPr>
      <w:r>
        <w:rPr>
          <w:rFonts w:ascii="Amiri" w:cs="Amiri" w:eastAsia="Amiri" w:hAnsi="Amiri"/>
          <w:color w:val="1C1C1C"/>
          <w:sz w:val="20"/>
          <w:szCs w:val="20"/>
          <w:rtl/>
        </w:rPr>
        <w:t xml:space="preserve">16. الحقوق الزوجية</w:t>
      </w:r>
    </w:p>
    <w:p>
      <w:pPr>
        <w:bidi/>
        <w:spacing w:after="80"/>
        <w:jc w:val="right"/>
      </w:pPr>
      <w:r>
        <w:rPr>
          <w:rFonts w:ascii="Amiri" w:cs="Amiri" w:eastAsia="Amiri" w:hAnsi="Amiri"/>
          <w:color w:val="1C1C1C"/>
          <w:sz w:val="20"/>
          <w:szCs w:val="20"/>
          <w:rtl/>
        </w:rPr>
        <w:t xml:space="preserve">17. مستقبل المعلوماتية الحيوية</w:t>
      </w:r>
    </w:p>
    <w:p>
      <w:pPr>
        <w:bidi/>
        <w:spacing w:after="80"/>
        <w:jc w:val="right"/>
      </w:pPr>
      <w:r>
        <w:rPr>
          <w:rFonts w:ascii="Amiri" w:cs="Amiri" w:eastAsia="Amiri" w:hAnsi="Amiri"/>
          <w:color w:val="1C1C1C"/>
          <w:sz w:val="20"/>
          <w:szCs w:val="20"/>
          <w:rtl/>
        </w:rPr>
        <w:t xml:space="preserve">18. العملات الرقمية</w:t>
      </w:r>
    </w:p>
    <w:p>
      <w:pPr>
        <w:bidi/>
        <w:spacing w:after="80"/>
        <w:jc w:val="right"/>
      </w:pPr>
      <w:r>
        <w:rPr>
          <w:rFonts w:ascii="Amiri" w:cs="Amiri" w:eastAsia="Amiri" w:hAnsi="Amiri"/>
          <w:color w:val="1C1C1C"/>
          <w:sz w:val="20"/>
          <w:szCs w:val="20"/>
          <w:rtl/>
        </w:rPr>
        <w:t xml:space="preserve">19. التخطيط للتقاعد</w:t>
      </w:r>
    </w:p>
    <w:p>
      <w:pPr>
        <w:bidi/>
        <w:spacing w:after="80"/>
        <w:jc w:val="right"/>
      </w:pPr>
      <w:r>
        <w:rPr>
          <w:rFonts w:ascii="Amiri" w:cs="Amiri" w:eastAsia="Amiri" w:hAnsi="Amiri"/>
          <w:color w:val="1C1C1C"/>
          <w:sz w:val="20"/>
          <w:szCs w:val="20"/>
          <w:rtl/>
        </w:rPr>
        <w:t xml:space="preserve">20. دليل السيارات المستعملة</w:t>
      </w:r>
    </w:p>
    <w:p>
      <w:pPr>
        <w:bidi/>
        <w:spacing w:after="80"/>
        <w:jc w:val="right"/>
      </w:pPr>
      <w:r>
        <w:rPr>
          <w:rFonts w:ascii="Amiri" w:cs="Amiri" w:eastAsia="Amiri" w:hAnsi="Amiri"/>
          <w:color w:val="1C1C1C"/>
          <w:sz w:val="20"/>
          <w:szCs w:val="20"/>
          <w:rtl/>
        </w:rPr>
        <w:t xml:space="preserve">21. كلود كود</w:t>
      </w:r>
    </w:p>
    <w:p>
      <w:pPr>
        <w:bidi/>
        <w:spacing w:after="80"/>
        <w:jc w:val="right"/>
      </w:pPr>
      <w:r>
        <w:rPr>
          <w:rFonts w:ascii="Amiri" w:cs="Amiri" w:eastAsia="Amiri" w:hAnsi="Amiri"/>
          <w:color w:val="1C1C1C"/>
          <w:sz w:val="20"/>
          <w:szCs w:val="20"/>
          <w:rtl/>
        </w:rPr>
        <w:t xml:space="preserve">22. سر قوة الجامعات</w:t>
      </w:r>
    </w:p>
    <w:p>
      <w:pPr>
        <w:bidi/>
        <w:spacing w:after="80"/>
        <w:jc w:val="right"/>
      </w:pPr>
      <w:r>
        <w:rPr>
          <w:rFonts w:ascii="Amiri" w:cs="Amiri" w:eastAsia="Amiri" w:hAnsi="Amiri"/>
          <w:color w:val="1C1C1C"/>
          <w:sz w:val="20"/>
          <w:szCs w:val="20"/>
          <w:rtl/>
        </w:rPr>
        <w:t xml:space="preserve">23. الإسلام والصيام والطب</w:t>
      </w:r>
    </w:p>
    <w:p>
      <w:pPr>
        <w:bidi/>
        <w:spacing w:after="80"/>
        <w:jc w:val="right"/>
      </w:pPr>
      <w:r>
        <w:rPr>
          <w:rFonts w:ascii="Amiri" w:cs="Amiri" w:eastAsia="Amiri" w:hAnsi="Amiri"/>
          <w:color w:val="1C1C1C"/>
          <w:sz w:val="20"/>
          <w:szCs w:val="20"/>
          <w:rtl/>
        </w:rPr>
        <w:t xml:space="preserve">24. أدوات الذكاء الاصطناعي 2025</w:t>
      </w:r>
    </w:p>
    <w:p>
      <w:pPr>
        <w:bidi/>
        <w:spacing w:after="80"/>
        <w:jc w:val="right"/>
      </w:pPr>
      <w:r>
        <w:rPr>
          <w:rFonts w:ascii="Amiri" w:cs="Amiri" w:eastAsia="Amiri" w:hAnsi="Amiri"/>
          <w:color w:val="1C1C1C"/>
          <w:sz w:val="20"/>
          <w:szCs w:val="20"/>
          <w:rtl/>
        </w:rPr>
        <w:t xml:space="preserve">25. دليل أوتاوا</w:t>
      </w:r>
    </w:p>
    <w:p>
      <w:pPr>
        <w:bidi/>
        <w:spacing w:after="80"/>
        <w:jc w:val="right"/>
      </w:pPr>
      <w:r>
        <w:rPr>
          <w:rFonts w:ascii="Amiri" w:cs="Amiri" w:eastAsia="Amiri" w:hAnsi="Amiri"/>
          <w:color w:val="1C1C1C"/>
          <w:sz w:val="20"/>
          <w:szCs w:val="20"/>
          <w:rtl/>
        </w:rPr>
        <w:t xml:space="preserve">26. الزواج الناجح</w:t>
      </w:r>
    </w:p>
    <w:p>
      <w:pPr>
        <w:bidi/>
        <w:spacing w:after="80"/>
        <w:jc w:val="right"/>
      </w:pPr>
      <w:r>
        <w:rPr>
          <w:rFonts w:ascii="Amiri" w:cs="Amiri" w:eastAsia="Amiri" w:hAnsi="Amiri"/>
          <w:color w:val="1C1C1C"/>
          <w:sz w:val="20"/>
          <w:szCs w:val="20"/>
          <w:rtl/>
        </w:rPr>
        <w:t xml:space="preserve">27. الإعجاز العلمي في القرآن</w:t>
      </w:r>
    </w:p>
    <w:p>
      <w:pPr>
        <w:bidi/>
        <w:spacing w:after="200" w:line="360"/>
        <w:jc w:val="right"/>
      </w:pPr>
      <w:r>
        <w:rPr>
          <w:rFonts w:ascii="Amiri" w:cs="Amiri" w:eastAsia="Amiri" w:hAnsi="Amiri"/>
          <w:b/>
          <w:bCs/>
          <w:color w:val="1B3A5C"/>
          <w:sz w:val="20"/>
          <w:szCs w:val="20"/>
          <w:rtl/>
        </w:rPr>
        <w:t xml:space="preserve">28. البطن بيت الداء — من حكمة النبي إلى ثورة الأوزمبك ★</w:t>
      </w:r>
    </w:p>
    <w:sectPr>
      <w:headerReference w:type="default" r:id="rId7"/>
      <w:footerReference w:type="default" r:id="rId8"/>
      <w:pgSz w:w="8390" w:h="11905" w:orient="portrait"/>
      <w:pgMar w:top="1020" w:right="850" w:bottom="1133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miri" w:cs="Amiri" w:eastAsia="Amiri" w:hAnsi="Ami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miri" w:cs="Amiri" w:eastAsia="Amiri" w:hAnsi="Amiri"/>
        <w:color w:val="AAAAAA"/>
        <w:sz w:val="14"/>
        <w:szCs w:val="14"/>
        <w:rtl/>
      </w:rPr>
      <w:t xml:space="preserve">البطن بيت الداء — د. فضل محمد الأكوع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2026-07-26T13:14:17.215Z</dcterms:created>
  <dcterms:modified xsi:type="dcterms:W3CDTF">2026-07-26T13:14:17.572Z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