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60" w:line="360"/>
        <w:jc w:val="center"/>
      </w:pPr>
      <w:r>
        <w:rPr>
          <w:rFonts w:ascii="Amiri" w:cs="Amiri" w:eastAsia="Amiri" w:hAnsi="Amiri"/>
          <w:b/>
          <w:bCs/>
          <w:color w:val="1B4F72"/>
          <w:sz w:val="36"/>
          <w:szCs w:val="36"/>
        </w:rPr>
        <w:t xml:space="preserve">بسم الله الرحمن الرحيم</w:t>
      </w:r>
    </w:p>
    <w:p>
      <w:pPr>
        <w:spacing w:before="1500"/>
      </w:pPr>
    </w:p>
    <w:p>
      <w:pPr>
        <w:spacing w:after="160" w:line="360"/>
        <w:jc w:val="center"/>
      </w:pPr>
      <w:r>
        <w:rPr>
          <w:rFonts w:ascii="Amiri" w:cs="Amiri" w:eastAsia="Amiri" w:hAnsi="Amiri"/>
          <w:b/>
          <w:bCs/>
          <w:color w:val="1B4F72"/>
          <w:sz w:val="40"/>
          <w:szCs w:val="40"/>
        </w:rPr>
        <w:t xml:space="preserve">إهداء</w:t>
      </w:r>
    </w:p>
    <w:p>
      <w:pPr>
        <w:pBdr>
          <w:bottom w:val="single" w:color="D4AF37" w:sz="4" w:space="8"/>
        </w:pBdr>
        <w:spacing w:before="600"/>
        <w:jc w:val="center"/>
      </w:pPr>
    </w:p>
    <w:p>
      <w:pPr>
        <w:spacing w:before="400"/>
      </w:pPr>
    </w:p>
    <w:p>
      <w:pPr>
        <w:spacing w:after="160" w:line="360"/>
        <w:jc w:val="center"/>
      </w:pPr>
      <w:r>
        <w:rPr>
          <w:rFonts w:ascii="Tajawal" w:cs="Tajawal" w:eastAsia="Tajawal" w:hAnsi="Tajawal"/>
          <w:sz w:val="24"/>
          <w:szCs w:val="24"/>
        </w:rPr>
        <w:t xml:space="preserve">إلى كل أب وأم مسلمين في بلاد الغربة</w:t>
      </w:r>
    </w:p>
    <w:p>
      <w:pPr>
        <w:spacing w:after="160" w:line="360"/>
        <w:jc w:val="center"/>
      </w:pPr>
      <w:r>
        <w:rPr>
          <w:rFonts w:ascii="Tajawal" w:cs="Tajawal" w:eastAsia="Tajawal" w:hAnsi="Tajawal"/>
          <w:sz w:val="24"/>
          <w:szCs w:val="24"/>
        </w:rPr>
        <w:t xml:space="preserve">يسهرون الليالي خوفاً على إيمان أبنائهم</w:t>
      </w:r>
    </w:p>
    <w:p>
      <w:pPr>
        <w:spacing w:after="160" w:line="360"/>
        <w:jc w:val="center"/>
      </w:pPr>
      <w:r>
        <w:rPr>
          <w:rFonts w:ascii="Tajawal" w:cs="Tajawal" w:eastAsia="Tajawal" w:hAnsi="Tajawal"/>
          <w:sz w:val="24"/>
          <w:szCs w:val="24"/>
        </w:rPr>
        <w:t xml:space="preserve">ويكابدون الوحدة بين ثقافتين ولغتين وعالمين</w:t>
      </w:r>
    </w:p>
    <w:p>
      <w:pPr>
        <w:spacing w:before="300"/>
      </w:pPr>
    </w:p>
    <w:p>
      <w:pPr>
        <w:spacing w:after="160" w:line="360"/>
        <w:jc w:val="center"/>
      </w:pPr>
      <w:r>
        <w:rPr>
          <w:rFonts w:ascii="Tajawal" w:cs="Tajawal" w:eastAsia="Tajawal" w:hAnsi="Tajawal"/>
          <w:b/>
          <w:bCs/>
          <w:sz w:val="24"/>
          <w:szCs w:val="24"/>
        </w:rPr>
        <w:t xml:space="preserve">إلى الجيل الثاني والثالث والرابع</w:t>
      </w:r>
    </w:p>
    <w:p>
      <w:pPr>
        <w:spacing w:after="160" w:line="360"/>
        <w:jc w:val="center"/>
      </w:pPr>
      <w:r>
        <w:rPr>
          <w:rFonts w:ascii="Tajawal" w:cs="Tajawal" w:eastAsia="Tajawal" w:hAnsi="Tajawal"/>
          <w:sz w:val="24"/>
          <w:szCs w:val="24"/>
        </w:rPr>
        <w:t xml:space="preserve">الذين يحملون أسئلة لم يُجب عنها آباؤهم</w:t>
      </w:r>
    </w:p>
    <w:p>
      <w:pPr>
        <w:spacing w:after="160" w:line="360"/>
        <w:jc w:val="center"/>
      </w:pPr>
      <w:r>
        <w:rPr>
          <w:rFonts w:ascii="Tajawal" w:cs="Tajawal" w:eastAsia="Tajawal" w:hAnsi="Tajawal"/>
          <w:sz w:val="24"/>
          <w:szCs w:val="24"/>
        </w:rPr>
        <w:t xml:space="preserve">ويبحثون عن هويتهم بين المسجد والمدرسة والشارع</w:t>
      </w:r>
    </w:p>
    <w:p>
      <w:pPr>
        <w:spacing w:before="300"/>
      </w:pPr>
    </w:p>
    <w:p>
      <w:pPr>
        <w:spacing w:after="160" w:line="360"/>
        <w:jc w:val="center"/>
      </w:pPr>
      <w:r>
        <w:rPr>
          <w:rFonts w:ascii="Tajawal" w:cs="Tajawal" w:eastAsia="Tajawal" w:hAnsi="Tajawal"/>
          <w:i/>
          <w:iCs/>
          <w:sz w:val="24"/>
          <w:szCs w:val="24"/>
        </w:rPr>
        <w:t xml:space="preserve">إلى كل من فقد ابنه أو ابنته عن الإسلام</w:t>
      </w:r>
    </w:p>
    <w:p>
      <w:pPr>
        <w:spacing w:after="160" w:line="360"/>
        <w:jc w:val="center"/>
      </w:pPr>
      <w:r>
        <w:rPr>
          <w:rFonts w:ascii="Tajawal" w:cs="Tajawal" w:eastAsia="Tajawal" w:hAnsi="Tajawal"/>
          <w:i/>
          <w:iCs/>
          <w:sz w:val="24"/>
          <w:szCs w:val="24"/>
        </w:rPr>
        <w:t xml:space="preserve">ليس لأن الإسلام ناقص بل لأننا قصّرنا في تقديمه</w:t>
      </w:r>
    </w:p>
    <w:p>
      <w:pPr>
        <w:spacing w:before="600"/>
      </w:pPr>
    </w:p>
    <w:p>
      <w:pPr>
        <w:spacing w:after="160" w:line="360"/>
        <w:jc w:val="center"/>
      </w:pPr>
      <w:r>
        <w:rPr>
          <w:rFonts w:ascii="Tajawal" w:cs="Tajawal" w:eastAsia="Tajawal" w:hAnsi="Tajawal"/>
          <w:sz w:val="24"/>
          <w:szCs w:val="24"/>
        </w:rPr>
        <w:t xml:space="preserve">هذا الكتاب ليس حكماً على أحد بل هو مرآة نضعها أمام أنفسنا</w:t>
      </w:r>
    </w:p>
    <w:p>
      <w:pPr>
        <w:spacing w:after="160" w:line="360"/>
        <w:jc w:val="center"/>
      </w:pPr>
      <w:r>
        <w:rPr>
          <w:rFonts w:ascii="Tajawal" w:cs="Tajawal" w:eastAsia="Tajawal" w:hAnsi="Tajawal"/>
          <w:sz w:val="24"/>
          <w:szCs w:val="24"/>
        </w:rPr>
        <w:t xml:space="preserve">لنرى أين أخطأنا وكيف نصلح</w:t>
      </w:r>
    </w:p>
    <w:p>
      <w:r>
        <w:br w:type="page"/>
      </w:r>
    </w:p>
    <w:p>
      <w:pPr>
        <w:spacing w:before="2000"/>
      </w:pPr>
    </w:p>
    <w:p>
      <w:pPr>
        <w:spacing w:after="160" w:line="360"/>
        <w:jc w:val="center"/>
      </w:pPr>
      <w:r>
        <w:rPr>
          <w:rFonts w:ascii="Amiri" w:cs="Amiri" w:eastAsia="Amiri" w:hAnsi="Amiri"/>
          <w:b/>
          <w:bCs/>
          <w:color w:val="1B4F72"/>
          <w:sz w:val="38"/>
          <w:szCs w:val="38"/>
        </w:rPr>
        <w:t xml:space="preserve">عن المؤلف</w:t>
      </w:r>
    </w:p>
    <w:p>
      <w:pPr>
        <w:pBdr>
          <w:bottom w:val="single" w:color="2E75B6" w:sz="3" w:space="8"/>
        </w:pBdr>
        <w:spacing w:before="200"/>
        <w:jc w:val="center"/>
      </w:pPr>
    </w:p>
    <w:p>
      <w:pPr>
        <w:spacing w:before="400"/>
      </w:pPr>
    </w:p>
    <w:p>
      <w:pPr>
        <w:spacing w:after="160" w:line="360"/>
        <w:jc w:val="center"/>
      </w:pPr>
      <w:r>
        <w:rPr>
          <w:rFonts w:ascii="Tajawal" w:cs="Tajawal" w:eastAsia="Tajawal" w:hAnsi="Tajawal"/>
          <w:b/>
          <w:bCs/>
          <w:color w:val="2E75B6"/>
          <w:sz w:val="32"/>
          <w:szCs w:val="32"/>
        </w:rPr>
        <w:t xml:space="preserve">د. فضل محمد الأكوع</w:t>
      </w:r>
    </w:p>
    <w:p>
      <w:pPr>
        <w:spacing w:before="200"/>
      </w:pPr>
    </w:p>
    <w:p>
      <w:pPr>
        <w:spacing w:after="160" w:line="360"/>
        <w:jc w:val="right"/>
      </w:pPr>
      <w:r>
        <w:rPr>
          <w:rFonts w:ascii="Tajawal" w:cs="Tajawal" w:eastAsia="Tajawal" w:hAnsi="Tajawal"/>
          <w:sz w:val="24"/>
          <w:szCs w:val="24"/>
        </w:rPr>
        <w:t xml:space="preserve">باحث متخصص في الدراسات الإسلامية والعلوم الحيوية الحاسوبية، يعمل في جامعة ميشيغان بالولايات المتحدة الأمريكية. يجمع بين التخصص العلمي الدقيق والاهتمام العميق بقضايا الأمة الإسلامية في المهجر، حيث يعيش تجربة الغربة بكل تفاصيلها.</w:t>
      </w:r>
    </w:p>
    <w:p>
      <w:pPr>
        <w:spacing w:after="160" w:line="360"/>
        <w:jc w:val="right"/>
      </w:pPr>
      <w:r>
        <w:rPr>
          <w:rFonts w:ascii="Tajawal" w:cs="Tajawal" w:eastAsia="Tajawal" w:hAnsi="Tajawal"/>
          <w:sz w:val="24"/>
          <w:szCs w:val="24"/>
        </w:rPr>
        <w:t xml:space="preserve">دفعه موقعه في قلب المجتمع الأمريكي إلى مراقبة التحولات العميقة التي تطرأ على الأجيال المسلمة المتعاقبة، ليطرح أسئلة جوهرية حول مستقبل الإسلام في الغرب: لماذا يحافظ بعض المسلمين على دينهم بينما ينسلخ آخرون؟ ما الذي يصنع الفارق بين جالية تنجح في التوارث الديني وأخرى تخفق؟</w:t>
      </w:r>
    </w:p>
    <w:p>
      <w:pPr>
        <w:spacing w:after="160" w:line="360"/>
        <w:jc w:val="right"/>
      </w:pPr>
      <w:r>
        <w:rPr>
          <w:rFonts w:ascii="Tajawal" w:cs="Tajawal" w:eastAsia="Tajawal" w:hAnsi="Tajawal"/>
          <w:sz w:val="24"/>
          <w:szCs w:val="24"/>
        </w:rPr>
        <w:t xml:space="preserve">يؤمن الدكتور الأكوع بأن التشخيص الصادق هو أولى خطوات العلاج، وأن الأمة لن تستطيع حماية أبنائها في المهجر ما لم تفهم أولاً طبيعة التحديات التي يواجهونها.</w:t>
      </w:r>
    </w:p>
    <w:p>
      <w:r>
        <w:br w:type="page"/>
      </w:r>
    </w:p>
    <w:p>
      <w:pPr>
        <w:spacing w:after="160" w:line="360"/>
        <w:jc w:val="center"/>
      </w:pPr>
      <w:r>
        <w:rPr>
          <w:rFonts w:ascii="Amiri" w:cs="Amiri" w:eastAsia="Amiri" w:hAnsi="Amiri"/>
          <w:b/>
          <w:bCs/>
          <w:color w:val="1B4F72"/>
          <w:sz w:val="38"/>
          <w:szCs w:val="38"/>
        </w:rPr>
        <w:t xml:space="preserve">فهرس المحتويات</w:t>
      </w:r>
    </w:p>
    <w:p>
      <w:pPr>
        <w:pBdr>
          <w:bottom w:val="single" w:color="2E75B6" w:sz="3" w:space="8"/>
        </w:pBdr>
        <w:spacing w:before="200"/>
        <w:jc w:val="center"/>
      </w:pPr>
    </w:p>
    <w:p>
      <w:pPr>
        <w:spacing w:before="300"/>
      </w:pPr>
    </w:p>
    <w:p>
      <w:pPr>
        <w:spacing w:after="100"/>
        <w:jc w:val="right"/>
      </w:pPr>
      <w:r>
        <w:rPr>
          <w:rFonts w:ascii="Tajawal" w:cs="Tajawal" w:eastAsia="Tajawal" w:hAnsi="Tajawal"/>
          <w:sz w:val="24"/>
          <w:szCs w:val="24"/>
        </w:rPr>
        <w:t xml:space="preserve">المقدمة</w:t>
      </w:r>
    </w:p>
    <w:p>
      <w:pPr>
        <w:spacing w:after="100"/>
        <w:jc w:val="right"/>
      </w:pPr>
      <w:r>
        <w:rPr>
          <w:rFonts w:ascii="Tajawal" w:cs="Tajawal" w:eastAsia="Tajawal" w:hAnsi="Tajawal"/>
          <w:sz w:val="24"/>
          <w:szCs w:val="24"/>
        </w:rPr>
        <w:t xml:space="preserve">الفصل الأول: المشهد العام - الإسلام في أرقام خارج دياره</w:t>
      </w:r>
    </w:p>
    <w:p>
      <w:pPr>
        <w:spacing w:after="100"/>
        <w:jc w:val="right"/>
      </w:pPr>
      <w:r>
        <w:rPr>
          <w:rFonts w:ascii="Tajawal" w:cs="Tajawal" w:eastAsia="Tajawal" w:hAnsi="Tajawal"/>
          <w:sz w:val="24"/>
          <w:szCs w:val="24"/>
        </w:rPr>
        <w:t xml:space="preserve">الفصل الثاني: الجيل الأول - هجرة الأجساد وبقاء الأرواح</w:t>
      </w:r>
    </w:p>
    <w:p>
      <w:pPr>
        <w:spacing w:after="100"/>
        <w:jc w:val="right"/>
      </w:pPr>
      <w:r>
        <w:rPr>
          <w:rFonts w:ascii="Tajawal" w:cs="Tajawal" w:eastAsia="Tajawal" w:hAnsi="Tajawal"/>
          <w:sz w:val="24"/>
          <w:szCs w:val="24"/>
        </w:rPr>
        <w:t xml:space="preserve">الفصل الثالث: الجيل الثاني - بين عالمين</w:t>
      </w:r>
    </w:p>
    <w:p>
      <w:pPr>
        <w:spacing w:after="100"/>
        <w:jc w:val="right"/>
      </w:pPr>
      <w:r>
        <w:rPr>
          <w:rFonts w:ascii="Tajawal" w:cs="Tajawal" w:eastAsia="Tajawal" w:hAnsi="Tajawal"/>
          <w:sz w:val="24"/>
          <w:szCs w:val="24"/>
        </w:rPr>
        <w:t xml:space="preserve">الفصل الرابع: الجيل الثالث والرابع - نقطة التحول الحرجة</w:t>
      </w:r>
    </w:p>
    <w:p>
      <w:pPr>
        <w:spacing w:after="100"/>
        <w:jc w:val="right"/>
      </w:pPr>
      <w:r>
        <w:rPr>
          <w:rFonts w:ascii="Tajawal" w:cs="Tajawal" w:eastAsia="Tajawal" w:hAnsi="Tajawal"/>
          <w:sz w:val="24"/>
          <w:szCs w:val="24"/>
        </w:rPr>
        <w:t xml:space="preserve">الفصل الخامس: مقارنة الجاليات - لماذا تنجح بعضها وتفشل أخرى؟</w:t>
      </w:r>
    </w:p>
    <w:p>
      <w:pPr>
        <w:spacing w:after="100"/>
        <w:jc w:val="right"/>
      </w:pPr>
      <w:r>
        <w:rPr>
          <w:rFonts w:ascii="Tajawal" w:cs="Tajawal" w:eastAsia="Tajawal" w:hAnsi="Tajawal"/>
          <w:sz w:val="24"/>
          <w:szCs w:val="24"/>
        </w:rPr>
        <w:t xml:space="preserve">الفصل السادس: أرقام على المحك - الإحصائيات المقارنة</w:t>
      </w:r>
    </w:p>
    <w:p>
      <w:pPr>
        <w:spacing w:after="100"/>
        <w:jc w:val="right"/>
      </w:pPr>
      <w:r>
        <w:rPr>
          <w:rFonts w:ascii="Tajawal" w:cs="Tajawal" w:eastAsia="Tajawal" w:hAnsi="Tajawal"/>
          <w:sz w:val="24"/>
          <w:szCs w:val="24"/>
        </w:rPr>
        <w:t xml:space="preserve">الفصل السابع: عوامل الحفاظ على الإسلام</w:t>
      </w:r>
    </w:p>
    <w:p>
      <w:pPr>
        <w:spacing w:after="100"/>
        <w:jc w:val="right"/>
      </w:pPr>
      <w:r>
        <w:rPr>
          <w:rFonts w:ascii="Tajawal" w:cs="Tajawal" w:eastAsia="Tajawal" w:hAnsi="Tajawal"/>
          <w:sz w:val="24"/>
          <w:szCs w:val="24"/>
        </w:rPr>
        <w:t xml:space="preserve">الفصل الثامن: عوامل الانسلاخ عن الإسلام</w:t>
      </w:r>
    </w:p>
    <w:p>
      <w:pPr>
        <w:spacing w:after="100"/>
        <w:jc w:val="right"/>
      </w:pPr>
      <w:r>
        <w:rPr>
          <w:rFonts w:ascii="Tajawal" w:cs="Tajawal" w:eastAsia="Tajawal" w:hAnsi="Tajawal"/>
          <w:sz w:val="24"/>
          <w:szCs w:val="24"/>
        </w:rPr>
        <w:t xml:space="preserve">الفصل التاسع: دور المسجد والتعليم الديني</w:t>
      </w:r>
    </w:p>
    <w:p>
      <w:pPr>
        <w:spacing w:after="100"/>
        <w:jc w:val="right"/>
      </w:pPr>
      <w:r>
        <w:rPr>
          <w:rFonts w:ascii="Tajawal" w:cs="Tajawal" w:eastAsia="Tajawal" w:hAnsi="Tajawal"/>
          <w:sz w:val="24"/>
          <w:szCs w:val="24"/>
        </w:rPr>
        <w:t xml:space="preserve">الفصل العاشر: الإنترنت وثورة الشك</w:t>
      </w:r>
    </w:p>
    <w:p>
      <w:pPr>
        <w:spacing w:after="100"/>
        <w:jc w:val="right"/>
      </w:pPr>
      <w:r>
        <w:rPr>
          <w:rFonts w:ascii="Tajawal" w:cs="Tajawal" w:eastAsia="Tajawal" w:hAnsi="Tajawal"/>
          <w:sz w:val="24"/>
          <w:szCs w:val="24"/>
        </w:rPr>
        <w:t xml:space="preserve">الفصل الحادي عشر: توصيات عملية</w:t>
      </w:r>
    </w:p>
    <w:p>
      <w:pPr>
        <w:spacing w:after="100"/>
        <w:jc w:val="right"/>
      </w:pPr>
      <w:r>
        <w:rPr>
          <w:rFonts w:ascii="Tajawal" w:cs="Tajawal" w:eastAsia="Tajawal" w:hAnsi="Tajawal"/>
          <w:sz w:val="24"/>
          <w:szCs w:val="24"/>
        </w:rPr>
        <w:t xml:space="preserve">الخاتمة</w:t>
      </w:r>
    </w:p>
    <w:p>
      <w:pPr>
        <w:spacing w:after="100"/>
        <w:jc w:val="right"/>
      </w:pPr>
      <w:r>
        <w:rPr>
          <w:rFonts w:ascii="Tajawal" w:cs="Tajawal" w:eastAsia="Tajawal" w:hAnsi="Tajawal"/>
          <w:sz w:val="24"/>
          <w:szCs w:val="24"/>
        </w:rPr>
        <w:t xml:space="preserve">قائمة المراجع</w:t>
      </w:r>
    </w:p>
    <w:p>
      <w:r>
        <w:br w:type="page"/>
      </w:r>
    </w:p>
    <w:p>
      <w:pPr>
        <w:spacing w:after="160" w:line="360"/>
        <w:jc w:val="center"/>
      </w:pPr>
      <w:r>
        <w:rPr>
          <w:rFonts w:ascii="Amiri" w:cs="Amiri" w:eastAsia="Amiri" w:hAnsi="Amiri"/>
          <w:b/>
          <w:bCs/>
          <w:color w:val="1B4F72"/>
          <w:sz w:val="42"/>
          <w:szCs w:val="42"/>
        </w:rPr>
        <w:t xml:space="preserve">المقدمة</w:t>
      </w:r>
    </w:p>
    <w:p>
      <w:pPr>
        <w:pBdr>
          <w:bottom w:val="single" w:color="D4AF37" w:sz="4" w:space="8"/>
        </w:pBdr>
        <w:spacing w:before="100"/>
        <w:jc w:val="center"/>
      </w:pPr>
    </w:p>
    <w:p>
      <w:pPr>
        <w:spacing w:before="300"/>
      </w:pPr>
    </w:p>
    <w:p>
      <w:pPr>
        <w:spacing w:after="160" w:line="360"/>
        <w:jc w:val="right"/>
      </w:pPr>
      <w:r>
        <w:rPr>
          <w:rFonts w:ascii="Tajawal" w:cs="Tajawal" w:eastAsia="Tajawal" w:hAnsi="Tajawal"/>
          <w:sz w:val="24"/>
          <w:szCs w:val="24"/>
        </w:rPr>
        <w:t xml:space="preserve">في عام 2014، وقف الشيخ ياسر القاضي أمام ملايين المتابعين على يوتيوب ليطرح سؤالاً صادماً: "لماذا يترك المسلمون الإسلام؟" لم يكن السؤال ترفاً فكرياً بل صرخة إنذار. أكد أن الشكوك والأسئلة التي تواجه عقول الشباب المسلم اليوم جديدة كلياً، ظهرت من ثقافة محددة لم تتعامل معها الأجيال السابقة قط.</w:t>
      </w:r>
    </w:p>
    <w:p>
      <w:pPr>
        <w:spacing w:after="160" w:line="360"/>
        <w:jc w:val="right"/>
      </w:pPr>
      <w:r>
        <w:rPr>
          <w:rFonts w:ascii="Tajawal" w:cs="Tajawal" w:eastAsia="Tajawal" w:hAnsi="Tajawal"/>
          <w:sz w:val="24"/>
          <w:szCs w:val="24"/>
        </w:rPr>
        <w:t xml:space="preserve">وفي نفس السياق، وصف الدكتور بلال فيليبس الظاهرة بأنها "تسونامي من الردة" بين الشباب المسلم المتعلم. وأظهر مسح مركز بيو للأبحاث (2025) أن الإسلام يحتفظ بأعلى معدلات البقاء بين الأديان عالمياً - لكن في أمريكا، نحو 23-25% ممن نشأوا مسلمين لم يعودوا كذلك. وفي أوروبا بين 2010 و2016، ترك الإسلام نحو 160,000 شخص أكثر ممن دخلوه.</w:t>
      </w:r>
    </w:p>
    <w:p>
      <w:pPr>
        <w:spacing w:after="160" w:line="360"/>
        <w:jc w:val="right"/>
      </w:pPr>
      <w:r>
        <w:rPr>
          <w:rFonts w:ascii="Tajawal" w:cs="Tajawal" w:eastAsia="Tajawal" w:hAnsi="Tajawal"/>
          <w:sz w:val="24"/>
          <w:szCs w:val="24"/>
        </w:rPr>
        <w:t xml:space="preserve">هذا الكتاب لا يتناول الإسلام كعقيدة - فالإسلام كامل بذاته - بل يتناول المسلمين كبشر، وطريقة تقديمهم للإسلام لأبنائهم في بيئة غريبة عنه. إنه محاولة لتشخيص الخلل في آليات التوارث الديني عبر الأجيال، ومقارنة الجاليات التي نجحت بتلك التي أخفقت، لاستخلاص الدروس وتقديم خارطة طريق عملية.</w:t>
      </w:r>
    </w:p>
    <w:p>
      <w:pPr>
        <w:spacing w:after="160" w:line="360"/>
        <w:jc w:val="right"/>
      </w:pPr>
      <w:r>
        <w:rPr>
          <w:rFonts w:ascii="Tajawal" w:cs="Tajawal" w:eastAsia="Tajawal" w:hAnsi="Tajawal"/>
          <w:sz w:val="24"/>
          <w:szCs w:val="24"/>
        </w:rPr>
        <w:t xml:space="preserve">يستند الكتاب إلى مراجعة منهجية لأكثر من 40 دراسة أكاديمية محكّمة، وتقارير مراكز أبحاث دولية كبرى (Pew Research, Arab Barometer, European Social Survey)، ودراسات ميدانية أُجريت في أكثر من 15 دولة غربية.</w:t>
      </w:r>
    </w:p>
    <w:p>
      <w:r>
        <w:br w:type="page"/>
      </w:r>
    </w:p>
    <w:p>
      <w:pPr>
        <w:pStyle w:val="Heading1"/>
        <w:spacing w:after="200" w:before="300"/>
        <w:jc w:val="center"/>
      </w:pPr>
      <w:r>
        <w:rPr>
          <w:rFonts w:ascii="Amiri" w:cs="Amiri" w:eastAsia="Amiri" w:hAnsi="Amiri"/>
          <w:b/>
          <w:bCs/>
          <w:color w:val="1B4F72"/>
          <w:sz w:val="36"/>
          <w:szCs w:val="36"/>
        </w:rPr>
        <w:t xml:space="preserve">الفصل الأول</w:t>
      </w:r>
    </w:p>
    <w:p>
      <w:pPr>
        <w:spacing w:after="160" w:line="360"/>
        <w:jc w:val="center"/>
      </w:pPr>
      <w:r>
        <w:rPr>
          <w:rFonts w:ascii="Tajawal" w:cs="Tajawal" w:eastAsia="Tajawal" w:hAnsi="Tajawal"/>
          <w:b/>
          <w:bCs/>
          <w:color w:val="2E75B6"/>
          <w:sz w:val="28"/>
          <w:szCs w:val="28"/>
        </w:rPr>
        <w:t xml:space="preserve">المشهد العام: الإسلام في أرقام خارج دياره</w:t>
      </w:r>
    </w:p>
    <w:p>
      <w:pPr>
        <w:pBdr>
          <w:bottom w:val="single" w:color="2E75B6" w:sz="3" w:space="8"/>
        </w:pBdr>
        <w:spacing w:before="100"/>
        <w:jc w:val="center"/>
      </w:pPr>
    </w:p>
    <w:p>
      <w:pPr>
        <w:spacing w:before="200"/>
      </w:pPr>
    </w:p>
    <w:p>
      <w:pPr>
        <w:spacing w:after="160" w:line="360"/>
        <w:jc w:val="right"/>
      </w:pPr>
      <w:r>
        <w:rPr>
          <w:rFonts w:ascii="Tajawal" w:cs="Tajawal" w:eastAsia="Tajawal" w:hAnsi="Tajawal"/>
          <w:sz w:val="24"/>
          <w:szCs w:val="24"/>
        </w:rPr>
        <w:t xml:space="preserve">يعيش اليوم ملايين المسلمين خارج دار الإسلام التقليدية. في أوروبا وحدها يقدّر عددهم بنحو 44 مليون (6% من السكان)، وفي أمريكا نحو 3.45 مليون (1.1%). هؤلاء ليسوا مجرد أرقام ديموغرافية بل يمثلون تجربة حضارية فريدة: كيف يحافظ دين نشأ في الجزيرة العربية على حيويته في ستوكهولم وتورنتو وسيدني؟</w:t>
      </w:r>
    </w:p>
    <w:p>
      <w:pPr>
        <w:pStyle w:val="Heading2"/>
        <w:spacing w:after="200" w:before="300"/>
        <w:jc w:val="right"/>
      </w:pPr>
      <w:r>
        <w:rPr>
          <w:rFonts w:ascii="Tajawal" w:cs="Tajawal" w:eastAsia="Tajawal" w:hAnsi="Tajawal"/>
          <w:b/>
          <w:bCs/>
          <w:color w:val="2E75B6"/>
          <w:sz w:val="30"/>
          <w:szCs w:val="30"/>
        </w:rPr>
        <w:t xml:space="preserve">التوزيع الجغرافي للمسلمين في أوروبا</w:t>
      </w:r>
    </w:p>
    <w:p>
      <w:pPr>
        <w:spacing w:after="160" w:line="360"/>
        <w:jc w:val="right"/>
      </w:pPr>
      <w:r>
        <w:rPr>
          <w:rFonts w:ascii="Tajawal" w:cs="Tajawal" w:eastAsia="Tajawal" w:hAnsi="Tajawal"/>
          <w:sz w:val="24"/>
          <w:szCs w:val="24"/>
        </w:rPr>
        <w:t xml:space="preserve">تتصدر فرنسا القائمة بنحو 6-7 مليون مسلم، تليها ألمانيا (4.5 مليون)، ثم بريطانيا (2.7 مليون)، ثم إيطاليا (1.5 مليون). والمسلمون هم أصغر مجموعة دينية عمرياً في أوروبا بمتوسط عمر 34 عاماً مقابل 42 لعموم الأوروبيين.</w:t>
      </w:r>
    </w:p>
    <w:p>
      <w:pPr>
        <w:pStyle w:val="Heading2"/>
        <w:spacing w:after="200" w:before="300"/>
        <w:jc w:val="right"/>
      </w:pPr>
      <w:r>
        <w:rPr>
          <w:rFonts w:ascii="Tajawal" w:cs="Tajawal" w:eastAsia="Tajawal" w:hAnsi="Tajawal"/>
          <w:b/>
          <w:bCs/>
          <w:color w:val="2E75B6"/>
          <w:sz w:val="30"/>
          <w:szCs w:val="30"/>
        </w:rPr>
        <w:t xml:space="preserve">الإسلام: أعلى معدل احتفاظ عالمياً</w:t>
      </w:r>
    </w:p>
    <w:p>
      <w:pPr>
        <w:spacing w:after="160" w:line="360"/>
        <w:jc w:val="right"/>
      </w:pPr>
      <w:r>
        <w:rPr>
          <w:rFonts w:ascii="Tajawal" w:cs="Tajawal" w:eastAsia="Tajawal" w:hAnsi="Tajawal"/>
          <w:sz w:val="24"/>
          <w:szCs w:val="24"/>
        </w:rPr>
        <w:t xml:space="preserve">أظهر مسح بيو 2025 الشامل لـ36 دولة أن الإسلام يتمتع بأعلى معدلات الاحتفاظ بين الأديان الكبرى عالمياً. في معظم الدول المدروسة، يبقى أكثر من 90% ممن نشأوا مسلمين على إسلامهم.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الدين</w:t>
            </w:r>
          </w:p>
        </w:tc>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نسبة الاحتفاظ (أمريكا)</w:t>
            </w:r>
          </w:p>
        </w:tc>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نسبة الاحتفاظ (عالمياً)</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الهندوسية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82%</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+95%</w:t>
            </w:r>
          </w:p>
        </w:tc>
      </w:tr>
      <w:tr>
        <w:tc>
          <w:tcPr>
            <w:tcBorders>
              <w:top w:val="single" w:color="B0BEC5" w:sz="1"/>
              <w:left w:val="single" w:color="B0BEC5" w:sz="1"/>
              <w:bottom w:val="single" w:color="B0BEC5" w:sz="1"/>
              <w:right w:val="single" w:color="B0BEC5" w:sz="1"/>
            </w:tcBorders>
            <w:shd w:fill="FFF3CD" w:val="clear"/>
            <w:tcMar>
              <w:top w:type="dxa" w:w="60"/>
              <w:left w:type="dxa" w:w="100"/>
              <w:bottom w:type="dxa" w:w="60"/>
              <w:right w:type="dxa" w:w="100"/>
            </w:tcMar>
            <w:vAlign w:val="center"/>
          </w:tcPr>
          <w:p>
            <w:pPr>
              <w:jc w:val="center"/>
            </w:pPr>
            <w:r>
              <w:rPr>
                <w:rFonts w:ascii="Tajawal" w:cs="Tajawal" w:eastAsia="Tajawal" w:hAnsi="Tajawal"/>
                <w:sz w:val="24"/>
                <w:szCs w:val="24"/>
              </w:rPr>
              <w:t xml:space="preserve">الإسلام</w:t>
            </w:r>
          </w:p>
        </w:tc>
        <w:tc>
          <w:tcPr>
            <w:tcBorders>
              <w:top w:val="single" w:color="B0BEC5" w:sz="1"/>
              <w:left w:val="single" w:color="B0BEC5" w:sz="1"/>
              <w:bottom w:val="single" w:color="B0BEC5" w:sz="1"/>
              <w:right w:val="single" w:color="B0BEC5" w:sz="1"/>
            </w:tcBorders>
            <w:shd w:fill="FFF3CD" w:val="clear"/>
            <w:tcMar>
              <w:top w:type="dxa" w:w="60"/>
              <w:left w:type="dxa" w:w="100"/>
              <w:bottom w:type="dxa" w:w="60"/>
              <w:right w:type="dxa" w:w="100"/>
            </w:tcMar>
            <w:vAlign w:val="center"/>
          </w:tcPr>
          <w:p>
            <w:pPr>
              <w:jc w:val="center"/>
            </w:pPr>
            <w:r>
              <w:rPr>
                <w:rFonts w:ascii="Tajawal" w:cs="Tajawal" w:eastAsia="Tajawal" w:hAnsi="Tajawal"/>
                <w:b/>
                <w:bCs/>
                <w:color w:val="C0392B"/>
                <w:sz w:val="24"/>
                <w:szCs w:val="24"/>
              </w:rPr>
              <w:t xml:space="preserve">77%</w:t>
            </w:r>
          </w:p>
        </w:tc>
        <w:tc>
          <w:tcPr>
            <w:tcBorders>
              <w:top w:val="single" w:color="B0BEC5" w:sz="1"/>
              <w:left w:val="single" w:color="B0BEC5" w:sz="1"/>
              <w:bottom w:val="single" w:color="B0BEC5" w:sz="1"/>
              <w:right w:val="single" w:color="B0BEC5" w:sz="1"/>
            </w:tcBorders>
            <w:shd w:fill="FFF3CD" w:val="clear"/>
            <w:tcMar>
              <w:top w:type="dxa" w:w="60"/>
              <w:left w:type="dxa" w:w="100"/>
              <w:bottom w:type="dxa" w:w="60"/>
              <w:right w:type="dxa" w:w="100"/>
            </w:tcMar>
            <w:vAlign w:val="center"/>
          </w:tcPr>
          <w:p>
            <w:pPr>
              <w:jc w:val="center"/>
            </w:pPr>
            <w:r>
              <w:rPr>
                <w:rFonts w:ascii="Tajawal" w:cs="Tajawal" w:eastAsia="Tajawal" w:hAnsi="Tajawal"/>
                <w:b/>
                <w:bCs/>
                <w:color w:val="27AE60"/>
                <w:sz w:val="24"/>
                <w:szCs w:val="24"/>
              </w:rPr>
              <w:t xml:space="preserve">+90%</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اليهودية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76%</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+95%</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البروتستانتية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70%</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متفاوت</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الكاثوليكية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57%</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متفاوت</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البوذية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45%</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sz w:val="24"/>
                <w:szCs w:val="24"/>
              </w:rPr>
              <w:t xml:space="preserve">متفاوت</w:t>
            </w:r>
          </w:p>
        </w:tc>
      </w:tr>
    </w:tbl>
    <w:p>
      <w:pPr>
        <w:spacing w:after="200"/>
        <w:jc w:val="center"/>
      </w:pPr>
      <w:r>
        <w:rPr>
          <w:rFonts w:ascii="Tajawal" w:cs="Tajawal" w:eastAsia="Tajawal" w:hAnsi="Tajawal"/>
          <w:color w:val="555555"/>
          <w:sz w:val="22"/>
          <w:szCs w:val="22"/>
        </w:rPr>
        <w:t xml:space="preserve">جدول (1): معدلات الاحتفاظ الديني - مصدر: Pew Research Center 2025</w:t>
      </w:r>
    </w:p>
    <w:p>
      <w:pPr>
        <w:spacing w:after="160" w:line="360"/>
        <w:jc w:val="right"/>
      </w:pPr>
      <w:r>
        <w:rPr>
          <w:rFonts w:ascii="Tajawal" w:cs="Tajawal" w:eastAsia="Tajawal" w:hAnsi="Tajawal"/>
          <w:sz w:val="24"/>
          <w:szCs w:val="24"/>
        </w:rPr>
        <w:t xml:space="preserve">لكن هذه الأرقام الإيجابية تخفي وراءها حقائق مقلقة. فالولايات المتحدة تمثل أدنى معدل احتفاظ إسلامي في العالم (77%)، ما يعني أن نحو ربع المسلمين الأمريكيين يغادرون الإسلام. والأهم من ذلك أن معدلات الاحتفاظ هذه تقيس الهوية الذاتية فحسب، ولا تقيس عمق الالتزام الديني أو الممارسة الفعلية.</w:t>
      </w:r>
    </w:p>
    <w:p>
      <w:r>
        <w:br w:type="page"/>
      </w:r>
    </w:p>
    <w:p>
      <w:pPr>
        <w:pStyle w:val="Heading1"/>
        <w:spacing w:after="200" w:before="300"/>
        <w:jc w:val="center"/>
      </w:pPr>
      <w:r>
        <w:rPr>
          <w:rFonts w:ascii="Amiri" w:cs="Amiri" w:eastAsia="Amiri" w:hAnsi="Amiri"/>
          <w:b/>
          <w:bCs/>
          <w:color w:val="1B4F72"/>
          <w:sz w:val="36"/>
          <w:szCs w:val="36"/>
        </w:rPr>
        <w:t xml:space="preserve">الفصل الثاني</w:t>
      </w:r>
    </w:p>
    <w:p>
      <w:pPr>
        <w:spacing w:after="160" w:line="360"/>
        <w:jc w:val="center"/>
      </w:pPr>
      <w:r>
        <w:rPr>
          <w:rFonts w:ascii="Tajawal" w:cs="Tajawal" w:eastAsia="Tajawal" w:hAnsi="Tajawal"/>
          <w:b/>
          <w:bCs/>
          <w:color w:val="2E75B6"/>
          <w:sz w:val="28"/>
          <w:szCs w:val="28"/>
        </w:rPr>
        <w:t xml:space="preserve">الجيل الأول: هجرة الأجساد وبقاء الأرواح</w:t>
      </w:r>
    </w:p>
    <w:p>
      <w:pPr>
        <w:pBdr>
          <w:bottom w:val="single" w:color="2E75B6" w:sz="3" w:space="8"/>
        </w:pBdr>
        <w:spacing w:before="100"/>
        <w:jc w:val="center"/>
      </w:pPr>
    </w:p>
    <w:p>
      <w:pPr>
        <w:spacing w:before="200"/>
      </w:pPr>
    </w:p>
    <w:p>
      <w:pPr>
        <w:spacing w:after="160" w:line="360"/>
        <w:jc w:val="right"/>
      </w:pPr>
      <w:r>
        <w:rPr>
          <w:rFonts w:ascii="Tajawal" w:cs="Tajawal" w:eastAsia="Tajawal" w:hAnsi="Tajawal"/>
          <w:sz w:val="24"/>
          <w:szCs w:val="24"/>
        </w:rPr>
        <w:t xml:space="preserve">بدأت الهجرة الإسلامية الكبرى إلى أوروبا الغربية بعد الحرب العالمية الثانية، حين احتاجت الدول الأوروبية المدمرة إلى أيدٍ عاملة لإعادة البناء. جاء الأتراك إلى ألمانيا، والمغاربة والجزائريون إلى فرنسا، والباكستانيون والبنغال إلى بريطانيا. لم يكن أحد - لا المهاجرون ولا الدول المضيفة - يتوقع أن تكون هذه الإقامة دائمة.</w:t>
      </w:r>
    </w:p>
    <w:p>
      <w:pPr>
        <w:pStyle w:val="Heading2"/>
        <w:spacing w:after="200" w:before="300"/>
        <w:jc w:val="right"/>
      </w:pPr>
      <w:r>
        <w:rPr>
          <w:rFonts w:ascii="Tajawal" w:cs="Tajawal" w:eastAsia="Tajawal" w:hAnsi="Tajawal"/>
          <w:b/>
          <w:bCs/>
          <w:color w:val="2E75B6"/>
          <w:sz w:val="30"/>
          <w:szCs w:val="30"/>
        </w:rPr>
        <w:t xml:space="preserve">"أسطورة العودة"</w:t>
      </w:r>
    </w:p>
    <w:p>
      <w:pPr>
        <w:spacing w:after="160" w:line="360"/>
        <w:jc w:val="right"/>
      </w:pPr>
      <w:r>
        <w:rPr>
          <w:rFonts w:ascii="Tajawal" w:cs="Tajawal" w:eastAsia="Tajawal" w:hAnsi="Tajawal"/>
          <w:sz w:val="24"/>
          <w:szCs w:val="24"/>
        </w:rPr>
        <w:t xml:space="preserve">عاش الجيل الأول ما يسميه الباحثون "أسطورة العودة" (Myth of Return) - أجسادهم في أوروبا لكن عقولهم وقلوبهم في بلادهم الأصلية. هذه الحالة النفسية جعلت تدينهم يظل مرتفعاً، فالدين كان الرابط الأخير مع الوطن والهوية. لكنها أيضاً منعتهم من بناء استراتيجية طويلة المدى للحفاظ على الإسلام في أبنائهم.</w:t>
      </w:r>
    </w:p>
    <w:p>
      <w:pPr>
        <w:pStyle w:val="Heading2"/>
        <w:spacing w:after="200" w:before="300"/>
        <w:jc w:val="right"/>
      </w:pPr>
      <w:r>
        <w:rPr>
          <w:rFonts w:ascii="Tajawal" w:cs="Tajawal" w:eastAsia="Tajawal" w:hAnsi="Tajawal"/>
          <w:b/>
          <w:bCs/>
          <w:color w:val="2E75B6"/>
          <w:sz w:val="30"/>
          <w:szCs w:val="30"/>
        </w:rPr>
        <w:t xml:space="preserve">تدين الجيل الأول: مرتفع لكن هش مؤسسياً</w:t>
      </w:r>
    </w:p>
    <w:p>
      <w:pPr>
        <w:spacing w:after="160" w:line="360"/>
        <w:jc w:val="right"/>
      </w:pPr>
      <w:r>
        <w:rPr>
          <w:rFonts w:ascii="Tajawal" w:cs="Tajawal" w:eastAsia="Tajawal" w:hAnsi="Tajawal"/>
          <w:sz w:val="24"/>
          <w:szCs w:val="24"/>
        </w:rPr>
        <w:t xml:space="preserve">تشير الدراسات إلى أن تجربة الهجرة ذاتها تُحدث اضطراباً في الممارسات الدينية الروتينية مثل حضور الصلاة الجماعية، ما يعكس ضرورات عملية في المرحلة الأولى من التأقلم (Diehl &amp; Koenig, 2013). لكن الدين يلعب دوراً محورياً في عملية الهجرة نفسها: يصلي المهاجرون طلباً للمعونة، ويبحثون عند الوصول عن شبكات دينية تساعدهم في حياتهم اليومية. المنظمات الدينية تاريخياً ساعدت المهاجرين على البقاء وإعادة بناء هويتهم الدينية-الإثنية في سياقات جديدة.</w:t>
      </w:r>
    </w:p>
    <w:p>
      <w:pPr>
        <w:spacing w:after="160" w:line="360"/>
        <w:jc w:val="right"/>
      </w:pPr>
      <w:r>
        <w:rPr>
          <w:rFonts w:ascii="Tajawal" w:cs="Tajawal" w:eastAsia="Tajawal" w:hAnsi="Tajawal"/>
          <w:sz w:val="24"/>
          <w:szCs w:val="24"/>
        </w:rPr>
        <w:t xml:space="preserve">في السنوات الأولى من الهجرة، كانت الحياة الدينية للمهاجرين الأتراك والباكستانيين في بريطانيا قليلة التنظيم. اقتصرت الممارسات الإسلامية على الصلوات اليومية الفردية. لكن مع تزايد موجات الهجرة، ظهرت الحاجة لإعادة هيكلة مؤسسية في المجال الديني: المساجد، والمدارس القرآنية، والجمعيات الإسلامية.</w:t>
      </w:r>
    </w:p>
    <w:p>
      <w:r>
        <w:br w:type="page"/>
      </w:r>
    </w:p>
    <w:p>
      <w:pPr>
        <w:pStyle w:val="Heading1"/>
        <w:spacing w:after="200" w:before="300"/>
        <w:jc w:val="center"/>
      </w:pPr>
      <w:r>
        <w:rPr>
          <w:rFonts w:ascii="Amiri" w:cs="Amiri" w:eastAsia="Amiri" w:hAnsi="Amiri"/>
          <w:b/>
          <w:bCs/>
          <w:color w:val="1B4F72"/>
          <w:sz w:val="36"/>
          <w:szCs w:val="36"/>
        </w:rPr>
        <w:t xml:space="preserve">الفصل الثالث</w:t>
      </w:r>
    </w:p>
    <w:p>
      <w:pPr>
        <w:spacing w:after="160" w:line="360"/>
        <w:jc w:val="center"/>
      </w:pPr>
      <w:r>
        <w:rPr>
          <w:rFonts w:ascii="Tajawal" w:cs="Tajawal" w:eastAsia="Tajawal" w:hAnsi="Tajawal"/>
          <w:b/>
          <w:bCs/>
          <w:color w:val="2E75B6"/>
          <w:sz w:val="28"/>
          <w:szCs w:val="28"/>
        </w:rPr>
        <w:t xml:space="preserve">الجيل الثاني: بين عالمين</w:t>
      </w:r>
    </w:p>
    <w:p>
      <w:pPr>
        <w:pBdr>
          <w:bottom w:val="single" w:color="2E75B6" w:sz="3" w:space="8"/>
        </w:pBdr>
        <w:spacing w:before="100"/>
        <w:jc w:val="center"/>
      </w:pPr>
    </w:p>
    <w:p>
      <w:pPr>
        <w:spacing w:before="200"/>
      </w:pPr>
    </w:p>
    <w:p>
      <w:pPr>
        <w:spacing w:after="160" w:line="360"/>
        <w:jc w:val="right"/>
      </w:pPr>
      <w:r>
        <w:rPr>
          <w:rFonts w:ascii="Tajawal" w:cs="Tajawal" w:eastAsia="Tajawal" w:hAnsi="Tajawal"/>
          <w:sz w:val="24"/>
          <w:szCs w:val="24"/>
        </w:rPr>
        <w:t xml:space="preserve">يمثل الجيل الثاني - المولودون في الغرب لآباء مهاجرين - الحالة الأكثر دراسة في الأدبيات الأكاديمية. هؤلاء يتلقون "حزمة موروثة" من الجيل الأول لكنهم لا يُولدون في فراغ: يتعرضون لهوية ثقافية سائدة مختلفة من الإعلام والأصدقاء غير المسلمين والمؤسسات التعليمية. ليسوا متلقين سلبيين بل يحاولون الارتباط بكلا الموروثين والتفاوض بطريقة تحافظ على العلاقة مع العائلة وتحقق المواطنة الأوروبية الكاملة.</w:t>
      </w:r>
    </w:p>
    <w:p>
      <w:pPr>
        <w:pStyle w:val="Heading2"/>
        <w:spacing w:after="200" w:before="300"/>
        <w:jc w:val="right"/>
      </w:pPr>
      <w:r>
        <w:rPr>
          <w:rFonts w:ascii="Tajawal" w:cs="Tajawal" w:eastAsia="Tajawal" w:hAnsi="Tajawal"/>
          <w:b/>
          <w:bCs/>
          <w:color w:val="2E75B6"/>
          <w:sz w:val="30"/>
          <w:szCs w:val="30"/>
        </w:rPr>
        <w:t xml:space="preserve">نتائج دراسة CILS4EU في ألمانيا (الأقوى منهجياً)</w:t>
      </w:r>
    </w:p>
    <w:p>
      <w:pPr>
        <w:spacing w:after="160" w:line="360"/>
        <w:jc w:val="right"/>
      </w:pPr>
      <w:r>
        <w:rPr>
          <w:rFonts w:ascii="Tajawal" w:cs="Tajawal" w:eastAsia="Tajawal" w:hAnsi="Tajawal"/>
          <w:sz w:val="24"/>
          <w:szCs w:val="24"/>
        </w:rPr>
        <w:t xml:space="preserve">دراسة طولية تتبعت آلاف الشباب المسلم في ألمانيا عبر سبع موجات من المراهقة إلى مطلع البلوغ. كشفت عن ثلاثة مسارات دينية متمايزة: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المسار</w:t>
            </w:r>
          </w:p>
        </w:tc>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النسبة</w:t>
            </w:r>
          </w:p>
        </w:tc>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الوصف</w:t>
            </w:r>
          </w:p>
        </w:tc>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المقارنة بالمسيحيين</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تدين مرتفع مستقر</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C0392B"/>
                <w:sz w:val="28"/>
                <w:szCs w:val="28"/>
              </w:rPr>
              <w:t xml:space="preserve">58%</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يحافظون على تدين عالٍ طوال المراهقة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9% فقط (متوسط)</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تدين منخفض</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E67E22"/>
                <w:sz w:val="28"/>
                <w:szCs w:val="28"/>
              </w:rPr>
              <w:t xml:space="preserve">31%</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مستوى تدين منخفض من البداية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74% (منخفض)</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تدين متزايد</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27AE60"/>
                <w:sz w:val="28"/>
                <w:szCs w:val="28"/>
              </w:rPr>
              <w:t xml:space="preserve">11%</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بدأوا بتدين منخفض ثم ازداد</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17% (متناقص!)</w:t>
            </w:r>
          </w:p>
        </w:tc>
      </w:tr>
    </w:tbl>
    <w:p>
      <w:pPr>
        <w:spacing w:after="200"/>
        <w:jc w:val="center"/>
      </w:pPr>
      <w:r>
        <w:rPr>
          <w:rFonts w:ascii="Tajawal" w:cs="Tajawal" w:eastAsia="Tajawal" w:hAnsi="Tajawal"/>
          <w:color w:val="555555"/>
          <w:sz w:val="22"/>
          <w:szCs w:val="22"/>
        </w:rPr>
        <w:t xml:space="preserve">جدول (2): مسارات التدين لدى الشباب المسلم في ألمانيا - مصدر: CILS4EU / PMC 2024</w:t>
      </w:r>
    </w:p>
    <w:p>
      <w:pPr>
        <w:spacing w:after="160" w:line="360"/>
        <w:jc w:val="right"/>
      </w:pPr>
      <w:r>
        <w:rPr>
          <w:rFonts w:ascii="Tajawal" w:cs="Tajawal" w:eastAsia="Tajawal" w:hAnsi="Tajawal"/>
          <w:sz w:val="24"/>
          <w:szCs w:val="24"/>
        </w:rPr>
        <w:t xml:space="preserve">هذه الأرقام تكشف حقيقة مزدوجة: الأغلبية (58%) تحافظ على تدين مرتفع وهو أمر إيجابي، لكن ثلث الشباب المسلم (31%) في ألمانيا ذو تدين منخفض - وهذا رقم مقلق يعني أن واحداً من كل ثلاثة شباب مسلمين لا يرتبط بالدين ارتباطاً قوياً.</w:t>
      </w:r>
    </w:p>
    <w:p>
      <w:pPr>
        <w:pStyle w:val="Heading2"/>
        <w:spacing w:after="200" w:before="300"/>
        <w:jc w:val="right"/>
      </w:pPr>
      <w:r>
        <w:rPr>
          <w:rFonts w:ascii="Tajawal" w:cs="Tajawal" w:eastAsia="Tajawal" w:hAnsi="Tajawal"/>
          <w:b/>
          <w:bCs/>
          <w:color w:val="2E75B6"/>
          <w:sz w:val="30"/>
          <w:szCs w:val="30"/>
        </w:rPr>
        <w:t xml:space="preserve">التحول النوعي: من الممارسة الجماعية إلى الروحانية الفردية</w:t>
      </w:r>
    </w:p>
    <w:p>
      <w:pPr>
        <w:spacing w:after="160" w:line="360"/>
        <w:jc w:val="right"/>
      </w:pPr>
      <w:r>
        <w:rPr>
          <w:rFonts w:ascii="Tajawal" w:cs="Tajawal" w:eastAsia="Tajawal" w:hAnsi="Tajawal"/>
          <w:sz w:val="24"/>
          <w:szCs w:val="24"/>
        </w:rPr>
        <w:t xml:space="preserve">تشير الأدلة التجريبية إلى أن الجيل الثاني يفهم الإسلام بشكل أقل من حيث الممارسات والتقاليد (مثل الحيوية الدينية) وأكثر من حيث التصور الروحي والخاص والرمزي لكونهم مسلمين (Rizzo et al., 2020; Skandrani et al., 2012). هذا التجدد الديني يمكن فهمه كوسيلة للتعامل مع الضغوط التي يواجهها الجيل الثاني في المجتمع الأوروبي.</w:t>
      </w:r>
    </w:p>
    <w:p>
      <w:pPr>
        <w:pStyle w:val="Heading2"/>
        <w:spacing w:after="200" w:before="300"/>
        <w:jc w:val="right"/>
      </w:pPr>
      <w:r>
        <w:rPr>
          <w:rFonts w:ascii="Tajawal" w:cs="Tajawal" w:eastAsia="Tajawal" w:hAnsi="Tajawal"/>
          <w:b/>
          <w:bCs/>
          <w:color w:val="2E75B6"/>
          <w:sz w:val="30"/>
          <w:szCs w:val="30"/>
        </w:rPr>
        <w:t xml:space="preserve">المفارقة الأوروبية: هولندا مقابل فرنسا وألمانيا</w:t>
      </w:r>
    </w:p>
    <w:p>
      <w:pPr>
        <w:spacing w:after="160" w:line="360"/>
        <w:jc w:val="right"/>
      </w:pPr>
      <w:r>
        <w:rPr>
          <w:rFonts w:ascii="Tajawal" w:cs="Tajawal" w:eastAsia="Tajawal" w:hAnsi="Tajawal"/>
          <w:sz w:val="24"/>
          <w:szCs w:val="24"/>
        </w:rPr>
        <w:t xml:space="preserve">تكشف المقارنة بين الدول الأوروبية عن تباينات مثيرة. في فرنسا وألمانيا، تشير الدراسات إلى عدم وجود تغيير ديني كبير بين الجيلين (Diehl &amp; Koenig, 2009; Drouhot, 2021). لكن في هولندا، ظهرت أدلة أوضح على العلمنة حيث يُظهر الجيل الثاني من الأتراك والمغاربة هويات دينية أضعف وممارسات أقل (Maliepaard et al., 2010). وفي بريطانيا، التراجع أبطأ مما في هولندا (Bisin et al., 2008).</w:t>
      </w:r>
    </w:p>
    <w:p>
      <w:pPr>
        <w:spacing w:after="160" w:line="360"/>
        <w:jc w:val="right"/>
      </w:pPr>
      <w:r>
        <w:rPr>
          <w:rFonts w:ascii="Tajawal" w:cs="Tajawal" w:eastAsia="Tajawal" w:hAnsi="Tajawal"/>
          <w:sz w:val="24"/>
          <w:szCs w:val="24"/>
        </w:rPr>
        <w:t xml:space="preserve">والمدهش أن بعض الدراسات وجدت ارتفاعاً في التدين بين الجيل الثاني مقارنة بالأول. دراسة المسح الاجتماعي الأوروبي (2002-2018) عبر 15 دولة وجدت أنه بينما يتراجع التدين لدى السكان الأصليين، يُظهر المسلمون من الجيلين الأول والثاني ارتفاعاً في التدين - ما قد يكون "تديناً تفاعلياً" رداً على التمييز والإسلاموفوبيا.</w:t>
      </w:r>
    </w:p>
    <w:p>
      <w:r>
        <w:br w:type="page"/>
      </w:r>
    </w:p>
    <w:p>
      <w:pPr>
        <w:pStyle w:val="Heading1"/>
        <w:spacing w:after="200" w:before="300"/>
        <w:jc w:val="center"/>
      </w:pPr>
      <w:r>
        <w:rPr>
          <w:rFonts w:ascii="Amiri" w:cs="Amiri" w:eastAsia="Amiri" w:hAnsi="Amiri"/>
          <w:b/>
          <w:bCs/>
          <w:color w:val="1B4F72"/>
          <w:sz w:val="36"/>
          <w:szCs w:val="36"/>
        </w:rPr>
        <w:t xml:space="preserve">الفصل الرابع</w:t>
      </w:r>
    </w:p>
    <w:p>
      <w:pPr>
        <w:spacing w:after="160" w:line="360"/>
        <w:jc w:val="center"/>
      </w:pPr>
      <w:r>
        <w:rPr>
          <w:rFonts w:ascii="Tajawal" w:cs="Tajawal" w:eastAsia="Tajawal" w:hAnsi="Tajawal"/>
          <w:b/>
          <w:bCs/>
          <w:color w:val="2E75B6"/>
          <w:sz w:val="28"/>
          <w:szCs w:val="28"/>
        </w:rPr>
        <w:t xml:space="preserve">الجيل الثالث والرابع: نقطة التحول الحرجة</w:t>
      </w:r>
    </w:p>
    <w:p>
      <w:pPr>
        <w:pBdr>
          <w:bottom w:val="single" w:color="C0392B" w:sz="3" w:space="8"/>
        </w:pBdr>
        <w:spacing w:before="100"/>
        <w:jc w:val="center"/>
      </w:pPr>
    </w:p>
    <w:p>
      <w:pPr>
        <w:spacing w:before="200"/>
      </w:pPr>
    </w:p>
    <w:p>
      <w:pPr>
        <w:spacing w:after="160" w:line="360"/>
        <w:jc w:val="right"/>
      </w:pPr>
      <w:r>
        <w:rPr>
          <w:rFonts w:ascii="Tajawal" w:cs="Tajawal" w:eastAsia="Tajawal" w:hAnsi="Tajawal"/>
          <w:sz w:val="24"/>
          <w:szCs w:val="24"/>
        </w:rPr>
        <w:t xml:space="preserve">هنا تكمن الفجوة البحثية الأكبر - والخطر الأعظم. الجيل الثالث (أحفاد المهاجرين الأصليين) بدأ يظهر فعلياً في تسعينيات القرن العشرين، والجيل الرابع لا يزال في مراحله المبكرة. لذلك لا توجد دراسات كمية شاملة تتتبع هذين الجيلين بشكل منفصل - وهذا بحد ذاته إنذار.</w:t>
      </w:r>
    </w:p>
    <w:p>
      <w:pPr>
        <w:pStyle w:val="Heading2"/>
        <w:spacing w:after="200" w:before="300"/>
        <w:jc w:val="right"/>
      </w:pPr>
      <w:r>
        <w:rPr>
          <w:rFonts w:ascii="Tajawal" w:cs="Tajawal" w:eastAsia="Tajawal" w:hAnsi="Tajawal"/>
          <w:b/>
          <w:bCs/>
          <w:color w:val="2E75B6"/>
          <w:sz w:val="30"/>
          <w:szCs w:val="30"/>
        </w:rPr>
        <w:t xml:space="preserve">ما نعرفه حتى الآن</w:t>
      </w:r>
    </w:p>
    <w:p>
      <w:pPr>
        <w:spacing w:after="160" w:line="360"/>
        <w:jc w:val="right"/>
      </w:pPr>
      <w:r>
        <w:rPr>
          <w:rFonts w:ascii="Tajawal" w:cs="Tajawal" w:eastAsia="Tajawal" w:hAnsi="Tajawal"/>
          <w:sz w:val="24"/>
          <w:szCs w:val="24"/>
        </w:rPr>
        <w:t xml:space="preserve">دراسة حديثة (2025) أجرت مقابلات عائلية سردية عبر جيلين إلى ثلاثة أجيال في كندا وألمانيا الغربية، وخلصت إلى نتيجتين حاسمتين:</w:t>
      </w:r>
    </w:p>
    <w:p>
      <w:pPr>
        <w:pStyle w:val="ListParagraph"/>
        <w:numPr>
          <w:ilvl w:val="0"/>
          <w:numId w:val="2"/>
        </w:numPr>
        <w:spacing w:after="120" w:line="340"/>
        <w:jc w:val="right"/>
      </w:pPr>
      <w:r>
        <w:rPr>
          <w:rFonts w:ascii="Tajawal" w:cs="Tajawal" w:eastAsia="Tajawal" w:hAnsi="Tajawal"/>
          <w:sz w:val="24"/>
          <w:szCs w:val="24"/>
        </w:rPr>
        <w:t xml:space="preserve">ممارسة الدين مع الأطفال - وليس مجرد الحديث عنه - هي العامل الأهم في نجاح التوارث الديني، خاصة عندما تُدمج الشعائر في الحياة اليومية.</w:t>
      </w:r>
    </w:p>
    <w:p>
      <w:pPr>
        <w:pStyle w:val="ListParagraph"/>
        <w:numPr>
          <w:ilvl w:val="0"/>
          <w:numId w:val="2"/>
        </w:numPr>
        <w:spacing w:after="120" w:line="340"/>
        <w:jc w:val="right"/>
      </w:pPr>
      <w:r>
        <w:rPr>
          <w:rFonts w:ascii="Tajawal" w:cs="Tajawal" w:eastAsia="Tajawal" w:hAnsi="Tajawal"/>
          <w:sz w:val="24"/>
          <w:szCs w:val="24"/>
        </w:rPr>
        <w:t xml:space="preserve">الآباء يغيّرون طريقة تعاملهم مع الدين، بالتركيز على أن يتخذ أطفالهم خياراتهم بأنفسهم. العائلات المسلمة تتحول نحو أشكال أكثر فردانية وتأملية من التدين.</w:t>
      </w:r>
    </w:p>
    <w:p>
      <w:pPr>
        <w:spacing w:after="160" w:line="360"/>
        <w:jc w:val="right"/>
      </w:pPr>
      <w:r>
        <w:rPr>
          <w:rFonts w:ascii="Tajawal" w:cs="Tajawal" w:eastAsia="Tajawal" w:hAnsi="Tajawal"/>
          <w:b/>
          <w:bCs/>
          <w:sz w:val="24"/>
          <w:szCs w:val="24"/>
        </w:rPr>
        <w:t xml:space="preserve">هذا التحول من "الدين كموروث يُفرض" إلى "الدين كخيار فردي" هو تحول جذري في آلية التوارث، وقد يكون مقدمة لتراجع حاد في الأجيال اللاحقة.</w:t>
      </w:r>
    </w:p>
    <w:p>
      <w:pPr>
        <w:pStyle w:val="Heading2"/>
        <w:spacing w:after="200" w:before="300"/>
        <w:jc w:val="right"/>
      </w:pPr>
      <w:r>
        <w:rPr>
          <w:rFonts w:ascii="Tajawal" w:cs="Tajawal" w:eastAsia="Tajawal" w:hAnsi="Tajawal"/>
          <w:b/>
          <w:bCs/>
          <w:color w:val="2E75B6"/>
          <w:sz w:val="30"/>
          <w:szCs w:val="30"/>
        </w:rPr>
        <w:t xml:space="preserve">نموذج التراجع الديني الثلاثي المراحل</w:t>
      </w:r>
    </w:p>
    <w:p>
      <w:pPr>
        <w:spacing w:after="160" w:line="360"/>
        <w:jc w:val="right"/>
      </w:pPr>
      <w:r>
        <w:rPr>
          <w:rFonts w:ascii="Tajawal" w:cs="Tajawal" w:eastAsia="Tajawal" w:hAnsi="Tajawal"/>
          <w:sz w:val="24"/>
          <w:szCs w:val="24"/>
        </w:rPr>
        <w:t xml:space="preserve">نشرت مجلة Nature Communications (2025) ورقة أكاديمية تقترح نموذجاً عاماً للتراجع الديني يمر بثلاث مراحل عبر الأجيال:</w:t>
      </w:r>
    </w:p>
    <w:p>
      <w:pPr>
        <w:pStyle w:val="ListParagraph"/>
        <w:numPr>
          <w:ilvl w:val="0"/>
          <w:numId w:val="3"/>
        </w:numPr>
        <w:spacing w:after="120" w:line="340"/>
        <w:jc w:val="right"/>
      </w:pPr>
      <w:r>
        <w:rPr>
          <w:rFonts w:ascii="Tajawal" w:cs="Tajawal" w:eastAsia="Tajawal" w:hAnsi="Tajawal"/>
          <w:sz w:val="24"/>
          <w:szCs w:val="24"/>
        </w:rPr>
        <w:t xml:space="preserve">المرحلة الأولى (P - المشاركة): تنخفض المشاركة في العبادة الجماعية أولاً.</w:t>
      </w:r>
    </w:p>
    <w:p>
      <w:pPr>
        <w:pStyle w:val="ListParagraph"/>
        <w:numPr>
          <w:ilvl w:val="0"/>
          <w:numId w:val="3"/>
        </w:numPr>
        <w:spacing w:after="120" w:line="340"/>
        <w:jc w:val="right"/>
      </w:pPr>
      <w:r>
        <w:rPr>
          <w:rFonts w:ascii="Tajawal" w:cs="Tajawal" w:eastAsia="Tajawal" w:hAnsi="Tajawal"/>
          <w:sz w:val="24"/>
          <w:szCs w:val="24"/>
        </w:rPr>
        <w:t xml:space="preserve">المرحلة الثانية (I - الأهمية): تنخفض أهمية الدين في الحياة الشخصية.</w:t>
      </w:r>
    </w:p>
    <w:p>
      <w:pPr>
        <w:pStyle w:val="ListParagraph"/>
        <w:numPr>
          <w:ilvl w:val="0"/>
          <w:numId w:val="3"/>
        </w:numPr>
        <w:spacing w:after="120" w:line="340"/>
        <w:jc w:val="right"/>
      </w:pPr>
      <w:r>
        <w:rPr>
          <w:rFonts w:ascii="Tajawal" w:cs="Tajawal" w:eastAsia="Tajawal" w:hAnsi="Tajawal"/>
          <w:sz w:val="24"/>
          <w:szCs w:val="24"/>
        </w:rPr>
        <w:t xml:space="preserve">المرحلة الثالثة (B - الانتماء): يتخلى الفرد عن الهوية الدينية كلياً.</w:t>
      </w:r>
    </w:p>
    <w:p>
      <w:pPr>
        <w:spacing w:after="160" w:line="360"/>
        <w:jc w:val="right"/>
      </w:pPr>
      <w:r>
        <w:rPr>
          <w:rFonts w:ascii="Tajawal" w:cs="Tajawal" w:eastAsia="Tajawal" w:hAnsi="Tajawal"/>
          <w:sz w:val="24"/>
          <w:szCs w:val="24"/>
        </w:rPr>
        <w:t xml:space="preserve">الخطير أن هذا النموذج ينطبق على المسلمين أيضاً. في أمريكا نرى المراحل الثلاث بوضوح: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المؤشر</w:t>
            </w:r>
          </w:p>
        </w:tc>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الرقم</w:t>
            </w:r>
          </w:p>
        </w:tc>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الاتجاه</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الصلوات الخمس (شباب 18-29)</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33%</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انخفاض مقابل 53% لكبار السن</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الدين مهم جداً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65% (2017)</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انخفاض من 72% عام 2007</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ترك الهوية الإسلامية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23-25%</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أعلى معدل في العالم</w:t>
            </w:r>
          </w:p>
        </w:tc>
      </w:tr>
    </w:tbl>
    <w:p>
      <w:pPr>
        <w:spacing w:after="200"/>
        <w:jc w:val="center"/>
      </w:pPr>
      <w:r>
        <w:rPr>
          <w:rFonts w:ascii="Tajawal" w:cs="Tajawal" w:eastAsia="Tajawal" w:hAnsi="Tajawal"/>
          <w:color w:val="555555"/>
          <w:sz w:val="22"/>
          <w:szCs w:val="22"/>
        </w:rPr>
        <w:t xml:space="preserve">جدول (3): مؤشرات التراجع الثلاثي بين المسلمين الأمريكيين - مصدر: Pew 2017</w:t>
      </w:r>
    </w:p>
    <w:p>
      <w:pPr>
        <w:pStyle w:val="Heading2"/>
        <w:spacing w:after="200" w:before="300"/>
        <w:jc w:val="right"/>
      </w:pPr>
      <w:r>
        <w:rPr>
          <w:rFonts w:ascii="Tajawal" w:cs="Tajawal" w:eastAsia="Tajawal" w:hAnsi="Tajawal"/>
          <w:b/>
          <w:bCs/>
          <w:color w:val="2E75B6"/>
          <w:sz w:val="30"/>
          <w:szCs w:val="30"/>
        </w:rPr>
        <w:t xml:space="preserve">الجيل الثالث الأمريكي: حالة خاصة</w:t>
      </w:r>
    </w:p>
    <w:p>
      <w:pPr>
        <w:spacing w:after="160" w:line="360"/>
        <w:jc w:val="right"/>
      </w:pPr>
      <w:r>
        <w:rPr>
          <w:rFonts w:ascii="Tajawal" w:cs="Tajawal" w:eastAsia="Tajawal" w:hAnsi="Tajawal"/>
          <w:sz w:val="24"/>
          <w:szCs w:val="24"/>
        </w:rPr>
        <w:t xml:space="preserve">في أمريكا، نصف المسلمين الذين عاشت عائلاتهم ثلاثة أجيال على الأقل هم من السود الأمريكيين (51%)، وهذا يعكس تاريخ حركة أمة الإسلام والتحولات اللاحقة. لذلك لا يمكن مقارنتهم مباشرة بأحفاد المهاجرين الحديثين. وهذا يعني أن الجيل الثالث من المهاجرين المسلمين لم يُدرس بشكل كافٍ حتى في أمريكا.</w:t>
      </w:r>
    </w:p>
    <w:p>
      <w:r>
        <w:br w:type="page"/>
      </w:r>
    </w:p>
    <w:p>
      <w:pPr>
        <w:pStyle w:val="Heading1"/>
        <w:spacing w:after="200" w:before="300"/>
        <w:jc w:val="center"/>
      </w:pPr>
      <w:r>
        <w:rPr>
          <w:rFonts w:ascii="Amiri" w:cs="Amiri" w:eastAsia="Amiri" w:hAnsi="Amiri"/>
          <w:b/>
          <w:bCs/>
          <w:color w:val="1B4F72"/>
          <w:sz w:val="36"/>
          <w:szCs w:val="36"/>
        </w:rPr>
        <w:t xml:space="preserve">الفصل الخامس</w:t>
      </w:r>
    </w:p>
    <w:p>
      <w:pPr>
        <w:spacing w:after="160" w:line="360"/>
        <w:jc w:val="center"/>
      </w:pPr>
      <w:r>
        <w:rPr>
          <w:rFonts w:ascii="Tajawal" w:cs="Tajawal" w:eastAsia="Tajawal" w:hAnsi="Tajawal"/>
          <w:b/>
          <w:bCs/>
          <w:color w:val="2E75B6"/>
          <w:sz w:val="28"/>
          <w:szCs w:val="28"/>
        </w:rPr>
        <w:t xml:space="preserve">مقارنة الجاليات: لماذا تنجح بعضها وتفشل أخرى؟</w:t>
      </w:r>
    </w:p>
    <w:p>
      <w:pPr>
        <w:pBdr>
          <w:bottom w:val="single" w:color="2E75B6" w:sz="3" w:space="8"/>
        </w:pBdr>
        <w:spacing w:before="100"/>
        <w:jc w:val="center"/>
      </w:pPr>
    </w:p>
    <w:p>
      <w:pPr>
        <w:spacing w:before="200"/>
      </w:pPr>
    </w:p>
    <w:p>
      <w:pPr>
        <w:pStyle w:val="Heading2"/>
        <w:spacing w:after="200" w:before="300"/>
        <w:jc w:val="right"/>
      </w:pPr>
      <w:r>
        <w:rPr>
          <w:rFonts w:ascii="Tajawal" w:cs="Tajawal" w:eastAsia="Tajawal" w:hAnsi="Tajawal"/>
          <w:b/>
          <w:bCs/>
          <w:color w:val="2E75B6"/>
          <w:sz w:val="30"/>
          <w:szCs w:val="30"/>
        </w:rPr>
        <w:t xml:space="preserve">الجالية التركية في أوروبا: البنية المؤسسية القوية</w:t>
      </w:r>
    </w:p>
    <w:p>
      <w:pPr>
        <w:spacing w:after="160" w:line="360"/>
        <w:jc w:val="right"/>
      </w:pPr>
      <w:r>
        <w:rPr>
          <w:rFonts w:ascii="Tajawal" w:cs="Tajawal" w:eastAsia="Tajawal" w:hAnsi="Tajawal"/>
          <w:sz w:val="24"/>
          <w:szCs w:val="24"/>
        </w:rPr>
        <w:t xml:space="preserve">تتمتع الجالية التركية ببنية مؤسسية لا مثيل لها بين الجاليات المسلمة: رئاسة الشؤون الدينية (Diyanet) التي تموّلها الدولة التركية، وحركة الملي غوروش، والسليمانلي، وجماعات إسلامية أخرى. هذه المنظمات تدير مساجد ومدارس وأنشطة ثقافية واجتماعية. لكن دراسة حديثة (2024) عن الجيل الثالث من النساء التركيات-الهولنديات كشفت عن تحول من الإسلام الأخلاقي التقليدي نحو الروحانية الفردية، حيث تتحدى النساء الانغلاق الثقافي لمجتمعاتهن.</w:t>
      </w:r>
    </w:p>
    <w:p>
      <w:pPr>
        <w:pStyle w:val="Heading2"/>
        <w:spacing w:after="200" w:before="300"/>
        <w:jc w:val="right"/>
      </w:pPr>
      <w:r>
        <w:rPr>
          <w:rFonts w:ascii="Tajawal" w:cs="Tajawal" w:eastAsia="Tajawal" w:hAnsi="Tajawal"/>
          <w:b/>
          <w:bCs/>
          <w:color w:val="2E75B6"/>
          <w:sz w:val="30"/>
          <w:szCs w:val="30"/>
        </w:rPr>
        <w:t xml:space="preserve">الجالية الباكستانية في بريطانيا: الزواج الداخلي كحصن</w:t>
      </w:r>
    </w:p>
    <w:p>
      <w:pPr>
        <w:spacing w:after="160" w:line="360"/>
        <w:jc w:val="right"/>
      </w:pPr>
      <w:r>
        <w:rPr>
          <w:rFonts w:ascii="Tajawal" w:cs="Tajawal" w:eastAsia="Tajawal" w:hAnsi="Tajawal"/>
          <w:sz w:val="24"/>
          <w:szCs w:val="24"/>
        </w:rPr>
        <w:t xml:space="preserve">تشكل 43% من مسلمي بريطانيا وتتميز بمعدلات عالية من الزواج الداخلي والتجمع السكني. يجد الشباب البريطاني-الباكستاني في الإسلام مصدر استقرار ودوام في مجتمع علماني متحول. لكن الشباب الأكثر تعليماً يطرحون أسئلة جديدة حول الفرق بين الثقافة الباكستانية والإسلام الحقيقي.</w:t>
      </w:r>
    </w:p>
    <w:p>
      <w:pPr>
        <w:pStyle w:val="Heading2"/>
        <w:spacing w:after="200" w:before="300"/>
        <w:jc w:val="right"/>
      </w:pPr>
      <w:r>
        <w:rPr>
          <w:rFonts w:ascii="Tajawal" w:cs="Tajawal" w:eastAsia="Tajawal" w:hAnsi="Tajawal"/>
          <w:b/>
          <w:bCs/>
          <w:color w:val="2E75B6"/>
          <w:sz w:val="30"/>
          <w:szCs w:val="30"/>
        </w:rPr>
        <w:t xml:space="preserve">الجالية الإيرانية: الانسلاخ كاحتجاج سياسي</w:t>
      </w:r>
    </w:p>
    <w:p>
      <w:pPr>
        <w:spacing w:after="160" w:line="360"/>
        <w:jc w:val="right"/>
      </w:pPr>
      <w:r>
        <w:rPr>
          <w:rFonts w:ascii="Tajawal" w:cs="Tajawal" w:eastAsia="Tajawal" w:hAnsi="Tajawal"/>
          <w:sz w:val="24"/>
          <w:szCs w:val="24"/>
        </w:rPr>
        <w:t xml:space="preserve">تمثل الحالة الأكثر تطرفاً. مسح 2020 أظهر أن أقل من ثلث الإيرانيين (32%) يعرّفون أنفسهم كمسلمين. السبب الرئيسي ليس العلمنة الطبيعية بل ردة فعل على التدين القسري من النظام الحاكم. كما كتب أحد المحللين: "بينما حاولت الجمهورية الإسلامية حشر الدين في حلق الإيرانيين، رد الإيرانيون على استبدادهم بالطعن في الإيمان ذاته". هذه حالة درس بليغة: التدين القسري ينتج عكس المطلوب.</w:t>
      </w:r>
    </w:p>
    <w:p>
      <w:pPr>
        <w:pStyle w:val="Heading2"/>
        <w:spacing w:after="200" w:before="300"/>
        <w:jc w:val="right"/>
      </w:pPr>
      <w:r>
        <w:rPr>
          <w:rFonts w:ascii="Tajawal" w:cs="Tajawal" w:eastAsia="Tajawal" w:hAnsi="Tajawal"/>
          <w:b/>
          <w:bCs/>
          <w:color w:val="2E75B6"/>
          <w:sz w:val="30"/>
          <w:szCs w:val="30"/>
        </w:rPr>
        <w:t xml:space="preserve">الجالية الصومالية في أمريكا: المسجد سلاح ذو حدين</w:t>
      </w:r>
    </w:p>
    <w:p>
      <w:pPr>
        <w:spacing w:after="160" w:line="360"/>
        <w:jc w:val="right"/>
      </w:pPr>
      <w:r>
        <w:rPr>
          <w:rFonts w:ascii="Tajawal" w:cs="Tajawal" w:eastAsia="Tajawal" w:hAnsi="Tajawal"/>
          <w:sz w:val="24"/>
          <w:szCs w:val="24"/>
        </w:rPr>
        <w:t xml:space="preserve">دراسة ميدانية في كولومبوس (أوهايو) كشفت عن اتجاهين متضادين بين المراهقين الصوماليين: مجموعة نجحت في بناء هوية أمريكية-مسلمة متكاملة بدعم المسجد، ومجموعة أخرى عانت من صراع هوية عميق بين الأبعاد الصومالية والأمريكية والإسلامية - والمسجد ذاته عمّق هذا الصراع بدلاً من حله. الفارق: المسجد الذي يقدم إسلاماً مرناً يدعم التكامل، والمسجد الذي يقدم إسلاماً منغلقاً يدفع للانفصال.</w:t>
      </w:r>
    </w:p>
    <w:p>
      <w:r>
        <w:br w:type="page"/>
      </w:r>
    </w:p>
    <w:p>
      <w:pPr>
        <w:pStyle w:val="Heading1"/>
        <w:spacing w:after="200" w:before="300"/>
        <w:jc w:val="center"/>
      </w:pPr>
      <w:r>
        <w:rPr>
          <w:rFonts w:ascii="Amiri" w:cs="Amiri" w:eastAsia="Amiri" w:hAnsi="Amiri"/>
          <w:b/>
          <w:bCs/>
          <w:color w:val="1B4F72"/>
          <w:sz w:val="36"/>
          <w:szCs w:val="36"/>
        </w:rPr>
        <w:t xml:space="preserve">الفصل السادس</w:t>
      </w:r>
    </w:p>
    <w:p>
      <w:pPr>
        <w:spacing w:after="160" w:line="360"/>
        <w:jc w:val="center"/>
      </w:pPr>
      <w:r>
        <w:rPr>
          <w:rFonts w:ascii="Tajawal" w:cs="Tajawal" w:eastAsia="Tajawal" w:hAnsi="Tajawal"/>
          <w:b/>
          <w:bCs/>
          <w:color w:val="2E75B6"/>
          <w:sz w:val="28"/>
          <w:szCs w:val="28"/>
        </w:rPr>
        <w:t xml:space="preserve">أرقام على المحك: الإحصائيات المقارنة</w:t>
      </w:r>
    </w:p>
    <w:p>
      <w:pPr>
        <w:pBdr>
          <w:bottom w:val="single" w:color="C0392B" w:sz="3" w:space="8"/>
        </w:pBdr>
        <w:spacing w:before="100"/>
        <w:jc w:val="center"/>
      </w:pPr>
    </w:p>
    <w:p>
      <w:pPr>
        <w:spacing w:before="200"/>
      </w:pPr>
    </w:p>
    <w:p>
      <w:pPr>
        <w:pStyle w:val="Heading2"/>
        <w:spacing w:after="200" w:before="300"/>
        <w:jc w:val="right"/>
      </w:pPr>
      <w:r>
        <w:rPr>
          <w:rFonts w:ascii="Tajawal" w:cs="Tajawal" w:eastAsia="Tajawal" w:hAnsi="Tajawal"/>
          <w:b/>
          <w:bCs/>
          <w:color w:val="2E75B6"/>
          <w:sz w:val="30"/>
          <w:szCs w:val="30"/>
        </w:rPr>
        <w:t xml:space="preserve">معدلات ترك الإسلام حسب البلد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البلد</w:t>
            </w:r>
          </w:p>
        </w:tc>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نسبة ترك الإسلام</w:t>
            </w:r>
          </w:p>
        </w:tc>
        <w:tc>
          <w:tcPr>
            <w:tcW w:type="dxa" w:w="31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ملاحظات</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أمريكا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C0392B"/>
                <w:sz w:val="24"/>
                <w:szCs w:val="24"/>
              </w:rPr>
              <w:t xml:space="preserve">23-25%</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الأعلى عالمياً</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تركيا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3-4%</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رغم العلمنة الكمالية</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الهند</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1%</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الأدنى عالمياً</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إندونيسيا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أقل من 1%</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شبه معدوم</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بنغلاديش</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قريب من 0%</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ثبات شبه كامل</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أوروبا (إجمالي)</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~160,000 صافي خسارة</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2010-2016</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بريطانيا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~100,000 سنوياً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تقديرات صحفية</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ألمانيا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15,000-20,000 سنوياً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تقديرات Die Welt</w:t>
            </w:r>
          </w:p>
        </w:tc>
      </w:tr>
    </w:tbl>
    <w:p>
      <w:pPr>
        <w:spacing w:after="200"/>
        <w:jc w:val="center"/>
      </w:pPr>
      <w:r>
        <w:rPr>
          <w:rFonts w:ascii="Tajawal" w:cs="Tajawal" w:eastAsia="Tajawal" w:hAnsi="Tajawal"/>
          <w:color w:val="555555"/>
          <w:sz w:val="22"/>
          <w:szCs w:val="22"/>
        </w:rPr>
        <w:t xml:space="preserve">جدول (4): معدلات ترك الإسلام حسب البلد - مصادر متعددة</w:t>
      </w:r>
    </w:p>
    <w:p>
      <w:pPr>
        <w:pStyle w:val="Heading2"/>
        <w:spacing w:after="200" w:before="300"/>
        <w:jc w:val="right"/>
      </w:pPr>
      <w:r>
        <w:rPr>
          <w:rFonts w:ascii="Tajawal" w:cs="Tajawal" w:eastAsia="Tajawal" w:hAnsi="Tajawal"/>
          <w:b/>
          <w:bCs/>
          <w:color w:val="2E75B6"/>
          <w:sz w:val="30"/>
          <w:szCs w:val="30"/>
        </w:rPr>
        <w:t xml:space="preserve">مقارنة مؤشرات التدين بين الأجيال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المؤشر</w:t>
            </w:r>
          </w:p>
        </w:tc>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الجيل الأول / كبار السن</w:t>
            </w:r>
          </w:p>
        </w:tc>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الجيل الثاني / شباب</w:t>
            </w:r>
          </w:p>
        </w:tc>
        <w:tc>
          <w:tcPr>
            <w:tcW w:type="dxa" w:w="23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vAlign w:val="center"/>
          </w:tcPr>
          <w:p>
            <w:pPr>
              <w:jc w:val="center"/>
            </w:pPr>
            <w:r>
              <w:rPr>
                <w:rFonts w:ascii="Tajawal" w:cs="Tajawal" w:eastAsia="Tajawal" w:hAnsi="Tajawal"/>
                <w:b/>
                <w:bCs/>
                <w:color w:val="FFFFFF"/>
                <w:sz w:val="24"/>
                <w:szCs w:val="24"/>
              </w:rPr>
              <w:t xml:space="preserve">الاتجاه</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الصلوات الخمس يومياً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53%</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33%</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C0392B"/>
                <w:sz w:val="24"/>
                <w:szCs w:val="24"/>
              </w:rPr>
              <w:t xml:space="preserve">انخفاض 20 نقطة</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الدين مهم جداً (أمريكا)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72% (2007)</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65% (2017)</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E67E22"/>
                <w:sz w:val="24"/>
                <w:szCs w:val="24"/>
              </w:rPr>
              <w:t xml:space="preserve">انخفاض 7 نقاط</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صيام رمضان</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~80%</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~80%</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27AE60"/>
                <w:sz w:val="24"/>
                <w:szCs w:val="24"/>
              </w:rPr>
              <w:t xml:space="preserve">ثبات</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حضور المسجد أسبوعياً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~43%</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~43%</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27AE60"/>
                <w:sz w:val="24"/>
                <w:szCs w:val="24"/>
              </w:rPr>
              <w:t xml:space="preserve">ثبات</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التدين المرتفع (ألمانيا)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58%</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E67E22"/>
                <w:sz w:val="24"/>
                <w:szCs w:val="24"/>
              </w:rPr>
              <w:t xml:space="preserve">31% منخفض</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حضور المسجد (هولندا)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أعلى</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24% أسبوعياً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C0392B"/>
                <w:sz w:val="24"/>
                <w:szCs w:val="24"/>
              </w:rPr>
              <w:t xml:space="preserve">انخفاض</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ممارسون فعلياً (بلجيكا)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10%</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C0392B"/>
                <w:sz w:val="24"/>
                <w:szCs w:val="24"/>
              </w:rPr>
              <w:t xml:space="preserve">منخفض جداً</w:t>
            </w:r>
          </w:p>
        </w:tc>
      </w:tr>
      <w:tr>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متدينون (فرنسا)</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sz w:val="24"/>
                <w:szCs w:val="24"/>
              </w:rPr>
              <w:t xml:space="preserve">33%</w:t>
            </w:r>
          </w:p>
        </w:tc>
        <w:tc>
          <w:tcPr>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jc w:val="center"/>
            </w:pPr>
            <w:r>
              <w:rPr>
                <w:rFonts w:ascii="Tajawal" w:cs="Tajawal" w:eastAsia="Tajawal" w:hAnsi="Tajawal"/>
                <w:b/>
                <w:bCs/>
                <w:color w:val="E67E22"/>
                <w:sz w:val="24"/>
                <w:szCs w:val="24"/>
              </w:rPr>
              <w:t xml:space="preserve">ثلث فقط</w:t>
            </w:r>
          </w:p>
        </w:tc>
      </w:tr>
    </w:tbl>
    <w:p>
      <w:pPr>
        <w:spacing w:after="200"/>
        <w:jc w:val="center"/>
      </w:pPr>
      <w:r>
        <w:rPr>
          <w:rFonts w:ascii="Tajawal" w:cs="Tajawal" w:eastAsia="Tajawal" w:hAnsi="Tajawal"/>
          <w:color w:val="555555"/>
          <w:sz w:val="22"/>
          <w:szCs w:val="22"/>
        </w:rPr>
        <w:t xml:space="preserve">جدول (5): مقارنة مؤشرات التدين بين الأجيال - مصادر: Pew, ESS, دراسات وطنية</w:t>
      </w:r>
    </w:p>
    <w:p>
      <w:pPr>
        <w:spacing w:after="160" w:line="360"/>
        <w:jc w:val="right"/>
      </w:pPr>
      <w:r>
        <w:rPr>
          <w:rFonts w:ascii="Tajawal" w:cs="Tajawal" w:eastAsia="Tajawal" w:hAnsi="Tajawal"/>
          <w:b/>
          <w:bCs/>
          <w:sz w:val="24"/>
          <w:szCs w:val="24"/>
        </w:rPr>
        <w:t xml:space="preserve">هذه الأرقام تكشف نمطاً واضحاً: الممارسات الجماعية والرمزية (صيام رمضان، حضور صلاة العيد) تصمد عبر الأجيال، لكن الممارسات اليومية الشخصية (الصلوات الخمس، أهمية الدين) تتراجع بشكل ملحوظ. وهذا يعني أن الإسلام يتحول تدريجياً من نمط حياة شامل إلى هوية ثقافية رمزية.</w:t>
      </w:r>
    </w:p>
    <w:p>
      <w:r>
        <w:br w:type="page"/>
      </w:r>
    </w:p>
    <w:p>
      <w:pPr>
        <w:pStyle w:val="Heading1"/>
        <w:spacing w:after="200" w:before="300"/>
        <w:jc w:val="center"/>
      </w:pPr>
      <w:r>
        <w:rPr>
          <w:rFonts w:ascii="Amiri" w:cs="Amiri" w:eastAsia="Amiri" w:hAnsi="Amiri"/>
          <w:b/>
          <w:bCs/>
          <w:color w:val="1B4F72"/>
          <w:sz w:val="36"/>
          <w:szCs w:val="36"/>
        </w:rPr>
        <w:t xml:space="preserve">الفصل السابع</w:t>
      </w:r>
    </w:p>
    <w:p>
      <w:pPr>
        <w:spacing w:after="160" w:line="360"/>
        <w:jc w:val="center"/>
      </w:pPr>
      <w:r>
        <w:rPr>
          <w:rFonts w:ascii="Tajawal" w:cs="Tajawal" w:eastAsia="Tajawal" w:hAnsi="Tajawal"/>
          <w:b/>
          <w:bCs/>
          <w:color w:val="2E75B6"/>
          <w:sz w:val="28"/>
          <w:szCs w:val="28"/>
        </w:rPr>
        <w:t xml:space="preserve">عوامل الحفاظ على الإسلام</w:t>
      </w:r>
    </w:p>
    <w:p>
      <w:pPr>
        <w:pBdr>
          <w:bottom w:val="single" w:color="27AE60" w:sz="3" w:space="8"/>
        </w:pBdr>
        <w:spacing w:before="100"/>
        <w:jc w:val="center"/>
      </w:pPr>
    </w:p>
    <w:p>
      <w:pPr>
        <w:spacing w:before="200"/>
      </w:pPr>
    </w:p>
    <w:p>
      <w:pPr>
        <w:pStyle w:val="ListParagraph"/>
        <w:numPr>
          <w:ilvl w:val="0"/>
          <w:numId w:val="4"/>
        </w:numPr>
        <w:spacing w:after="120" w:line="340"/>
        <w:jc w:val="right"/>
      </w:pPr>
      <w:r>
        <w:rPr>
          <w:rFonts w:ascii="Tajawal" w:cs="Tajawal" w:eastAsia="Tajawal" w:hAnsi="Tajawal"/>
          <w:b/>
          <w:bCs/>
          <w:sz w:val="24"/>
          <w:szCs w:val="24"/>
        </w:rPr>
        <w:t xml:space="preserve">الزواج الداخلي (Endogamy): </w:t>
      </w:r>
      <w:r>
        <w:rPr>
          <w:rFonts w:ascii="Tajawal" w:cs="Tajawal" w:eastAsia="Tajawal" w:hAnsi="Tajawal"/>
          <w:sz w:val="24"/>
          <w:szCs w:val="24"/>
        </w:rPr>
        <w:t xml:space="preserve">أطفال الزوجين المهاجرين أكثر تديناً بكثير من أطفال الزيجات المختلطة. هذا من أقوى المؤشرات في الأدبيات.</w:t>
      </w:r>
    </w:p>
    <w:p>
      <w:pPr>
        <w:pStyle w:val="ListParagraph"/>
        <w:numPr>
          <w:ilvl w:val="0"/>
          <w:numId w:val="4"/>
        </w:numPr>
        <w:spacing w:after="120" w:line="340"/>
        <w:jc w:val="right"/>
      </w:pPr>
      <w:r>
        <w:rPr>
          <w:rFonts w:ascii="Tajawal" w:cs="Tajawal" w:eastAsia="Tajawal" w:hAnsi="Tajawal"/>
          <w:b/>
          <w:bCs/>
          <w:sz w:val="24"/>
          <w:szCs w:val="24"/>
        </w:rPr>
        <w:t xml:space="preserve">وضع الأقلية الدينية: </w:t>
      </w:r>
      <w:r>
        <w:rPr>
          <w:rFonts w:ascii="Tajawal" w:cs="Tajawal" w:eastAsia="Tajawal" w:hAnsi="Tajawal"/>
          <w:sz w:val="24"/>
          <w:szCs w:val="24"/>
        </w:rPr>
        <w:t xml:space="preserve">المفارقة أن كون المسلمين أقلية يعزز التدين بدلاً من إضعافه. فالهوية الدينية تصبح أداة تمايز وانتماء.</w:t>
      </w:r>
    </w:p>
    <w:p>
      <w:pPr>
        <w:pStyle w:val="ListParagraph"/>
        <w:numPr>
          <w:ilvl w:val="0"/>
          <w:numId w:val="4"/>
        </w:numPr>
        <w:spacing w:after="120" w:line="340"/>
        <w:jc w:val="right"/>
      </w:pPr>
      <w:r>
        <w:rPr>
          <w:rFonts w:ascii="Tajawal" w:cs="Tajawal" w:eastAsia="Tajawal" w:hAnsi="Tajawal"/>
          <w:b/>
          <w:bCs/>
          <w:sz w:val="24"/>
          <w:szCs w:val="24"/>
        </w:rPr>
        <w:t xml:space="preserve">تدين الوالدين الفعلي: </w:t>
      </w:r>
      <w:r>
        <w:rPr>
          <w:rFonts w:ascii="Tajawal" w:cs="Tajawal" w:eastAsia="Tajawal" w:hAnsi="Tajawal"/>
          <w:sz w:val="24"/>
          <w:szCs w:val="24"/>
        </w:rPr>
        <w:t xml:space="preserve">ليس مجرد الإيمان بل الممارسة الفعلية أمام الأطفال. دراسة كندا-ألمانيا 2025: ممارسة الدين مع الأطفال هي العامل الأهم، خاصة إدماج الشعائر في الحياة اليومية.</w:t>
      </w:r>
    </w:p>
    <w:p>
      <w:pPr>
        <w:pStyle w:val="ListParagraph"/>
        <w:numPr>
          <w:ilvl w:val="0"/>
          <w:numId w:val="4"/>
        </w:numPr>
        <w:spacing w:after="120" w:line="340"/>
        <w:jc w:val="right"/>
      </w:pPr>
      <w:r>
        <w:rPr>
          <w:rFonts w:ascii="Tajawal" w:cs="Tajawal" w:eastAsia="Tajawal" w:hAnsi="Tajawal"/>
          <w:b/>
          <w:bCs/>
          <w:sz w:val="24"/>
          <w:szCs w:val="24"/>
        </w:rPr>
        <w:t xml:space="preserve">البنية المؤسسية: </w:t>
      </w:r>
      <w:r>
        <w:rPr>
          <w:rFonts w:ascii="Tajawal" w:cs="Tajawal" w:eastAsia="Tajawal" w:hAnsi="Tajawal"/>
          <w:sz w:val="24"/>
          <w:szCs w:val="24"/>
        </w:rPr>
        <w:t xml:space="preserve">المساجد النشطة، المدارس القرآنية، المعسكرات الصيفية الإسلامية، والجمعيات المجتمعية تشكل شبكة أمان ديني.</w:t>
      </w:r>
    </w:p>
    <w:p>
      <w:pPr>
        <w:pStyle w:val="ListParagraph"/>
        <w:numPr>
          <w:ilvl w:val="0"/>
          <w:numId w:val="4"/>
        </w:numPr>
        <w:spacing w:after="120" w:line="340"/>
        <w:jc w:val="right"/>
      </w:pPr>
      <w:r>
        <w:rPr>
          <w:rFonts w:ascii="Tajawal" w:cs="Tajawal" w:eastAsia="Tajawal" w:hAnsi="Tajawal"/>
          <w:b/>
          <w:bCs/>
          <w:sz w:val="24"/>
          <w:szCs w:val="24"/>
        </w:rPr>
        <w:t xml:space="preserve">التعرض المتوازن للثقافتين: </w:t>
      </w:r>
      <w:r>
        <w:rPr>
          <w:rFonts w:ascii="Tajawal" w:cs="Tajawal" w:eastAsia="Tajawal" w:hAnsi="Tajawal"/>
          <w:sz w:val="24"/>
          <w:szCs w:val="24"/>
        </w:rPr>
        <w:t xml:space="preserve">دراسة هولندية حددت خمسة عوامل يومية تشكل هوية الأجيال: المدرسة، الأنشطة اللامنهجية، الحياة المنزلية، الجيران، والدين. الخلل في أي منها يؤدي لاضطراب الهوية.</w:t>
      </w:r>
    </w:p>
    <w:p>
      <w:pPr>
        <w:pStyle w:val="ListParagraph"/>
        <w:numPr>
          <w:ilvl w:val="0"/>
          <w:numId w:val="4"/>
        </w:numPr>
        <w:spacing w:after="120" w:line="340"/>
        <w:jc w:val="right"/>
      </w:pPr>
      <w:r>
        <w:rPr>
          <w:rFonts w:ascii="Tajawal" w:cs="Tajawal" w:eastAsia="Tajawal" w:hAnsi="Tajawal"/>
          <w:b/>
          <w:bCs/>
          <w:sz w:val="24"/>
          <w:szCs w:val="24"/>
        </w:rPr>
        <w:t xml:space="preserve">تدين بلد الاستقبال: </w:t>
      </w:r>
      <w:r>
        <w:rPr>
          <w:rFonts w:ascii="Tajawal" w:cs="Tajawal" w:eastAsia="Tajawal" w:hAnsi="Tajawal"/>
          <w:sz w:val="24"/>
          <w:szCs w:val="24"/>
        </w:rPr>
        <w:t xml:space="preserve">التراجع الديني بين الأجيال أقل حدة في الدول الأوروبية الأكثر تديناً - مما يشير لأهمية البيئة العامة.</w:t>
      </w:r>
    </w:p>
    <w:p>
      <w:r>
        <w:br w:type="page"/>
      </w:r>
    </w:p>
    <w:p>
      <w:pPr>
        <w:pStyle w:val="Heading1"/>
        <w:spacing w:after="200" w:before="300"/>
        <w:jc w:val="center"/>
      </w:pPr>
      <w:r>
        <w:rPr>
          <w:rFonts w:ascii="Amiri" w:cs="Amiri" w:eastAsia="Amiri" w:hAnsi="Amiri"/>
          <w:b/>
          <w:bCs/>
          <w:color w:val="1B4F72"/>
          <w:sz w:val="36"/>
          <w:szCs w:val="36"/>
        </w:rPr>
        <w:t xml:space="preserve">الفصل الثامن</w:t>
      </w:r>
    </w:p>
    <w:p>
      <w:pPr>
        <w:spacing w:after="160" w:line="360"/>
        <w:jc w:val="center"/>
      </w:pPr>
      <w:r>
        <w:rPr>
          <w:rFonts w:ascii="Tajawal" w:cs="Tajawal" w:eastAsia="Tajawal" w:hAnsi="Tajawal"/>
          <w:b/>
          <w:bCs/>
          <w:color w:val="2E75B6"/>
          <w:sz w:val="28"/>
          <w:szCs w:val="28"/>
        </w:rPr>
        <w:t xml:space="preserve">عوامل الانسلاخ عن الإسلام</w:t>
      </w:r>
    </w:p>
    <w:p>
      <w:pPr>
        <w:pBdr>
          <w:bottom w:val="single" w:color="C0392B" w:sz="3" w:space="8"/>
        </w:pBdr>
        <w:spacing w:before="100"/>
        <w:jc w:val="center"/>
      </w:pPr>
    </w:p>
    <w:p>
      <w:pPr>
        <w:spacing w:before="200"/>
      </w:pPr>
    </w:p>
    <w:p>
      <w:pPr>
        <w:pStyle w:val="ListParagraph"/>
        <w:numPr>
          <w:ilvl w:val="0"/>
          <w:numId w:val="5"/>
        </w:numPr>
        <w:spacing w:after="120" w:line="340"/>
        <w:jc w:val="right"/>
      </w:pPr>
      <w:r>
        <w:rPr>
          <w:rFonts w:ascii="Tajawal" w:cs="Tajawal" w:eastAsia="Tajawal" w:hAnsi="Tajawal"/>
          <w:b/>
          <w:bCs/>
          <w:sz w:val="24"/>
          <w:szCs w:val="24"/>
        </w:rPr>
        <w:t xml:space="preserve">التعليم العلماني بدون إرشاد ديني مواكب: </w:t>
      </w:r>
      <w:r>
        <w:rPr>
          <w:rFonts w:ascii="Tajawal" w:cs="Tajawal" w:eastAsia="Tajawal" w:hAnsi="Tajawal"/>
          <w:sz w:val="24"/>
          <w:szCs w:val="24"/>
        </w:rPr>
        <w:t xml:space="preserve">بدون تربية دينية فعالة موازية، يرى الشباب المتعلم الدين متقادماً. المشكلة ليست التعليم بل غياب خطاب ديني يواكبه.</w:t>
      </w:r>
    </w:p>
    <w:p>
      <w:pPr>
        <w:pStyle w:val="ListParagraph"/>
        <w:numPr>
          <w:ilvl w:val="0"/>
          <w:numId w:val="5"/>
        </w:numPr>
        <w:spacing w:after="120" w:line="340"/>
        <w:jc w:val="right"/>
      </w:pPr>
      <w:r>
        <w:rPr>
          <w:rFonts w:ascii="Tajawal" w:cs="Tajawal" w:eastAsia="Tajawal" w:hAnsi="Tajawal"/>
          <w:b/>
          <w:bCs/>
          <w:sz w:val="24"/>
          <w:szCs w:val="24"/>
        </w:rPr>
        <w:t xml:space="preserve">الإنترنت ومنتديات الشك: </w:t>
      </w:r>
      <w:r>
        <w:rPr>
          <w:rFonts w:ascii="Tajawal" w:cs="Tajawal" w:eastAsia="Tajawal" w:hAnsi="Tajawal"/>
          <w:sz w:val="24"/>
          <w:szCs w:val="24"/>
        </w:rPr>
        <w:t xml:space="preserve">منتديات مثل Reddit Ex-Muslim وصفحات Atheist Republic تكسر احتكار السرديات الدينية المحلية. الشاب المسلم الذي يشك لم يعد وحيداً.</w:t>
      </w:r>
    </w:p>
    <w:p>
      <w:pPr>
        <w:pStyle w:val="ListParagraph"/>
        <w:numPr>
          <w:ilvl w:val="0"/>
          <w:numId w:val="5"/>
        </w:numPr>
        <w:spacing w:after="120" w:line="340"/>
        <w:jc w:val="right"/>
      </w:pPr>
      <w:r>
        <w:rPr>
          <w:rFonts w:ascii="Tajawal" w:cs="Tajawal" w:eastAsia="Tajawal" w:hAnsi="Tajawal"/>
          <w:b/>
          <w:bCs/>
          <w:sz w:val="24"/>
          <w:szCs w:val="24"/>
        </w:rPr>
        <w:t xml:space="preserve">التدين القسري: </w:t>
      </w:r>
      <w:r>
        <w:rPr>
          <w:rFonts w:ascii="Tajawal" w:cs="Tajawal" w:eastAsia="Tajawal" w:hAnsi="Tajawal"/>
          <w:sz w:val="24"/>
          <w:szCs w:val="24"/>
        </w:rPr>
        <w:t xml:space="preserve">إيران وتركيا (تحت أردوغان) أظهرتا أن فرض التدين من أعلى ينتج ردة فعل عكسية. حتى داخل مدارس إمام خطيب التركية الدينية، لوحظ تحول الطلاب نحو الربوبية.</w:t>
      </w:r>
    </w:p>
    <w:p>
      <w:pPr>
        <w:pStyle w:val="ListParagraph"/>
        <w:numPr>
          <w:ilvl w:val="0"/>
          <w:numId w:val="5"/>
        </w:numPr>
        <w:spacing w:after="120" w:line="340"/>
        <w:jc w:val="right"/>
      </w:pPr>
      <w:r>
        <w:rPr>
          <w:rFonts w:ascii="Tajawal" w:cs="Tajawal" w:eastAsia="Tajawal" w:hAnsi="Tajawal"/>
          <w:b/>
          <w:bCs/>
          <w:sz w:val="24"/>
          <w:szCs w:val="24"/>
        </w:rPr>
        <w:t xml:space="preserve">غياب مساحات آمنة للتساؤل: </w:t>
      </w:r>
      <w:r>
        <w:rPr>
          <w:rFonts w:ascii="Tajawal" w:cs="Tajawal" w:eastAsia="Tajawal" w:hAnsi="Tajawal"/>
          <w:sz w:val="24"/>
          <w:szCs w:val="24"/>
        </w:rPr>
        <w:t xml:space="preserve">في التقليد الإسلامي، الشك يُقابل بالتهديد بنار جهنم وربطه بوسوسة الشيطان. هذا يدفع الشاكّ للصمت ثم للانفصال الكامل بدلاً من المعالجة.</w:t>
      </w:r>
    </w:p>
    <w:p>
      <w:pPr>
        <w:pStyle w:val="ListParagraph"/>
        <w:numPr>
          <w:ilvl w:val="0"/>
          <w:numId w:val="5"/>
        </w:numPr>
        <w:spacing w:after="120" w:line="340"/>
        <w:jc w:val="right"/>
      </w:pPr>
      <w:r>
        <w:rPr>
          <w:rFonts w:ascii="Tajawal" w:cs="Tajawal" w:eastAsia="Tajawal" w:hAnsi="Tajawal"/>
          <w:b/>
          <w:bCs/>
          <w:sz w:val="24"/>
          <w:szCs w:val="24"/>
        </w:rPr>
        <w:t xml:space="preserve">فجوة القيم الجيلية: </w:t>
      </w:r>
      <w:r>
        <w:rPr>
          <w:rFonts w:ascii="Tajawal" w:cs="Tajawal" w:eastAsia="Tajawal" w:hAnsi="Tajawal"/>
          <w:sz w:val="24"/>
          <w:szCs w:val="24"/>
        </w:rPr>
        <w:t xml:space="preserve">66% من الشباب العربي في استطلاع 2019 يرون أن الدين يلعب دوراً أكبر مما ينبغي في حياتهم.</w:t>
      </w:r>
    </w:p>
    <w:p>
      <w:pPr>
        <w:pStyle w:val="ListParagraph"/>
        <w:numPr>
          <w:ilvl w:val="0"/>
          <w:numId w:val="5"/>
        </w:numPr>
        <w:spacing w:after="120" w:line="340"/>
        <w:jc w:val="right"/>
      </w:pPr>
      <w:r>
        <w:rPr>
          <w:rFonts w:ascii="Tajawal" w:cs="Tajawal" w:eastAsia="Tajawal" w:hAnsi="Tajawal"/>
          <w:b/>
          <w:bCs/>
          <w:sz w:val="24"/>
          <w:szCs w:val="24"/>
        </w:rPr>
        <w:t xml:space="preserve">الزواج المختلط: </w:t>
      </w:r>
      <w:r>
        <w:rPr>
          <w:rFonts w:ascii="Tajawal" w:cs="Tajawal" w:eastAsia="Tajawal" w:hAnsi="Tajawal"/>
          <w:sz w:val="24"/>
          <w:szCs w:val="24"/>
        </w:rPr>
        <w:t xml:space="preserve">أطفال الزيجات المختلطة (مسلم/غير مسلم) أقل تديناً بشكل ملحوظ.</w:t>
      </w:r>
    </w:p>
    <w:p>
      <w:pPr>
        <w:pStyle w:val="ListParagraph"/>
        <w:numPr>
          <w:ilvl w:val="0"/>
          <w:numId w:val="5"/>
        </w:numPr>
        <w:spacing w:after="120" w:line="340"/>
        <w:jc w:val="right"/>
      </w:pPr>
      <w:r>
        <w:rPr>
          <w:rFonts w:ascii="Tajawal" w:cs="Tajawal" w:eastAsia="Tajawal" w:hAnsi="Tajawal"/>
          <w:b/>
          <w:bCs/>
          <w:sz w:val="24"/>
          <w:szCs w:val="24"/>
        </w:rPr>
        <w:t xml:space="preserve">التمييز المجتمعي - مفارقة مزدوجة: </w:t>
      </w:r>
      <w:r>
        <w:rPr>
          <w:rFonts w:ascii="Tajawal" w:cs="Tajawal" w:eastAsia="Tajawal" w:hAnsi="Tajawal"/>
          <w:sz w:val="24"/>
          <w:szCs w:val="24"/>
        </w:rPr>
        <w:t xml:space="preserve">قد يعزز الهوية الإسلامية عند البعض (تدين تفاعلي) لكنه يدفع آخرين للتخفي والابتعاد عن الإسلام تجنباً للوصمة.</w:t>
      </w:r>
    </w:p>
    <w:p>
      <w:r>
        <w:br w:type="page"/>
      </w:r>
    </w:p>
    <w:p>
      <w:pPr>
        <w:pStyle w:val="Heading1"/>
        <w:spacing w:after="200" w:before="300"/>
        <w:jc w:val="center"/>
      </w:pPr>
      <w:r>
        <w:rPr>
          <w:rFonts w:ascii="Amiri" w:cs="Amiri" w:eastAsia="Amiri" w:hAnsi="Amiri"/>
          <w:b/>
          <w:bCs/>
          <w:color w:val="1B4F72"/>
          <w:sz w:val="36"/>
          <w:szCs w:val="36"/>
        </w:rPr>
        <w:t xml:space="preserve">الفصل التاسع</w:t>
      </w:r>
    </w:p>
    <w:p>
      <w:pPr>
        <w:spacing w:after="160" w:line="360"/>
        <w:jc w:val="center"/>
      </w:pPr>
      <w:r>
        <w:rPr>
          <w:rFonts w:ascii="Tajawal" w:cs="Tajawal" w:eastAsia="Tajawal" w:hAnsi="Tajawal"/>
          <w:b/>
          <w:bCs/>
          <w:color w:val="2E75B6"/>
          <w:sz w:val="28"/>
          <w:szCs w:val="28"/>
        </w:rPr>
        <w:t xml:space="preserve">دور المسجد والتعليم الديني: محضن أم حاجز؟</w:t>
      </w:r>
    </w:p>
    <w:p>
      <w:pPr>
        <w:pBdr>
          <w:bottom w:val="single" w:color="2E75B6" w:sz="3" w:space="8"/>
        </w:pBdr>
        <w:spacing w:before="100"/>
        <w:jc w:val="center"/>
      </w:pPr>
    </w:p>
    <w:p>
      <w:pPr>
        <w:spacing w:before="200"/>
      </w:pPr>
    </w:p>
    <w:p>
      <w:pPr>
        <w:spacing w:after="160" w:line="360"/>
        <w:jc w:val="right"/>
      </w:pPr>
      <w:r>
        <w:rPr>
          <w:rFonts w:ascii="Tajawal" w:cs="Tajawal" w:eastAsia="Tajawal" w:hAnsi="Tajawal"/>
          <w:sz w:val="24"/>
          <w:szCs w:val="24"/>
        </w:rPr>
        <w:t xml:space="preserve">المسجد هو المؤسسة المركزية للجاليات المسلمة في المهجر، لكن فعاليته في الحفاظ على الأجيال تتفاوت بشكل كبير. دراسة المسلمين الصوماليين في أوهايو أظهرت أن المسجد يمكن أن يكون محضناً للهوية المتكاملة أو مصدراً لتعميق صراع الهوية - حسب نوع الخطاب المقدم.</w:t>
      </w:r>
    </w:p>
    <w:p>
      <w:pPr>
        <w:spacing w:after="160" w:line="360"/>
        <w:jc w:val="right"/>
      </w:pPr>
      <w:r>
        <w:rPr>
          <w:rFonts w:ascii="Tajawal" w:cs="Tajawal" w:eastAsia="Tajawal" w:hAnsi="Tajawal"/>
          <w:sz w:val="24"/>
          <w:szCs w:val="24"/>
        </w:rPr>
        <w:t xml:space="preserve">دروس القرآن وحضور الوالدين للمسجد يسهمان في تعزيز جميع أبعاد التدين لدى الجيل الثاني من خلال تقوية توجههم نحو الحفاظ على الثقافة الموروثة وتعزيز قوة الهوية الدينية. لكن المشكلة تكمن عندما يقدم المسجد إسلاماً ثقافياً مرتبطاً ببلد الأصل (إسلام تركي، إسلام باكستاني) بدلاً من إسلام كوني يخاطب واقع الشباب في الغرب.</w:t>
      </w:r>
    </w:p>
    <w:p>
      <w:r>
        <w:br w:type="page"/>
      </w:r>
    </w:p>
    <w:p>
      <w:pPr>
        <w:pStyle w:val="Heading1"/>
        <w:spacing w:after="200" w:before="300"/>
        <w:jc w:val="center"/>
      </w:pPr>
      <w:r>
        <w:rPr>
          <w:rFonts w:ascii="Amiri" w:cs="Amiri" w:eastAsia="Amiri" w:hAnsi="Amiri"/>
          <w:b/>
          <w:bCs/>
          <w:color w:val="1B4F72"/>
          <w:sz w:val="36"/>
          <w:szCs w:val="36"/>
        </w:rPr>
        <w:t xml:space="preserve">الفصل العاشر</w:t>
      </w:r>
    </w:p>
    <w:p>
      <w:pPr>
        <w:spacing w:after="160" w:line="360"/>
        <w:jc w:val="center"/>
      </w:pPr>
      <w:r>
        <w:rPr>
          <w:rFonts w:ascii="Tajawal" w:cs="Tajawal" w:eastAsia="Tajawal" w:hAnsi="Tajawal"/>
          <w:b/>
          <w:bCs/>
          <w:color w:val="2E75B6"/>
          <w:sz w:val="28"/>
          <w:szCs w:val="28"/>
        </w:rPr>
        <w:t xml:space="preserve">الإنترنت وثورة الشك</w:t>
      </w:r>
    </w:p>
    <w:p>
      <w:pPr>
        <w:pBdr>
          <w:bottom w:val="single" w:color="2E75B6" w:sz="3" w:space="8"/>
        </w:pBdr>
        <w:spacing w:before="100"/>
        <w:jc w:val="center"/>
      </w:pPr>
    </w:p>
    <w:p>
      <w:pPr>
        <w:spacing w:before="200"/>
      </w:pPr>
    </w:p>
    <w:p>
      <w:pPr>
        <w:spacing w:after="160" w:line="360"/>
        <w:jc w:val="right"/>
      </w:pPr>
      <w:r>
        <w:rPr>
          <w:rFonts w:ascii="Tajawal" w:cs="Tajawal" w:eastAsia="Tajawal" w:hAnsi="Tajawal"/>
          <w:sz w:val="24"/>
          <w:szCs w:val="24"/>
        </w:rPr>
        <w:t xml:space="preserve">في الأجيال السابقة، كان المسلم المتشكك يشعر بالوحدة التامة والعزلة. اليوم، عبر المنتديات الإلكترونية أو تويتر أو ريديت، يستطيع التواصل (بأسماء مستعارة) مع آخرين يختبرون نفس الشكوك. هذه "تطبيع الإلحاد" كهوية في بعض الدوائر قوّض الاحتكار الذي كانت تمارسه السرديات الدينية المحلية.</w:t>
      </w:r>
    </w:p>
    <w:p>
      <w:pPr>
        <w:spacing w:after="160" w:line="360"/>
        <w:jc w:val="right"/>
      </w:pPr>
      <w:r>
        <w:rPr>
          <w:rFonts w:ascii="Tajawal" w:cs="Tajawal" w:eastAsia="Tajawal" w:hAnsi="Tajawal"/>
          <w:sz w:val="24"/>
          <w:szCs w:val="24"/>
        </w:rPr>
        <w:t xml:space="preserve">المشكلة ليست الإنترنت بذاته بل غياب محتوى إسلامي رقمي عالي الجودة يخاطب تساؤلات الشباب بلغتهم ومنطقهم. المحتوى الإلحادي على الإنترنت احترافي وجذاب ويقدم إجابات واضحة (وإن كانت خاطئة)، بينما المحتوى الإسلامي غالباً ما يكون دفاعياً وتقليدياً ومنفراً.</w:t>
      </w:r>
    </w:p>
    <w:p>
      <w:r>
        <w:br w:type="page"/>
      </w:r>
    </w:p>
    <w:p>
      <w:pPr>
        <w:pStyle w:val="Heading1"/>
        <w:spacing w:after="200" w:before="300"/>
        <w:jc w:val="center"/>
      </w:pPr>
      <w:r>
        <w:rPr>
          <w:rFonts w:ascii="Amiri" w:cs="Amiri" w:eastAsia="Amiri" w:hAnsi="Amiri"/>
          <w:b/>
          <w:bCs/>
          <w:color w:val="1B4F72"/>
          <w:sz w:val="36"/>
          <w:szCs w:val="36"/>
        </w:rPr>
        <w:t xml:space="preserve">الفصل الحادي عشر</w:t>
      </w:r>
    </w:p>
    <w:p>
      <w:pPr>
        <w:spacing w:after="160" w:line="360"/>
        <w:jc w:val="center"/>
      </w:pPr>
      <w:r>
        <w:rPr>
          <w:rFonts w:ascii="Tajawal" w:cs="Tajawal" w:eastAsia="Tajawal" w:hAnsi="Tajawal"/>
          <w:b/>
          <w:bCs/>
          <w:color w:val="2E75B6"/>
          <w:sz w:val="28"/>
          <w:szCs w:val="28"/>
        </w:rPr>
        <w:t xml:space="preserve">توصيات عملية: نحو استراتيجية شاملة</w:t>
      </w:r>
    </w:p>
    <w:p>
      <w:pPr>
        <w:pBdr>
          <w:bottom w:val="single" w:color="27AE60" w:sz="3" w:space="8"/>
        </w:pBdr>
        <w:spacing w:before="100"/>
        <w:jc w:val="center"/>
      </w:pPr>
    </w:p>
    <w:p>
      <w:pPr>
        <w:spacing w:before="200"/>
      </w:pPr>
    </w:p>
    <w:p>
      <w:pPr>
        <w:pStyle w:val="ListParagraph"/>
        <w:numPr>
          <w:ilvl w:val="0"/>
          <w:numId w:val="6"/>
        </w:numPr>
        <w:spacing w:after="120" w:line="340"/>
        <w:jc w:val="right"/>
      </w:pPr>
      <w:r>
        <w:rPr>
          <w:rFonts w:ascii="Tajawal" w:cs="Tajawal" w:eastAsia="Tajawal" w:hAnsi="Tajawal"/>
          <w:sz w:val="24"/>
          <w:szCs w:val="24"/>
        </w:rPr>
        <w:t xml:space="preserve">إنشاء مراكز بحثية إسلامية متخصصة في دراسة التغير الديني عبر الأجيال في المهجر، مع قواعد بيانات طولية تتتبع الأسر عبر عقود.</w:t>
      </w:r>
    </w:p>
    <w:p>
      <w:pPr>
        <w:pStyle w:val="ListParagraph"/>
        <w:numPr>
          <w:ilvl w:val="0"/>
          <w:numId w:val="6"/>
        </w:numPr>
        <w:spacing w:after="120" w:line="340"/>
        <w:jc w:val="right"/>
      </w:pPr>
      <w:r>
        <w:rPr>
          <w:rFonts w:ascii="Tajawal" w:cs="Tajawal" w:eastAsia="Tajawal" w:hAnsi="Tajawal"/>
          <w:sz w:val="24"/>
          <w:szCs w:val="24"/>
        </w:rPr>
        <w:t xml:space="preserve">تطوير مناهج تعليم ديني تناسب واقع الشباب المسلم في الغرب، تجيب على أسئلتهم الحقيقية بدلاً من تجاهلها أو تجريمها.</w:t>
      </w:r>
    </w:p>
    <w:p>
      <w:pPr>
        <w:pStyle w:val="ListParagraph"/>
        <w:numPr>
          <w:ilvl w:val="0"/>
          <w:numId w:val="6"/>
        </w:numPr>
        <w:spacing w:after="120" w:line="340"/>
        <w:jc w:val="right"/>
      </w:pPr>
      <w:r>
        <w:rPr>
          <w:rFonts w:ascii="Tajawal" w:cs="Tajawal" w:eastAsia="Tajawal" w:hAnsi="Tajawal"/>
          <w:sz w:val="24"/>
          <w:szCs w:val="24"/>
        </w:rPr>
        <w:t xml:space="preserve">إنشاء مساحات آمنة للتساؤل الديني في المساجد والمراكز الإسلامية، حيث يستطيع الشباب طرح شكوكهم دون خوف من الوصم.</w:t>
      </w:r>
    </w:p>
    <w:p>
      <w:pPr>
        <w:pStyle w:val="ListParagraph"/>
        <w:numPr>
          <w:ilvl w:val="0"/>
          <w:numId w:val="6"/>
        </w:numPr>
        <w:spacing w:after="120" w:line="340"/>
        <w:jc w:val="right"/>
      </w:pPr>
      <w:r>
        <w:rPr>
          <w:rFonts w:ascii="Tajawal" w:cs="Tajawal" w:eastAsia="Tajawal" w:hAnsi="Tajawal"/>
          <w:sz w:val="24"/>
          <w:szCs w:val="24"/>
        </w:rPr>
        <w:t xml:space="preserve">الاستثمار في المحتوى الرقمي الإسلامي عالي الجودة بلغات الغرب، يخاطب العقل والقلب معاً.</w:t>
      </w:r>
    </w:p>
    <w:p>
      <w:pPr>
        <w:pStyle w:val="ListParagraph"/>
        <w:numPr>
          <w:ilvl w:val="0"/>
          <w:numId w:val="6"/>
        </w:numPr>
        <w:spacing w:after="120" w:line="340"/>
        <w:jc w:val="right"/>
      </w:pPr>
      <w:r>
        <w:rPr>
          <w:rFonts w:ascii="Tajawal" w:cs="Tajawal" w:eastAsia="Tajawal" w:hAnsi="Tajawal"/>
          <w:sz w:val="24"/>
          <w:szCs w:val="24"/>
        </w:rPr>
        <w:t xml:space="preserve">تدريب الأئمة والمربين على فهم سيكولوجية الأجيال الجديدة وتحدياتهم الخاصة.</w:t>
      </w:r>
    </w:p>
    <w:p>
      <w:pPr>
        <w:pStyle w:val="ListParagraph"/>
        <w:numPr>
          <w:ilvl w:val="0"/>
          <w:numId w:val="6"/>
        </w:numPr>
        <w:spacing w:after="120" w:line="340"/>
        <w:jc w:val="right"/>
      </w:pPr>
      <w:r>
        <w:rPr>
          <w:rFonts w:ascii="Tajawal" w:cs="Tajawal" w:eastAsia="Tajawal" w:hAnsi="Tajawal"/>
          <w:sz w:val="24"/>
          <w:szCs w:val="24"/>
        </w:rPr>
        <w:t xml:space="preserve">تشجيع نموذج الهوية المتعددة: يمكن للمرء أن يكون مسلماً وأمريكياً/أوروبياً في آن واحد، دون تناقض.</w:t>
      </w:r>
    </w:p>
    <w:p>
      <w:pPr>
        <w:pStyle w:val="ListParagraph"/>
        <w:numPr>
          <w:ilvl w:val="0"/>
          <w:numId w:val="6"/>
        </w:numPr>
        <w:spacing w:after="120" w:line="340"/>
        <w:jc w:val="right"/>
      </w:pPr>
      <w:r>
        <w:rPr>
          <w:rFonts w:ascii="Tajawal" w:cs="Tajawal" w:eastAsia="Tajawal" w:hAnsi="Tajawal"/>
          <w:sz w:val="24"/>
          <w:szCs w:val="24"/>
        </w:rPr>
        <w:t xml:space="preserve">التركيز على الممارسة العائلية المشتركة للدين بدلاً من الوعظ النظري، فالدراسات تؤكد أن إدماج الشعائر في الحياة اليومية هو الأكثر فعالية.</w:t>
      </w:r>
    </w:p>
    <w:p>
      <w:pPr>
        <w:pStyle w:val="ListParagraph"/>
        <w:numPr>
          <w:ilvl w:val="0"/>
          <w:numId w:val="6"/>
        </w:numPr>
        <w:spacing w:after="120" w:line="340"/>
        <w:jc w:val="right"/>
      </w:pPr>
      <w:r>
        <w:rPr>
          <w:rFonts w:ascii="Tajawal" w:cs="Tajawal" w:eastAsia="Tajawal" w:hAnsi="Tajawal"/>
          <w:sz w:val="24"/>
          <w:szCs w:val="24"/>
        </w:rPr>
        <w:t xml:space="preserve">معالجة الخلط بين الثقافة والدين: تقديم إسلام كوني لا إسلام إثني مرتبط ببلد الأصل.</w:t>
      </w:r>
    </w:p>
    <w:p>
      <w:pPr>
        <w:pStyle w:val="ListParagraph"/>
        <w:numPr>
          <w:ilvl w:val="0"/>
          <w:numId w:val="6"/>
        </w:numPr>
        <w:spacing w:after="120" w:line="340"/>
        <w:jc w:val="right"/>
      </w:pPr>
      <w:r>
        <w:rPr>
          <w:rFonts w:ascii="Tajawal" w:cs="Tajawal" w:eastAsia="Tajawal" w:hAnsi="Tajawal"/>
          <w:sz w:val="24"/>
          <w:szCs w:val="24"/>
        </w:rPr>
        <w:t xml:space="preserve">دعم البرامج التي تجمع بين التميز الأكاديمي والتربية الإسلامية، لكسر ثنائية التعليم مقابل الدين.</w:t>
      </w:r>
    </w:p>
    <w:p>
      <w:pPr>
        <w:pStyle w:val="ListParagraph"/>
        <w:numPr>
          <w:ilvl w:val="0"/>
          <w:numId w:val="6"/>
        </w:numPr>
        <w:spacing w:after="120" w:line="340"/>
        <w:jc w:val="right"/>
      </w:pPr>
      <w:r>
        <w:rPr>
          <w:rFonts w:ascii="Tajawal" w:cs="Tajawal" w:eastAsia="Tajawal" w:hAnsi="Tajawal"/>
          <w:sz w:val="24"/>
          <w:szCs w:val="24"/>
        </w:rPr>
        <w:t xml:space="preserve">بناء شبكات دعم للعائلات التي فقدت أبناءها عن الإسلام، بدلاً من الوصم والتخلي عنهم.</w:t>
      </w:r>
    </w:p>
    <w:p>
      <w:r>
        <w:br w:type="page"/>
      </w:r>
    </w:p>
    <w:p>
      <w:pPr>
        <w:spacing w:after="160" w:line="360"/>
        <w:jc w:val="center"/>
      </w:pPr>
      <w:r>
        <w:rPr>
          <w:rFonts w:ascii="Amiri" w:cs="Amiri" w:eastAsia="Amiri" w:hAnsi="Amiri"/>
          <w:b/>
          <w:bCs/>
          <w:color w:val="1B4F72"/>
          <w:sz w:val="42"/>
          <w:szCs w:val="42"/>
        </w:rPr>
        <w:t xml:space="preserve">الخاتمة</w:t>
      </w:r>
    </w:p>
    <w:p>
      <w:pPr>
        <w:pBdr>
          <w:bottom w:val="single" w:color="D4AF37" w:sz="4" w:space="8"/>
        </w:pBdr>
        <w:spacing w:before="100"/>
        <w:jc w:val="center"/>
      </w:pPr>
    </w:p>
    <w:p>
      <w:pPr>
        <w:spacing w:before="300"/>
      </w:pPr>
    </w:p>
    <w:p>
      <w:pPr>
        <w:spacing w:after="160" w:line="360"/>
        <w:jc w:val="right"/>
      </w:pPr>
      <w:r>
        <w:rPr>
          <w:rFonts w:ascii="Tajawal" w:cs="Tajawal" w:eastAsia="Tajawal" w:hAnsi="Tajawal"/>
          <w:sz w:val="24"/>
          <w:szCs w:val="24"/>
        </w:rPr>
        <w:t xml:space="preserve">الأرقام لا تكذب: الإسلام يمتلك أعلى معدلات الاحتفاظ عالمياً، وهذه نعمة ينبغي شكرها. لكن النظر في التفاصيل يكشف صورة أكثر تعقيداً: التراجع يحدث بالفعل، وهو تراجع بطيء وصامت - من الممارسة اليومية أولاً، ثم من الأهمية الشخصية، ثم من الهوية ذاتها.</w:t>
      </w:r>
    </w:p>
    <w:p>
      <w:pPr>
        <w:spacing w:after="160" w:line="360"/>
        <w:jc w:val="right"/>
      </w:pPr>
      <w:r>
        <w:rPr>
          <w:rFonts w:ascii="Tajawal" w:cs="Tajawal" w:eastAsia="Tajawal" w:hAnsi="Tajawal"/>
          <w:sz w:val="24"/>
          <w:szCs w:val="24"/>
        </w:rPr>
        <w:t xml:space="preserve">الخطر الأكبر لا يأتي من الأجيال الحالية بل من القادمة. الجيل الثاني لا يزال يحمل ذكريات الوالدين وارتباطهم بالوطن الأصلي. لكن الجيل الثالث والرابع سيفتقر لهذا الرابط العاطفي - وعندها سيبقى الإسلام أو يذهب بناءً على قوة ما قدمناه نحن وليس على قوة ما ورثناه.</w:t>
      </w:r>
    </w:p>
    <w:p>
      <w:pPr>
        <w:spacing w:after="160" w:line="360"/>
        <w:jc w:val="right"/>
      </w:pPr>
      <w:r>
        <w:rPr>
          <w:rFonts w:ascii="Tajawal" w:cs="Tajawal" w:eastAsia="Tajawal" w:hAnsi="Tajawal"/>
          <w:sz w:val="24"/>
          <w:szCs w:val="24"/>
        </w:rPr>
        <w:t xml:space="preserve">هذا الكتاب ليس نهاية المطاف بل بداية حوار واجب. نحتاج لدراسات ميدانية عربية تتتبع الجيل الثالث والرابع في كل جالية على حدة. نحتاج لشجاعة في التشخيص ونحتاج لتواضع في تقبل النتائج حتى لو كانت مؤلمة.</w:t>
      </w:r>
    </w:p>
    <w:p>
      <w:pPr>
        <w:spacing w:after="160" w:line="360"/>
        <w:jc w:val="center"/>
      </w:pPr>
      <w:r>
        <w:rPr>
          <w:rFonts w:ascii="Tajawal" w:cs="Tajawal" w:eastAsia="Tajawal" w:hAnsi="Tajawal"/>
          <w:i/>
          <w:iCs/>
          <w:sz w:val="24"/>
          <w:szCs w:val="24"/>
        </w:rPr>
        <w:t xml:space="preserve">والله من وراء القصد وهو يهدي السبيل.</w:t>
      </w:r>
    </w:p>
    <w:p>
      <w:r>
        <w:br w:type="page"/>
      </w:r>
    </w:p>
    <w:p>
      <w:pPr>
        <w:spacing w:after="160" w:line="360"/>
        <w:jc w:val="center"/>
      </w:pPr>
      <w:r>
        <w:rPr>
          <w:rFonts w:ascii="Amiri" w:cs="Amiri" w:eastAsia="Amiri" w:hAnsi="Amiri"/>
          <w:b/>
          <w:bCs/>
          <w:color w:val="1B4F72"/>
          <w:sz w:val="38"/>
          <w:szCs w:val="38"/>
        </w:rPr>
        <w:t xml:space="preserve">قائمة المراجع</w:t>
      </w:r>
    </w:p>
    <w:p>
      <w:pPr>
        <w:pBdr>
          <w:bottom w:val="single" w:color="2E75B6" w:sz="3" w:space="8"/>
        </w:pBdr>
        <w:spacing w:before="100"/>
        <w:jc w:val="center"/>
      </w:pPr>
    </w:p>
    <w:p>
      <w:pPr>
        <w:spacing w:before="300"/>
      </w:pPr>
    </w:p>
    <w:p>
      <w:pPr>
        <w:spacing w:after="80" w:line="300"/>
        <w:ind w:left="720" w:hanging="720"/>
        <w:jc w:val="left"/>
      </w:pPr>
      <w:r>
        <w:rPr>
          <w:rFonts w:ascii="Tajawal" w:cs="Tajawal" w:eastAsia="Tajawal" w:hAnsi="Tajawal"/>
          <w:sz w:val="21"/>
          <w:szCs w:val="21"/>
        </w:rPr>
        <w:t xml:space="preserve">Abdi, C. (2015). Elusive Jannah: The Somali Diaspora and a Borderless Muslim Identity. University of Minnesota Press.</w:t>
      </w:r>
    </w:p>
    <w:p>
      <w:pPr>
        <w:spacing w:after="80" w:line="300"/>
        <w:ind w:left="720" w:hanging="720"/>
        <w:jc w:val="left"/>
      </w:pPr>
      <w:r>
        <w:rPr>
          <w:rFonts w:ascii="Tajawal" w:cs="Tajawal" w:eastAsia="Tajawal" w:hAnsi="Tajawal"/>
          <w:sz w:val="21"/>
          <w:szCs w:val="21"/>
        </w:rPr>
        <w:t xml:space="preserve">Bisin, A. et al. (2008). Are Muslim Immigrants Different in Terms of Cultural Integration? Journal of the European Economic Association, 6(2-3), 445-456.</w:t>
      </w:r>
    </w:p>
    <w:p>
      <w:pPr>
        <w:spacing w:after="80" w:line="300"/>
        <w:ind w:left="720" w:hanging="720"/>
        <w:jc w:val="left"/>
      </w:pPr>
      <w:r>
        <w:rPr>
          <w:rFonts w:ascii="Tajawal" w:cs="Tajawal" w:eastAsia="Tajawal" w:hAnsi="Tajawal"/>
          <w:sz w:val="21"/>
          <w:szCs w:val="21"/>
        </w:rPr>
        <w:t xml:space="preserve">Cottee, S. (2015). The Apostates: When Muslims Leave Islam. London: Hurst &amp; Company.</w:t>
      </w:r>
    </w:p>
    <w:p>
      <w:pPr>
        <w:spacing w:after="80" w:line="300"/>
        <w:ind w:left="720" w:hanging="720"/>
        <w:jc w:val="left"/>
      </w:pPr>
      <w:r>
        <w:rPr>
          <w:rFonts w:ascii="Tajawal" w:cs="Tajawal" w:eastAsia="Tajawal" w:hAnsi="Tajawal"/>
          <w:sz w:val="21"/>
          <w:szCs w:val="21"/>
        </w:rPr>
        <w:t xml:space="preserve">De Hoon, S. &amp; Van Tubergen, F. (2014). The Religiosity of Children of Immigrants and Natives. Journal of Ethnic and Migration Studies, 40(6), 1006-1027.</w:t>
      </w:r>
    </w:p>
    <w:p>
      <w:pPr>
        <w:spacing w:after="80" w:line="300"/>
        <w:ind w:left="720" w:hanging="720"/>
        <w:jc w:val="left"/>
      </w:pPr>
      <w:r>
        <w:rPr>
          <w:rFonts w:ascii="Tajawal" w:cs="Tajawal" w:eastAsia="Tajawal" w:hAnsi="Tajawal"/>
          <w:sz w:val="21"/>
          <w:szCs w:val="21"/>
        </w:rPr>
        <w:t xml:space="preserve">Diehl, C. &amp; Koenig, M. (2009). Religiositat turkischer Migranten im Generationenverlauf. Zeitschrift fur Soziologie, 38(4), 300-319.</w:t>
      </w:r>
    </w:p>
    <w:p>
      <w:pPr>
        <w:spacing w:after="80" w:line="300"/>
        <w:ind w:left="720" w:hanging="720"/>
        <w:jc w:val="left"/>
      </w:pPr>
      <w:r>
        <w:rPr>
          <w:rFonts w:ascii="Tajawal" w:cs="Tajawal" w:eastAsia="Tajawal" w:hAnsi="Tajawal"/>
          <w:sz w:val="21"/>
          <w:szCs w:val="21"/>
        </w:rPr>
        <w:t xml:space="preserve">Diehl, C. &amp; Koenig, M. (2013). God Can Wait. International Migration, 51(3), 8-22.</w:t>
      </w:r>
    </w:p>
    <w:p>
      <w:pPr>
        <w:spacing w:after="80" w:line="300"/>
        <w:ind w:left="720" w:hanging="720"/>
        <w:jc w:val="left"/>
      </w:pPr>
      <w:r>
        <w:rPr>
          <w:rFonts w:ascii="Tajawal" w:cs="Tajawal" w:eastAsia="Tajawal" w:hAnsi="Tajawal"/>
          <w:sz w:val="21"/>
          <w:szCs w:val="21"/>
        </w:rPr>
        <w:t xml:space="preserve">Drouhot, L. (2021). Cracks in the Melting Pot? American Journal of Sociology, 126(4), 795-851.</w:t>
      </w:r>
    </w:p>
    <w:p>
      <w:pPr>
        <w:spacing w:after="80" w:line="300"/>
        <w:ind w:left="720" w:hanging="720"/>
        <w:jc w:val="left"/>
      </w:pPr>
      <w:r>
        <w:rPr>
          <w:rFonts w:ascii="Tajawal" w:cs="Tajawal" w:eastAsia="Tajawal" w:hAnsi="Tajawal"/>
          <w:sz w:val="21"/>
          <w:szCs w:val="21"/>
        </w:rPr>
        <w:t xml:space="preserve">Ex-Muslims of North America. Apostate Report. exmuslims.org/apostate-report/</w:t>
      </w:r>
    </w:p>
    <w:p>
      <w:pPr>
        <w:spacing w:after="80" w:line="300"/>
        <w:ind w:left="720" w:hanging="720"/>
        <w:jc w:val="left"/>
      </w:pPr>
      <w:r>
        <w:rPr>
          <w:rFonts w:ascii="Tajawal" w:cs="Tajawal" w:eastAsia="Tajawal" w:hAnsi="Tajawal"/>
          <w:sz w:val="21"/>
          <w:szCs w:val="21"/>
        </w:rPr>
        <w:t xml:space="preserve">Fleischmann, F. (2011). Second-Generation Muslims in European Societies. PhD Dissertation, Utrecht University.</w:t>
      </w:r>
    </w:p>
    <w:p>
      <w:pPr>
        <w:spacing w:after="80" w:line="300"/>
        <w:ind w:left="720" w:hanging="720"/>
        <w:jc w:val="left"/>
      </w:pPr>
      <w:r>
        <w:rPr>
          <w:rFonts w:ascii="Tajawal" w:cs="Tajawal" w:eastAsia="Tajawal" w:hAnsi="Tajawal"/>
          <w:sz w:val="21"/>
          <w:szCs w:val="21"/>
        </w:rPr>
        <w:t xml:space="preserve">Fleischmann, F. &amp; Phalet, K. (2012). Integration and Religiosity among the Turkish Second Generation. Journal of Ethnic and Migration Studies, 38(3), 505-525.</w:t>
      </w:r>
    </w:p>
    <w:p>
      <w:pPr>
        <w:spacing w:after="80" w:line="300"/>
        <w:ind w:left="720" w:hanging="720"/>
        <w:jc w:val="left"/>
      </w:pPr>
      <w:r>
        <w:rPr>
          <w:rFonts w:ascii="Tajawal" w:cs="Tajawal" w:eastAsia="Tajawal" w:hAnsi="Tajawal"/>
          <w:sz w:val="21"/>
          <w:szCs w:val="21"/>
        </w:rPr>
        <w:t xml:space="preserve">Friberg, J. H. &amp; Sterri, E. B. (2021). Decline, Revival, Change? Religious Adaptations among Immigrant-Origin Youth in Norway. JIMI, 22, 1035-1058.</w:t>
      </w:r>
    </w:p>
    <w:p>
      <w:pPr>
        <w:spacing w:after="80" w:line="300"/>
        <w:ind w:left="720" w:hanging="720"/>
        <w:jc w:val="left"/>
      </w:pPr>
      <w:r>
        <w:rPr>
          <w:rFonts w:ascii="Tajawal" w:cs="Tajawal" w:eastAsia="Tajawal" w:hAnsi="Tajawal"/>
          <w:sz w:val="21"/>
          <w:szCs w:val="21"/>
        </w:rPr>
        <w:t xml:space="preserve">Ghatas, I. M. (2023). Muslim Diasporas: Issues of the Second and Third Generation Muslims in Europe. Islam and Christian-Muslim Relations, 34(2), 171-192.</w:t>
      </w:r>
    </w:p>
    <w:p>
      <w:pPr>
        <w:spacing w:after="80" w:line="300"/>
        <w:ind w:left="720" w:hanging="720"/>
        <w:jc w:val="left"/>
      </w:pPr>
      <w:r>
        <w:rPr>
          <w:rFonts w:ascii="Tajawal" w:cs="Tajawal" w:eastAsia="Tajawal" w:hAnsi="Tajawal"/>
          <w:sz w:val="21"/>
          <w:szCs w:val="21"/>
        </w:rPr>
        <w:t xml:space="preserve">Guveli, A. &amp; Platt, L. (2011). Understanding the Religious Behaviour of Muslims in the Netherlands and the UK. Sociology, 45(6), 1008-1027.</w:t>
      </w:r>
    </w:p>
    <w:p>
      <w:pPr>
        <w:spacing w:after="80" w:line="300"/>
        <w:ind w:left="720" w:hanging="720"/>
        <w:jc w:val="left"/>
      </w:pPr>
      <w:r>
        <w:rPr>
          <w:rFonts w:ascii="Tajawal" w:cs="Tajawal" w:eastAsia="Tajawal" w:hAnsi="Tajawal"/>
          <w:sz w:val="21"/>
          <w:szCs w:val="21"/>
        </w:rPr>
        <w:t xml:space="preserve">Jacob, K. &amp; Kalter, F. (2013). Intergenerational Change in Religious Salience. International Migration, 51(3), 38-56.</w:t>
      </w:r>
    </w:p>
    <w:p>
      <w:pPr>
        <w:spacing w:after="80" w:line="300"/>
        <w:ind w:left="720" w:hanging="720"/>
        <w:jc w:val="left"/>
      </w:pPr>
      <w:r>
        <w:rPr>
          <w:rFonts w:ascii="Tajawal" w:cs="Tajawal" w:eastAsia="Tajawal" w:hAnsi="Tajawal"/>
          <w:sz w:val="21"/>
          <w:szCs w:val="21"/>
        </w:rPr>
        <w:t xml:space="preserve">Maliepaard, M., Lubbers, M. &amp; Gijsberts, M. (2010). Generational Differences in Ethnic and Religious Attachment. JEMS, 36(7), 1101-1118.</w:t>
      </w:r>
    </w:p>
    <w:p>
      <w:pPr>
        <w:spacing w:after="80" w:line="300"/>
        <w:ind w:left="720" w:hanging="720"/>
        <w:jc w:val="left"/>
      </w:pPr>
      <w:r>
        <w:rPr>
          <w:rFonts w:ascii="Tajawal" w:cs="Tajawal" w:eastAsia="Tajawal" w:hAnsi="Tajawal"/>
          <w:sz w:val="21"/>
          <w:szCs w:val="21"/>
        </w:rPr>
        <w:t xml:space="preserve">Molteni, F. &amp; Dimitriadis, I. (2021). Immigrant Religiosity in the European Context. European Sociological Review, 37(3), 429-444.</w:t>
      </w:r>
    </w:p>
    <w:p>
      <w:pPr>
        <w:spacing w:after="80" w:line="300"/>
        <w:ind w:left="720" w:hanging="720"/>
        <w:jc w:val="left"/>
      </w:pPr>
      <w:r>
        <w:rPr>
          <w:rFonts w:ascii="Tajawal" w:cs="Tajawal" w:eastAsia="Tajawal" w:hAnsi="Tajawal"/>
          <w:sz w:val="21"/>
          <w:szCs w:val="21"/>
        </w:rPr>
        <w:t xml:space="preserve">Pew Research Center (2007). Muslim Americans: Middle Class and Mostly Mainstream.</w:t>
      </w:r>
    </w:p>
    <w:p>
      <w:pPr>
        <w:spacing w:after="80" w:line="300"/>
        <w:ind w:left="720" w:hanging="720"/>
        <w:jc w:val="left"/>
      </w:pPr>
      <w:r>
        <w:rPr>
          <w:rFonts w:ascii="Tajawal" w:cs="Tajawal" w:eastAsia="Tajawal" w:hAnsi="Tajawal"/>
          <w:sz w:val="21"/>
          <w:szCs w:val="21"/>
        </w:rPr>
        <w:t xml:space="preserve">Pew Research Center (2017). U.S. Muslims Concerned About Their Place in Society.</w:t>
      </w:r>
    </w:p>
    <w:p>
      <w:pPr>
        <w:spacing w:after="80" w:line="300"/>
        <w:ind w:left="720" w:hanging="720"/>
        <w:jc w:val="left"/>
      </w:pPr>
      <w:r>
        <w:rPr>
          <w:rFonts w:ascii="Tajawal" w:cs="Tajawal" w:eastAsia="Tajawal" w:hAnsi="Tajawal"/>
          <w:sz w:val="21"/>
          <w:szCs w:val="21"/>
        </w:rPr>
        <w:t xml:space="preserve">Pew Research Center (2025). Why Do Some Americans Leave Their Religion While Others Stay?</w:t>
      </w:r>
    </w:p>
    <w:p>
      <w:pPr>
        <w:spacing w:after="80" w:line="300"/>
        <w:ind w:left="720" w:hanging="720"/>
        <w:jc w:val="left"/>
      </w:pPr>
      <w:r>
        <w:rPr>
          <w:rFonts w:ascii="Tajawal" w:cs="Tajawal" w:eastAsia="Tajawal" w:hAnsi="Tajawal"/>
          <w:sz w:val="21"/>
          <w:szCs w:val="21"/>
        </w:rPr>
        <w:t xml:space="preserve">Pew Research Center (2025). Around the World, Many People Are Leaving Their Childhood Religions.</w:t>
      </w:r>
    </w:p>
    <w:p>
      <w:pPr>
        <w:spacing w:after="80" w:line="300"/>
        <w:ind w:left="720" w:hanging="720"/>
        <w:jc w:val="left"/>
      </w:pPr>
      <w:r>
        <w:rPr>
          <w:rFonts w:ascii="Tajawal" w:cs="Tajawal" w:eastAsia="Tajawal" w:hAnsi="Tajawal"/>
          <w:sz w:val="21"/>
          <w:szCs w:val="21"/>
        </w:rPr>
        <w:t xml:space="preserve">Pew Research Center (2025). How the Global Religious Landscape Changed from 2010 to 2020.</w:t>
      </w:r>
    </w:p>
    <w:p>
      <w:pPr>
        <w:spacing w:after="80" w:line="300"/>
        <w:ind w:left="720" w:hanging="720"/>
        <w:jc w:val="left"/>
      </w:pPr>
      <w:r>
        <w:rPr>
          <w:rFonts w:ascii="Tajawal" w:cs="Tajawal" w:eastAsia="Tajawal" w:hAnsi="Tajawal"/>
          <w:sz w:val="21"/>
          <w:szCs w:val="21"/>
        </w:rPr>
        <w:t xml:space="preserve">Platt, L. (2020). Recent Trends in Religiosity of Majority and Minority European Populations. LSE Working Paper.</w:t>
      </w:r>
    </w:p>
    <w:p>
      <w:pPr>
        <w:spacing w:after="80" w:line="300"/>
        <w:ind w:left="720" w:hanging="720"/>
        <w:jc w:val="left"/>
      </w:pPr>
      <w:r>
        <w:rPr>
          <w:rFonts w:ascii="Tajawal" w:cs="Tajawal" w:eastAsia="Tajawal" w:hAnsi="Tajawal"/>
          <w:sz w:val="21"/>
          <w:szCs w:val="21"/>
        </w:rPr>
        <w:t xml:space="preserve">Rizzo, A. et al. (2022). Religiously Flexible: Acculturation of Second-Generation Muslims in Europe. IJIR, 91, 143-155.</w:t>
      </w:r>
    </w:p>
    <w:p>
      <w:pPr>
        <w:spacing w:after="80" w:line="300"/>
        <w:ind w:left="720" w:hanging="720"/>
        <w:jc w:val="left"/>
      </w:pPr>
      <w:r>
        <w:rPr>
          <w:rFonts w:ascii="Tajawal" w:cs="Tajawal" w:eastAsia="Tajawal" w:hAnsi="Tajawal"/>
          <w:sz w:val="21"/>
          <w:szCs w:val="21"/>
        </w:rPr>
        <w:t xml:space="preserve">Scheible, J. A. &amp; Fleischmann, F. (2013). Gendering Islamic Religiosity in the Second Generation. Gender &amp; Society, 27(3), 371-394.</w:t>
      </w:r>
    </w:p>
    <w:p>
      <w:pPr>
        <w:spacing w:after="80" w:line="300"/>
        <w:ind w:left="720" w:hanging="720"/>
        <w:jc w:val="left"/>
      </w:pPr>
      <w:r>
        <w:rPr>
          <w:rFonts w:ascii="Tajawal" w:cs="Tajawal" w:eastAsia="Tajawal" w:hAnsi="Tajawal"/>
          <w:sz w:val="21"/>
          <w:szCs w:val="21"/>
        </w:rPr>
        <w:t xml:space="preserve">Simsek, M. et al. (2018). Intergenerational Change in Religious Salience. International Migration, 56(3).</w:t>
      </w:r>
    </w:p>
    <w:p>
      <w:pPr>
        <w:spacing w:after="80" w:line="300"/>
        <w:ind w:left="720" w:hanging="720"/>
        <w:jc w:val="left"/>
      </w:pPr>
      <w:r>
        <w:rPr>
          <w:rFonts w:ascii="Tajawal" w:cs="Tajawal" w:eastAsia="Tajawal" w:hAnsi="Tajawal"/>
          <w:sz w:val="21"/>
          <w:szCs w:val="21"/>
        </w:rPr>
        <w:t xml:space="preserve">Soehl, T. (2017). Social Reproduction of Religiosity in the Immigrant Context. IMR, 51(4), 1010-1039.</w:t>
      </w:r>
    </w:p>
    <w:p>
      <w:pPr>
        <w:spacing w:after="80" w:line="300"/>
        <w:ind w:left="720" w:hanging="720"/>
        <w:jc w:val="left"/>
      </w:pPr>
      <w:r>
        <w:rPr>
          <w:rFonts w:ascii="Tajawal" w:cs="Tajawal" w:eastAsia="Tajawal" w:hAnsi="Tajawal"/>
          <w:sz w:val="21"/>
          <w:szCs w:val="21"/>
        </w:rPr>
        <w:t xml:space="preserve">Stolz, J. et al. (2025). Three Stages of Religious Decline Around the World. Nature Communications.</w:t>
      </w:r>
    </w:p>
    <w:p>
      <w:pPr>
        <w:spacing w:after="80" w:line="300"/>
        <w:ind w:left="720" w:hanging="720"/>
        <w:jc w:val="left"/>
      </w:pPr>
      <w:r>
        <w:rPr>
          <w:rFonts w:ascii="Tajawal" w:cs="Tajawal" w:eastAsia="Tajawal" w:hAnsi="Tajawal"/>
          <w:sz w:val="21"/>
          <w:szCs w:val="21"/>
        </w:rPr>
        <w:t xml:space="preserve">Van Tubergen, F. &amp; Sindradottir, J. I. (2011). The Religiosity of Immigrants in Europe. JSSR, 50(2), 272-288.</w:t>
      </w:r>
    </w:p>
    <w:p>
      <w:pPr>
        <w:spacing w:after="80" w:line="300"/>
        <w:ind w:left="720" w:hanging="720"/>
        <w:jc w:val="left"/>
      </w:pPr>
      <w:r>
        <w:rPr>
          <w:rFonts w:ascii="Tajawal" w:cs="Tajawal" w:eastAsia="Tajawal" w:hAnsi="Tajawal"/>
          <w:sz w:val="21"/>
          <w:szCs w:val="21"/>
        </w:rPr>
        <w:t xml:space="preserve">Voas, D. &amp; Fleischmann, F. (2012). Islam Moves West: Religious Change in the First and Second Generations. Annual Review of Sociology, 38, 525-545.</w:t>
      </w:r>
    </w:p>
    <w:p>
      <w:pPr>
        <w:spacing w:after="80" w:line="300"/>
        <w:ind w:left="720" w:hanging="720"/>
        <w:jc w:val="left"/>
      </w:pPr>
      <w:r>
        <w:rPr>
          <w:rFonts w:ascii="Tajawal" w:cs="Tajawal" w:eastAsia="Tajawal" w:hAnsi="Tajawal"/>
          <w:sz w:val="21"/>
          <w:szCs w:val="21"/>
        </w:rPr>
        <w:t xml:space="preserve">Werbner, P. (2002). Imagined Diaspora among Manchester Muslims. Oxford: James Curry.</w:t>
      </w:r>
    </w:p>
    <w:p>
      <w:pPr>
        <w:spacing w:after="80" w:line="300"/>
        <w:ind w:left="720" w:hanging="720"/>
        <w:jc w:val="left"/>
      </w:pPr>
      <w:r>
        <w:rPr>
          <w:rFonts w:ascii="Tajawal" w:cs="Tajawal" w:eastAsia="Tajawal" w:hAnsi="Tajawal"/>
          <w:sz w:val="21"/>
          <w:szCs w:val="21"/>
        </w:rPr>
        <w:t xml:space="preserve">Yukleyen, A. (2012). Localizing Islam in Europe. Syracuse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jawal" w:cs="Tajawal" w:eastAsia="Tajawal" w:hAnsi="Tajaw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miri" w:cs="Amiri" w:eastAsia="Amiri" w:hAnsi="Amiri"/>
      <w:b/>
      <w:bCs/>
      <w:color w:val="1B4F72"/>
      <w:sz w:val="36"/>
      <w:szCs w:val="36"/>
    </w:rPr>
  </w:style>
  <w:style w:type="paragraph" w:styleId="Heading2">
    <w:name w:val="Heading 2"/>
    <w:basedOn w:val="Normal"/>
    <w:next w:val="Normal"/>
    <w:qFormat/>
    <w:pPr>
      <w:spacing w:after="180" w:before="240"/>
      <w:outlineLvl w:val="1"/>
    </w:pPr>
    <w:rPr>
      <w:rFonts w:ascii="Tajawal" w:cs="Tajawal" w:eastAsia="Tajawal" w:hAnsi="Tajawal"/>
      <w:b/>
      <w:bCs/>
      <w:color w:val="2E75B6"/>
      <w:sz w:val="30"/>
      <w:szCs w:val="30"/>
    </w:rPr>
  </w:style>
  <w:style w:type="paragraph" w:styleId="Heading3">
    <w:name w:val="Heading 3"/>
    <w:basedOn w:val="Normal"/>
    <w:next w:val="Normal"/>
    <w:qFormat/>
    <w:pPr>
      <w:spacing w:after="160" w:before="200"/>
      <w:outlineLvl w:val="2"/>
    </w:pPr>
    <w:rPr>
      <w:rFonts w:ascii="Tajawal" w:cs="Tajawal" w:eastAsia="Tajawal" w:hAnsi="Tajaw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2026-03-18T11:10:37.785Z</dcterms:created>
  <dcterms:modified xsi:type="dcterms:W3CDTF">2026-03-18T11:10:37.786Z</dcterms:modified>
</cp:coreProperties>
</file>

<file path=docProps/custom.xml><?xml version="1.0" encoding="utf-8"?>
<Properties xmlns="http://schemas.openxmlformats.org/officeDocument/2006/custom-properties" xmlns:vt="http://schemas.openxmlformats.org/officeDocument/2006/docPropsVTypes"/>
</file>