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المثلية الجنسية  قراءة في التاريخ والحجج والأديان</w:t>
      </w:r>
    </w:p>
    <w:p>
      <w:pPr>
        <w:spacing w:after="240"/>
        <w:jc w:val="center"/>
      </w:pPr>
      <w:r>
        <w:rPr>
          <w:i/>
          <w:iCs/>
          <w:color w:val="C9A84C"/>
          <w:sz w:val="36"/>
          <w:szCs w:val="36"/>
        </w:rPr>
        <w:t xml:space="preserve">Homosexuality  A Reading of History, Arguments, and Religions</w:t>
      </w:r>
    </w:p>
    <w:p>
      <w:pPr>
        <w:bidi/>
        <w:spacing w:after="800"/>
        <w:jc w:val="center"/>
      </w:pPr>
      <w:r>
        <w:rPr>
          <w:color w:val="666666"/>
          <w:sz w:val="26"/>
          <w:szCs w:val="26"/>
          <w:rtl/>
        </w:rPr>
        <w:t xml:space="preserve">من الجذور التاريخية إلى الحركات المعاصرة ومصادر النفوذ وموقف الأديان والعلم</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طلاب الحقيقة الباحثين عن فهم متوازن للقضايا المعاصرة بعقل مفتوح وقلب مؤمن وإلى من يميزون بين نقد الفعل ورحمة الإنسان</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الفصل الأول: مقدمة في المصطلحات والتعريفات</w:t>
      </w:r>
    </w:p>
    <w:p>
      <w:pPr>
        <w:bidi/>
        <w:spacing w:after="160"/>
        <w:jc w:val="start"/>
      </w:pPr>
      <w:r>
        <w:rPr>
          <w:sz w:val="24"/>
          <w:szCs w:val="24"/>
          <w:rtl/>
        </w:rPr>
        <w:t xml:space="preserve">﴿وَأَنَّهُ خَلَقَ الزَّوْجَيْنِ الذَّكَرَ وَالْأُنثَىٰ﴾ (النجم: 45)</w:t>
      </w:r>
    </w:p>
    <w:p>
      <w:pPr>
        <w:bidi/>
        <w:spacing w:after="160"/>
        <w:jc w:val="start"/>
      </w:pPr>
      <w:r>
        <w:rPr>
          <w:sz w:val="24"/>
          <w:szCs w:val="24"/>
          <w:rtl/>
        </w:rPr>
        <w:t xml:space="preserve">## في أهمية الدقة المصطلحية</w:t>
      </w:r>
    </w:p>
    <w:p>
      <w:pPr>
        <w:bidi/>
        <w:spacing w:after="160"/>
        <w:jc w:val="start"/>
      </w:pPr>
      <w:r>
        <w:rPr>
          <w:sz w:val="24"/>
          <w:szCs w:val="24"/>
          <w:rtl/>
        </w:rPr>
        <w:t xml:space="preserve">ليس من قبيل الترف الأكاديمي أن نبدأ كتابًا في موضوع شائك بفصلٍ في المصطلحات؛ فإن جلّ الخلاف في القضايا الفكرية المعاصرة إنما ينشأ من اختلاطٍ في المفاهيم، وتداخلٍ بين كلماتٍ يظنها القارئ مترادفة وهي في حقيقتها متباينة. وإذا كان الفقهاء قديمًا يقولون: «الحكم على الشيء فرع عن تصوره»، فإن أيّ نقاشٍ جادٍ حول المثلية الجنسية يجب أن يبدأ بتصوّرٍ دقيق للمصطلح ومُقتضياته.</w:t>
      </w:r>
    </w:p>
    <w:p>
      <w:pPr>
        <w:bidi/>
        <w:spacing w:after="160"/>
        <w:jc w:val="start"/>
      </w:pPr>
      <w:r>
        <w:rPr>
          <w:sz w:val="24"/>
          <w:szCs w:val="24"/>
          <w:rtl/>
        </w:rPr>
        <w:t xml:space="preserve">ولعلّ أوّل ما ينبغي تنبيه القارئ إليه أنّ كلمة «المثلية الجنسية» (Homosexuality) في اللغة الإنجليزية المعاصرة لم توضع إلا في أواخر القرن التاسع عشر، وأنّ المعنى الذي تحمله اليوم يختلف اختلافًا جوهريًا عمّا كانت تشير إليه الكتابات الكلاسيكية حين تذكر «اللواط» أو «إتيان الذكور». وهذا التمييز ليس تمييزًا لفظيًا، بل هو تمييز مفهومي له آثاره الكبرى في فهم التاريخ، وفي تقييم الواقع، وفي بناء المواقف الشرعية والأخلاقية.</w:t>
      </w:r>
    </w:p>
    <w:p>
      <w:pPr>
        <w:bidi/>
        <w:spacing w:after="160"/>
        <w:jc w:val="start"/>
      </w:pPr>
      <w:r>
        <w:rPr>
          <w:sz w:val="24"/>
          <w:szCs w:val="24"/>
          <w:rtl/>
        </w:rPr>
        <w:t xml:space="preserve">## ثلاثة مستويات يجب التمييز بينها</w:t>
      </w:r>
    </w:p>
    <w:p>
      <w:pPr>
        <w:bidi/>
        <w:spacing w:after="160"/>
        <w:jc w:val="start"/>
      </w:pPr>
      <w:r>
        <w:rPr>
          <w:sz w:val="24"/>
          <w:szCs w:val="24"/>
          <w:rtl/>
        </w:rPr>
        <w:t xml:space="preserve">عند مقاربة هذا الموضوع، ينبغي للباحث أن يُميّز بدقّة بين ثلاثة مستويات يخلط بينها كثير من المتحدثين فيخلطون في النتائج:</w:t>
      </w:r>
    </w:p>
    <w:p>
      <w:pPr>
        <w:bidi/>
        <w:spacing w:after="160"/>
        <w:jc w:val="start"/>
      </w:pPr>
      <w:r>
        <w:rPr>
          <w:sz w:val="24"/>
          <w:szCs w:val="24"/>
          <w:rtl/>
        </w:rPr>
        <w:t xml:space="preserve">**المستوى الأول: السلوك المثلي (Same-sex behavior).** وهو الفعل الجنسي الذي يقع بين شخصين من جنس واحد. وهذا أمر سلوكي محسوس، يخضع لقياسٍ تاريخي وقانوني واضح، ويمكن دراسته في الحضارات القديمة والوسيطة والحديثة. وهو موضوع الأحكام الشرعية في الإسلام واليهودية والمسيحية الكلاسيكية، إذ إنّ النصوص الدينية تتعامل مع الفعل لا مع الميل المجرد.</w:t>
      </w:r>
    </w:p>
    <w:p>
      <w:pPr>
        <w:bidi/>
        <w:spacing w:after="160"/>
        <w:jc w:val="start"/>
      </w:pPr>
      <w:r>
        <w:rPr>
          <w:sz w:val="24"/>
          <w:szCs w:val="24"/>
          <w:rtl/>
        </w:rPr>
        <w:t xml:space="preserve">**المستوى الثاني: الميل أو التوجه (Homosexual orientation).** وهو الانجذاب الجنسي والعاطفي نحو أبناء الجنس نفسه، باعتباره استعدادًا داخليًا قد لا يقترن بسلوك ظاهر. وهذا المستوى يرتبط بعلم النفس الحديث وبدراسات الميول، ولم يكن محلّ تنظيرٍ مستقل في العصور القديمة، وإنما تطوّر مفهومه في القرنين التاسع عشر والعشرين. وفي الفقه الإسلامي المعاصر، يُميّز كثير من العلماء بين الميل المجرّد الذي قد يكون ابتلاءً لا يُحاسب عليه صاحبه ما لم يستجب له، وبين الفعل الذي يدخل تحت الحكم الشرعي.</w:t>
      </w:r>
    </w:p>
    <w:p>
      <w:pPr>
        <w:bidi/>
        <w:spacing w:after="160"/>
        <w:jc w:val="start"/>
      </w:pPr>
      <w:r>
        <w:rPr>
          <w:sz w:val="24"/>
          <w:szCs w:val="24"/>
          <w:rtl/>
        </w:rPr>
        <w:t xml:space="preserve">**المستوى الثالث: الهوية (Homosexual identity).** وهو أن يُعرّف الإنسان نفسه — اجتماعيًا ونفسيًا وقانونيًا — بأنّه «مثلي»؛ بحيث يصير هذا الميل جزءًا من تعريفه لذاته، لا مجرّد سمة من سماته. وهذا المستوى الثالث هو الأحدث في التاريخ البشري، وقد جادل المفكّر الفرنسي ميشيل فوكو في كتابه «تاريخ الجنسانية» (1976) بأنّ «المثلي» باعتباره نوعًا من البشر هو اختراع غربي يعود إلى القرن التاسع عشر، وأنّ الحضارات السابقة كانت تعرف السلوكيات لكنّها لم تكن تعرف هذه الهوية بهذا المعنى الحديث.</w:t>
      </w:r>
    </w:p>
    <w:p>
      <w:pPr>
        <w:bidi/>
        <w:spacing w:after="160"/>
        <w:jc w:val="start"/>
      </w:pPr>
      <w:r>
        <w:rPr>
          <w:sz w:val="24"/>
          <w:szCs w:val="24"/>
          <w:rtl/>
        </w:rPr>
        <w:t xml:space="preserve">## لماذا يهمّ هذا التمييز؟</w:t>
      </w:r>
    </w:p>
    <w:p>
      <w:pPr>
        <w:bidi/>
        <w:spacing w:after="160"/>
        <w:jc w:val="start"/>
      </w:pPr>
      <w:r>
        <w:rPr>
          <w:sz w:val="24"/>
          <w:szCs w:val="24"/>
          <w:rtl/>
        </w:rPr>
        <w:t xml:space="preserve">حين يُقال إنّ المثلية «ظاهرة قديمة قِدم الإنسان»، فإنّ هذا القول صحيح إذا قُصد به السلوك، ومضلّل إذا قُصد به الهوية. فالحضارات القديمة عرفت السلوك المثلي، لكنّها لم تعرف فكرة «المثلي» كصنفٍ من البشر له هويته وحقوقه ومجتمعه. وعلى هذا، فإنّ كثيرًا من المقارنات التي يطرحها مؤيدو الحركة المعاصرة — حين يستشهدون باليونان القديمة أو الإمبراطورية الرومانية — تنطوي على خلطٍ مفهومي يجب الانتباه إليه.</w:t>
      </w:r>
    </w:p>
    <w:p>
      <w:pPr>
        <w:bidi/>
        <w:spacing w:after="160"/>
        <w:jc w:val="start"/>
      </w:pPr>
      <w:r>
        <w:rPr>
          <w:sz w:val="24"/>
          <w:szCs w:val="24"/>
          <w:rtl/>
        </w:rPr>
        <w:t xml:space="preserve">كذلك، حين يُقال إنّ الإسلام «حرّم المثلية»، فإنّ المقصود بدقّة هو تحريم الفعل (اللواط)، وليس بالضرورة تجريم الميل المجرّد الذي قد يكون ابتلاءً يُجاهد صاحبه نفسه فيه دون أن يقع في الفعل. وهذا التمييز مهم لأنّه يفتح بابًا للتعامل الراعي والرحيم مع المسلمين الذين يجدون في أنفسهم هذا الميل دون أن يستجيبوا له، ولا يُتركون فريسةً لليأس أو التطرّف في أيّ من الاتجاهين.</w:t>
      </w:r>
    </w:p>
    <w:p>
      <w:pPr>
        <w:bidi/>
        <w:spacing w:after="160"/>
        <w:jc w:val="start"/>
      </w:pPr>
      <w:r>
        <w:rPr>
          <w:sz w:val="24"/>
          <w:szCs w:val="24"/>
          <w:rtl/>
        </w:rPr>
        <w:t xml:space="preserve">## مكوّنات المصطلح المعاصر LGBTQ+</w:t>
      </w:r>
    </w:p>
    <w:p>
      <w:pPr>
        <w:bidi/>
        <w:spacing w:after="160"/>
        <w:jc w:val="start"/>
      </w:pPr>
      <w:r>
        <w:rPr>
          <w:sz w:val="24"/>
          <w:szCs w:val="24"/>
          <w:rtl/>
        </w:rPr>
        <w:t xml:space="preserve">تطور المصطلح في الغرب من «Gay» في الستينيات إلى «LGB» في الثمانينيات إلى «LGBT» ثمّ «LGBTQ» ثمّ «LGBTQIA+» اليوم. وكلّ حرفٍ يشير إلى فئةٍ مختلفة:</w:t>
      </w:r>
    </w:p>
    <w:p>
      <w:pPr>
        <w:bidi/>
        <w:spacing w:after="160"/>
        <w:jc w:val="start"/>
      </w:pPr>
      <w:r>
        <w:rPr>
          <w:sz w:val="24"/>
          <w:szCs w:val="24"/>
          <w:rtl/>
        </w:rPr>
        <w:t xml:space="preserve">- **L (Lesbian):** المرأة التي تنجذب إلى النساء. - **G (Gay):** الرجل الذي ينجذب إلى الرجال (وأحيانًا تُطلق على المثليين عمومًا). - **B (Bisexual):** من ينجذب إلى الجنسين معًا. - **T (Transgender):** من يعتقد أنّ هويته الجنسية تختلف عن جنسه البيولوجي. وهذه الفئة مختلفة جوهريًا عن الثلاث السابقة، لأنّها تتعلّق بالهوية الجندرية لا بالميل الجنسي. - **Q (Queer أو Questioning):** مصطلح فضفاض يشمل من لا يندرج تحت التصنيفات السابقة. - **+ (الزائد):** يشير إلى تصنيفات أحدث مثل «Intersex» و«Asexual» و«Pansexual» وغيرها.</w:t>
      </w:r>
    </w:p>
    <w:p>
      <w:pPr>
        <w:bidi/>
        <w:spacing w:after="160"/>
        <w:jc w:val="start"/>
      </w:pPr>
      <w:r>
        <w:rPr>
          <w:sz w:val="24"/>
          <w:szCs w:val="24"/>
          <w:rtl/>
        </w:rPr>
        <w:t xml:space="preserve">ومن الأهمية بمكان ملاحظة أنّ ضمّ هذه الفئات تحت مظلّة واحدة هو قرارٌ سياسي وتنظيمي معاصر، وليس تصنيفًا علميًا متفقًا عليه. فقضايا المتحوّلين جنسيًا (T) تختلف اختلافًا كبيرًا عن قضايا المثليين (G/L)، وقد بدأت تظهر داخل الحركة نفسها انقسامات بين الناشطين الكلاسيكيين والناشطين الجدد حول هذا الجمع.</w:t>
      </w:r>
    </w:p>
    <w:p>
      <w:pPr>
        <w:bidi/>
        <w:spacing w:after="160"/>
        <w:jc w:val="start"/>
      </w:pPr>
      <w:r>
        <w:rPr>
          <w:sz w:val="24"/>
          <w:szCs w:val="24"/>
          <w:rtl/>
        </w:rPr>
        <w:t xml:space="preserve">## منهج هذا الكتاب</w:t>
      </w:r>
    </w:p>
    <w:p>
      <w:pPr>
        <w:bidi/>
        <w:spacing w:after="160"/>
        <w:jc w:val="start"/>
      </w:pPr>
      <w:r>
        <w:rPr>
          <w:sz w:val="24"/>
          <w:szCs w:val="24"/>
          <w:rtl/>
        </w:rPr>
        <w:t xml:space="preserve">ينطلق هذا الكتاب من ثلاثة مبادئ توجيهية:</w:t>
      </w:r>
    </w:p>
    <w:p>
      <w:pPr>
        <w:bidi/>
        <w:spacing w:after="160"/>
        <w:jc w:val="start"/>
      </w:pPr>
      <w:r>
        <w:rPr>
          <w:sz w:val="24"/>
          <w:szCs w:val="24"/>
          <w:rtl/>
        </w:rPr>
        <w:t xml:space="preserve">**أولًا: الجدّية في التعامل مع الموضوع.** فالقضية ليست مسألة هامشية، بل أصبحت من أكبر القضايا الثقافية في العالم المعاصر، وتؤثّر في القانون والتعليم والإعلام والسياسة الخارجية. وهي تستحقّ بحثًا علميًا لا خطابةً عاطفية.</w:t>
      </w:r>
    </w:p>
    <w:p>
      <w:pPr>
        <w:bidi/>
        <w:spacing w:after="160"/>
        <w:jc w:val="start"/>
      </w:pPr>
      <w:r>
        <w:rPr>
          <w:sz w:val="24"/>
          <w:szCs w:val="24"/>
          <w:rtl/>
        </w:rPr>
        <w:t xml:space="preserve">**ثانيًا: الرحمة في التعامل مع الإنسان.** فإنّ نقد السلوك لا يستلزم احتقار صاحبه. والإسلام الذي حرّم الفعل أمر بالرحمة بالخلق، وعلّم أنّ التغيير يكون بالحكمة والموعظة الحسنة لا بالتشهير والإهانة.</w:t>
      </w:r>
    </w:p>
    <w:p>
      <w:pPr>
        <w:bidi/>
        <w:spacing w:after="160"/>
        <w:jc w:val="start"/>
      </w:pPr>
      <w:r>
        <w:rPr>
          <w:sz w:val="24"/>
          <w:szCs w:val="24"/>
          <w:rtl/>
        </w:rPr>
        <w:t xml:space="preserve">**ثالثًا: الأمانة في عرض الحجج.** فلن نضعف حجج المخالفين لكي نسهّل الردّ عليها، بل سنعرضها في أقوى صورها كما يعرضها أصحابها أنفسهم، ثمّ ننظر فيها بعين الناقد المنصف. وهذا منهج القرآن الذي يعرض شبهات المخالفين كاملةً قبل أن يردّ عليها.</w:t>
      </w:r>
    </w:p>
    <w:p>
      <w:pPr>
        <w:bidi/>
        <w:spacing w:after="160"/>
        <w:jc w:val="start"/>
      </w:pPr>
      <w:r>
        <w:rPr>
          <w:sz w:val="24"/>
          <w:szCs w:val="24"/>
          <w:rtl/>
        </w:rPr>
        <w:t xml:space="preserve">## خلاصة الفصل</w:t>
      </w:r>
    </w:p>
    <w:p>
      <w:pPr>
        <w:bidi/>
        <w:spacing w:after="160"/>
        <w:jc w:val="start"/>
      </w:pPr>
      <w:r>
        <w:rPr>
          <w:sz w:val="24"/>
          <w:szCs w:val="24"/>
          <w:rtl/>
        </w:rPr>
        <w:t xml:space="preserve">إنّ المثلية الجنسية كما تُفهم اليوم هي ظاهرة مركّبة من ثلاث طبقات: سلوك، وميل، وهوية. والسلوك قديم، والميل ظاهرة نفسية يتفق العقلاء على وجودها كحالة، والهوية بمعناها الحديث ظاهرة جديدة لا تتجاوز قرنًا ونصف القرن. وفهم هذا التمييز مفتاحٌ لكلّ ما سيأتي في هذا الكتاب من تحليلٍ تاريخي ومقارن، ومن عرضٍ للحجج وردٍّ عليها. والقارئ الجاد لن يستفيد من جدلٍ في موضوعٍ لم يتصوّره بدقّة. والله أعلم.</w:t>
      </w:r>
    </w:p>
    <w:p>
      <w:r>
        <w:br w:type="page"/>
      </w:r>
    </w:p>
    <w:p>
      <w:pPr>
        <w:bidi/>
        <w:spacing w:after="360" w:before="600"/>
        <w:jc w:val="center"/>
      </w:pPr>
      <w:r>
        <w:rPr>
          <w:b/>
          <w:bCs/>
          <w:color w:val="1B3A5C"/>
          <w:sz w:val="36"/>
          <w:szCs w:val="36"/>
          <w:rtl/>
        </w:rPr>
        <w:t xml:space="preserve">الفصل الثاني: الجذور التاريخية في الحضارات القديمة</w:t>
      </w:r>
    </w:p>
    <w:p>
      <w:pPr>
        <w:bidi/>
        <w:spacing w:after="160"/>
        <w:jc w:val="start"/>
      </w:pPr>
      <w:r>
        <w:rPr>
          <w:sz w:val="24"/>
          <w:szCs w:val="24"/>
          <w:rtl/>
        </w:rPr>
        <w:t xml:space="preserve">﴿وَلُوطًا إِذْ قَالَ لِقَوْمِهِ أَتَأْتُونَ الْفَاحِشَةَ وَأَنتُمْ تُبْصِرُونَ﴾ (النمل: 54)</w:t>
      </w:r>
    </w:p>
    <w:p>
      <w:pPr>
        <w:bidi/>
        <w:spacing w:after="160"/>
        <w:jc w:val="start"/>
      </w:pPr>
      <w:r>
        <w:rPr>
          <w:sz w:val="24"/>
          <w:szCs w:val="24"/>
          <w:rtl/>
        </w:rPr>
        <w:t xml:space="preserve">## في الإطار العام لقراءة التاريخ</w:t>
      </w:r>
    </w:p>
    <w:p>
      <w:pPr>
        <w:bidi/>
        <w:spacing w:after="160"/>
        <w:jc w:val="start"/>
      </w:pPr>
      <w:r>
        <w:rPr>
          <w:sz w:val="24"/>
          <w:szCs w:val="24"/>
          <w:rtl/>
        </w:rPr>
        <w:t xml:space="preserve">من أوّل ما ينبغي التنبيه إليه أنّ كثيرًا من الكتابات المعاصرة المؤيّدة للحركة المثلية تستخدم التاريخ القديم استخدامًا انتقائيًا، فتقدّم الممارسات السلوكية في اليونان وروما وغيرهما باعتبارها دليلًا على «طبيعية» المثلية وعالميتها. وهذا الاستخدام ينطوي على إشكال منهجي مزدوج: أوّلًا، أنّه يخلط بين السلوك والهوية كما بيّنّا في الفصل الأول؛ وثانيًا، أنّه يتجاهل أنّ كثيرًا من الممارسات القديمة المُحتفى بها اليوم كانت ممارسات تنطوي على تفاوت طبقي وعمري حادّ، بحيث لو طُبّقت بمعاييرها الأصلية في أيّ مجتمع معاصر لكانت محلّ إدانةٍ من الحركة المعاصرة نفسها قبل غيرها.</w:t>
      </w:r>
    </w:p>
    <w:p>
      <w:pPr>
        <w:bidi/>
        <w:spacing w:after="160"/>
        <w:jc w:val="start"/>
      </w:pPr>
      <w:r>
        <w:rPr>
          <w:sz w:val="24"/>
          <w:szCs w:val="24"/>
          <w:rtl/>
        </w:rPr>
        <w:t xml:space="preserve">ومن المفارقة أنّ كثيرًا من هذه المجتمعات القديمة لم تكن تعرف فكرة «المساواة» بين شريكين بالغين راضيين بصفتهما المعيار، وإنما كانت ترى السلوك المثلي محكومًا بشبكةٍ من العلاقات الهرمية التي يصعب على القارئ المعاصر استيعابها دون تأمّل.</w:t>
      </w:r>
    </w:p>
    <w:p>
      <w:pPr>
        <w:bidi/>
        <w:spacing w:after="160"/>
        <w:jc w:val="start"/>
      </w:pPr>
      <w:r>
        <w:rPr>
          <w:sz w:val="24"/>
          <w:szCs w:val="24"/>
          <w:rtl/>
        </w:rPr>
        <w:t xml:space="preserve">## اليونان القديمة: ما هو وما ليس هو</w:t>
      </w:r>
    </w:p>
    <w:p>
      <w:pPr>
        <w:bidi/>
        <w:spacing w:after="160"/>
        <w:jc w:val="start"/>
      </w:pPr>
      <w:r>
        <w:rPr>
          <w:sz w:val="24"/>
          <w:szCs w:val="24"/>
          <w:rtl/>
        </w:rPr>
        <w:t xml:space="preserve">تُعدّ اليونان القديمة المرجع الأكثر استشهادًا في النقاش المعاصر، ولها مكانة خاصّة لأنّ نصوصها الفلسفية والأدبية وصلتنا بشكل واسع. لكنّ الصورة التي تصلنا من المصادر الأصلية أكثر تعقيدًا بكثير ممّا يُروَّج له شعبيًا.</w:t>
      </w:r>
    </w:p>
    <w:p>
      <w:pPr>
        <w:bidi/>
        <w:spacing w:after="160"/>
        <w:jc w:val="start"/>
      </w:pPr>
      <w:r>
        <w:rPr>
          <w:sz w:val="24"/>
          <w:szCs w:val="24"/>
          <w:rtl/>
        </w:rPr>
        <w:t xml:space="preserve">النموذج الأكثر شيوعًا في اليونان الكلاسيكية كان ما يُعرف بـ«البيدراستيا» (Pederasty) — وهي علاقة مؤسّسية بين رجل بالغ يُسمّى «erastes» (المحبّ) وفتى مراهق يُسمّى «eromenos» (المحبوب)، عمره غالبًا بين الثانية عشرة والثامنة عشرة. هذه العلاقة لم تكن بين شريكين «متساويين» بالمعنى الذي تُقدّمه الحركة المعاصرة، بل كانت قائمة على تفاوت العمر والمكانة والدور، وكان لها شبه طقسي ومرتبط بالتربية النخبوية في بعض المدن مثل أثينا وسبارطة.</w:t>
      </w:r>
    </w:p>
    <w:p>
      <w:pPr>
        <w:bidi/>
        <w:spacing w:after="160"/>
        <w:jc w:val="start"/>
      </w:pPr>
      <w:r>
        <w:rPr>
          <w:sz w:val="24"/>
          <w:szCs w:val="24"/>
          <w:rtl/>
        </w:rPr>
        <w:t xml:space="preserve">وفي محاورة «المأدبة» (Symposium) لأفلاطون، نجد عرضًا لنظرية أرسطوفانس عن «النصفين»، وخطاب باوسانياس عن نوعين من «إيروس» — السماوي والأرضي. لكن من المهم ملاحظة أمرين: أوّلًا، أنّ هذه المحاورة عمل أدبي فلسفي وليست سجلًا اجتماعيًا، وثانيًا، أنّ أفلاطون نفسه في كتابه المتأخّر «النواميس» (Laws) قدّم موقفًا أشدّ تحفظًا، إذ وصف الفعل الجنسي بين رجلين بأنّه «خلاف الطبيعة» (para physin)، ودعا إلى تشريعٍ يُحصره. فالفيلسوف الذي يُستشهد به اليوم باعتباره صديقًا للحركة هو نفسه من رفض الفعل في عمله الأخير.</w:t>
      </w:r>
    </w:p>
    <w:p>
      <w:pPr>
        <w:bidi/>
        <w:spacing w:after="160"/>
        <w:jc w:val="start"/>
      </w:pPr>
      <w:r>
        <w:rPr>
          <w:sz w:val="24"/>
          <w:szCs w:val="24"/>
          <w:rtl/>
        </w:rPr>
        <w:t xml:space="preserve">كذلك فإنّ المؤرّخ كنيث دوفر، في كتابه الكلاسيكي «الجنسانية المثلية في اليونان» (Greek Homosexuality, 1978)، أشار إلى أنّ ثمة ضوابط اجتماعية صارمة كانت تحيط بهذه العلاقات، وأنّ تجاوزها كان يستوجب الفضيحة، وأنّ المواطن البالغ الذي يقبل دور «المفعول به» كان يتعرّض لانتقاص اجتماعي، إذ كان ذلك يُفهم على أنّه تنازل عن مكانته الذكورية الحرّة. ولذا، فإنّ تقديم اليونان كحضارةٍ «منفتحة» على المثلية بالمعنى المعاصر تبسيطٌ يخفي تعقيد الواقع.</w:t>
      </w:r>
    </w:p>
    <w:p>
      <w:pPr>
        <w:bidi/>
        <w:spacing w:after="160"/>
        <w:jc w:val="start"/>
      </w:pPr>
      <w:r>
        <w:rPr>
          <w:sz w:val="24"/>
          <w:szCs w:val="24"/>
          <w:rtl/>
        </w:rPr>
        <w:t xml:space="preserve">## الإمبراطورية الرومانية: التراتب أهمّ من النوع</w:t>
      </w:r>
    </w:p>
    <w:p>
      <w:pPr>
        <w:bidi/>
        <w:spacing w:after="160"/>
        <w:jc w:val="start"/>
      </w:pPr>
      <w:r>
        <w:rPr>
          <w:sz w:val="24"/>
          <w:szCs w:val="24"/>
          <w:rtl/>
        </w:rPr>
        <w:t xml:space="preserve">في روما، اتّخذ الأمر شكلًا آخر مرتبطًا بالتراتب الطبقي بشكل أوضح حتّى من اليونان. فالقاعدة الاجتماعية الرومانية كانت تسمح للمواطن الذكر الحرّ بأن يقوم بدور «الفاعل» مع العبيد أو ذوي المكانة الأدنى من الجنسين، لكنّها كانت تستهجن قبول المواطن دور «المفعول به» مع رجل آخر، إذ كان هذا يُعدّ خروجًا عن الكرامة الذكورية. ومن ثمّ فإنّ السؤال الروماني لم يكن «مع من تعاشر؟» بل «أيّ دور تأخذ؟».</w:t>
      </w:r>
    </w:p>
    <w:p>
      <w:pPr>
        <w:bidi/>
        <w:spacing w:after="160"/>
        <w:jc w:val="start"/>
      </w:pPr>
      <w:r>
        <w:rPr>
          <w:sz w:val="24"/>
          <w:szCs w:val="24"/>
          <w:rtl/>
        </w:rPr>
        <w:t xml:space="preserve">وقد وصف الشاعر يوفينال (Juvenal) في «الهجائيات» الفساد الأخلاقي للنخبة الرومانية، وهاجم ممارسات الإمبراطور نيرون وآخرين بصفة شديدة. كما أنّ الإمبراطور هادريان (117–138م) اشتُهر بعلاقته مع الفتى أنطينوس، لكنّ هذه العلاقة تجدر قراءتها في سياقها الإمبراطوري، لا اعتبارها مرادفًا لزواج المثليين الحديث.</w:t>
      </w:r>
    </w:p>
    <w:p>
      <w:pPr>
        <w:bidi/>
        <w:spacing w:after="160"/>
        <w:jc w:val="start"/>
      </w:pPr>
      <w:r>
        <w:rPr>
          <w:sz w:val="24"/>
          <w:szCs w:val="24"/>
          <w:rtl/>
        </w:rPr>
        <w:t xml:space="preserve">أمّا حين أصبحت المسيحية دين الإمبراطورية، فقد جاءت قوانين الأباطرة ثيودوسيوس (390م) ويوستينيان (533م و544م) بتجريم الفعل تجريمًا صارمًا، وقد أرست هذه القوانين أساسًا قانونيًا أوروبيًا استمر قرونًا.</w:t>
      </w:r>
    </w:p>
    <w:p>
      <w:pPr>
        <w:bidi/>
        <w:spacing w:after="160"/>
        <w:jc w:val="start"/>
      </w:pPr>
      <w:r>
        <w:rPr>
          <w:sz w:val="24"/>
          <w:szCs w:val="24"/>
          <w:rtl/>
        </w:rPr>
        <w:t xml:space="preserve">## بلاد الرافدين والعالم القديم</w:t>
      </w:r>
    </w:p>
    <w:p>
      <w:pPr>
        <w:bidi/>
        <w:spacing w:after="160"/>
        <w:jc w:val="start"/>
      </w:pPr>
      <w:r>
        <w:rPr>
          <w:sz w:val="24"/>
          <w:szCs w:val="24"/>
          <w:rtl/>
        </w:rPr>
        <w:t xml:space="preserve">في بلاد الرافدين، نجد إشارات متفرّقة في القوانين القديمة. القانون الآشوري الأوسط (نحو 1075 ق.م) عاقب الفعل المثلي بين الذكور بالإخصاء في بعض حالاته. وفي القانون الحثّي إشارات أخرى. وعلى العموم، فإنّ المصادر المتاحة من بلاد الرافدين لا تدعم تصوّرًا «منفتحًا» على المثلية، بل تُظهر ضوابط اجتماعية وأحيانًا قانونية صارمة.</w:t>
      </w:r>
    </w:p>
    <w:p>
      <w:pPr>
        <w:bidi/>
        <w:spacing w:after="160"/>
        <w:jc w:val="start"/>
      </w:pPr>
      <w:r>
        <w:rPr>
          <w:sz w:val="24"/>
          <w:szCs w:val="24"/>
          <w:rtl/>
        </w:rPr>
        <w:t xml:space="preserve">أمّا في مصر القديمة، فإنّ المصادر شحيحة ومتنازع في تفسيرها، وأبرزها قصة «خنومحوتب وني-عنخ-خنوم» التي يفسّرها بعض الباحثين المعاصرين تفسيرًا مثليًا، بينما يرفض غيرهم هذا التفسير لقصور الدليل.</w:t>
      </w:r>
    </w:p>
    <w:p>
      <w:pPr>
        <w:bidi/>
        <w:spacing w:after="160"/>
        <w:jc w:val="start"/>
      </w:pPr>
      <w:r>
        <w:rPr>
          <w:sz w:val="24"/>
          <w:szCs w:val="24"/>
          <w:rtl/>
        </w:rPr>
        <w:t xml:space="preserve">## الجزيرة العربية قبل الإسلام</w:t>
      </w:r>
    </w:p>
    <w:p>
      <w:pPr>
        <w:bidi/>
        <w:spacing w:after="160"/>
        <w:jc w:val="start"/>
      </w:pPr>
      <w:r>
        <w:rPr>
          <w:sz w:val="24"/>
          <w:szCs w:val="24"/>
          <w:rtl/>
        </w:rPr>
        <w:t xml:space="preserve">في الجزيرة العربية قبل الإسلام، كانت النظرة العامّة سلبية. وقد ورد في السيرة النبوية أنّ العرب كانوا يستنكرون اللواط، وإن لم تكن لديهم تشريعات قانونية مفصّلة كتلك التي جاء بها الإسلام. وفي الشعر الجاهلي تكاد لا تُذكر مثل هذه الموضوعات إلا في سياق الذمّ والهجاء. ويذكر بعض المؤرّخين أنّ بعض القبائل عرفت ممارسات شاذّة، لكنّها كانت تُعدّ خارجة عن المألوف.</w:t>
      </w:r>
    </w:p>
    <w:p>
      <w:pPr>
        <w:bidi/>
        <w:spacing w:after="160"/>
        <w:jc w:val="start"/>
      </w:pPr>
      <w:r>
        <w:rPr>
          <w:sz w:val="24"/>
          <w:szCs w:val="24"/>
          <w:rtl/>
        </w:rPr>
        <w:t xml:space="preserve">## شرق آسيا: الصين واليابان القديمتان</w:t>
      </w:r>
    </w:p>
    <w:p>
      <w:pPr>
        <w:bidi/>
        <w:spacing w:after="160"/>
        <w:jc w:val="start"/>
      </w:pPr>
      <w:r>
        <w:rPr>
          <w:sz w:val="24"/>
          <w:szCs w:val="24"/>
          <w:rtl/>
        </w:rPr>
        <w:t xml:space="preserve">في الصين الإمبراطورية، توجد سجلّات لعلاقات بين الأباطرة وحاشيتهم، أشهرها قصّة الإمبراطور أَي من سلالة هَان (نحو 6 ق.م) و«الكمّ المقطوع» (دوان شيو). كما عرفت أسر مينغ وتشينغ كتابات أدبية في الموضوع. لكنّ الكونفوشيوسية بصفتها الإطار الأخلاقي السائد كانت تشدّد على استمرار النسل وعلى التزامات الأبناء، ممّا جعل الزواج وإنجاب الأبناء واجبًا أخلاقيًا، حتّى لو وُجدت ممارسات أخرى في الهامش.</w:t>
      </w:r>
    </w:p>
    <w:p>
      <w:pPr>
        <w:bidi/>
        <w:spacing w:after="160"/>
        <w:jc w:val="start"/>
      </w:pPr>
      <w:r>
        <w:rPr>
          <w:sz w:val="24"/>
          <w:szCs w:val="24"/>
          <w:rtl/>
        </w:rPr>
        <w:t xml:space="preserve">أمّا في اليابان، خصوصًا في فترة إيدو (1603–1868)، فقد وُجدت ظاهرة «شودو» (shudō) أو «طريق الشباب» في الأوساط الساموراية والديريّة (Buddhist monastic). وهي ظاهرة معقّدة، شبيهة بالنموذج اليوناني في كونها قائمة على تفاوت العمر والمكانة. وكانت محكومة بقواعد ضمنية صارمة. ومع تأثّر اليابان بالحضارة الغربية في عصر ميجي، تراجعت هذه الممارسات إلى الهامش.</w:t>
      </w:r>
    </w:p>
    <w:p>
      <w:pPr>
        <w:bidi/>
        <w:spacing w:after="160"/>
        <w:jc w:val="start"/>
      </w:pPr>
      <w:r>
        <w:rPr>
          <w:sz w:val="24"/>
          <w:szCs w:val="24"/>
          <w:rtl/>
        </w:rPr>
        <w:t xml:space="preserve">## خلاصة الفصل: التاريخ أكثر تعقيدًا من المعارك المعاصرة</w:t>
      </w:r>
    </w:p>
    <w:p>
      <w:pPr>
        <w:bidi/>
        <w:spacing w:after="160"/>
        <w:jc w:val="start"/>
      </w:pPr>
      <w:r>
        <w:rPr>
          <w:sz w:val="24"/>
          <w:szCs w:val="24"/>
          <w:rtl/>
        </w:rPr>
        <w:t xml:space="preserve">ما يستفيده القارئ من هذه الجولة التاريخية ثلاثة أمور:</w:t>
      </w:r>
    </w:p>
    <w:p>
      <w:pPr>
        <w:bidi/>
        <w:spacing w:after="160"/>
        <w:jc w:val="start"/>
      </w:pPr>
      <w:r>
        <w:rPr>
          <w:sz w:val="24"/>
          <w:szCs w:val="24"/>
          <w:rtl/>
        </w:rPr>
        <w:t xml:space="preserve">**أوّلًا:** إنّ السلوك المثلي ظاهرة قديمة موجودة في حضارات متعدّدة، لكنّه لم يكن في أيّ منها «طبيعيًا» بالمعنى المعاصر، ولم يُعدّ هويةً أو فئة اجتماعية مستقلّة. وكانت القواعد المحيطة به قواعد هرمية وطبقية لا «حقوقية» بالمعنى المعاصر.</w:t>
      </w:r>
    </w:p>
    <w:p>
      <w:pPr>
        <w:bidi/>
        <w:spacing w:after="160"/>
        <w:jc w:val="start"/>
      </w:pPr>
      <w:r>
        <w:rPr>
          <w:sz w:val="24"/>
          <w:szCs w:val="24"/>
          <w:rtl/>
        </w:rPr>
        <w:t xml:space="preserve">**ثانيًا:** إنّ الاحتفاء المعاصر بالنماذج القديمة (اليوناني والروماني) ينطوي على انتقائية. فالحركة المعاصرة تستشهد بهذه النماذج لإثبات «طبيعية» المثلية، لكنّها لو طُبِّقت بحذافيرها (مع فوارق العمر والمكانة) لكانت أوّل ما ترفضه الحركة نفسها.</w:t>
      </w:r>
    </w:p>
    <w:p>
      <w:pPr>
        <w:bidi/>
        <w:spacing w:after="160"/>
        <w:jc w:val="start"/>
      </w:pPr>
      <w:r>
        <w:rPr>
          <w:sz w:val="24"/>
          <w:szCs w:val="24"/>
          <w:rtl/>
        </w:rPr>
        <w:t xml:space="preserve">**ثالثًا:** إنّ ادّعاء أنّ الإسلام «اخترع» تحريم اللواط ادّعاءٌ تاريخي لا يصمد، إذ إنّ الموقف السلبي من هذا الفعل سابق على الإسلام في حضارات متعدّدة، وإن جاء الإسلام بأبلغ تعبير وأوضح حكم. والله أعلم.</w:t>
      </w:r>
    </w:p>
    <w:p>
      <w:r>
        <w:br w:type="page"/>
      </w:r>
    </w:p>
    <w:p>
      <w:pPr>
        <w:bidi/>
        <w:spacing w:after="360" w:before="600"/>
        <w:jc w:val="center"/>
      </w:pPr>
      <w:r>
        <w:rPr>
          <w:b/>
          <w:bCs/>
          <w:color w:val="1B3A5C"/>
          <w:sz w:val="36"/>
          <w:szCs w:val="36"/>
          <w:rtl/>
        </w:rPr>
        <w:t xml:space="preserve">الفصل الثالث: قصة قوم لوط في القرآن والسنّة</w:t>
      </w:r>
    </w:p>
    <w:p>
      <w:pPr>
        <w:bidi/>
        <w:spacing w:after="160"/>
        <w:jc w:val="start"/>
      </w:pPr>
      <w:r>
        <w:rPr>
          <w:sz w:val="24"/>
          <w:szCs w:val="24"/>
          <w:rtl/>
        </w:rPr>
        <w:t xml:space="preserve">﴿وَلُوطًا إِذْ قَالَ لِقَوْمِهِ أَتَأْتُونَ الْفَاحِشَةَ مَا سَبَقَكُم بِهَا مِنْ أَحَدٍ مِّنَ الْعَالَمِينَ﴾ (الأعراف: 80)</w:t>
      </w:r>
    </w:p>
    <w:p>
      <w:pPr>
        <w:bidi/>
        <w:spacing w:after="160"/>
        <w:jc w:val="start"/>
      </w:pPr>
      <w:r>
        <w:rPr>
          <w:sz w:val="24"/>
          <w:szCs w:val="24"/>
          <w:rtl/>
        </w:rPr>
        <w:t xml:space="preserve">## مكانة القصّة في القرآن الكريم</w:t>
      </w:r>
    </w:p>
    <w:p>
      <w:pPr>
        <w:bidi/>
        <w:spacing w:after="160"/>
        <w:jc w:val="start"/>
      </w:pPr>
      <w:r>
        <w:rPr>
          <w:sz w:val="24"/>
          <w:szCs w:val="24"/>
          <w:rtl/>
        </w:rPr>
        <w:t xml:space="preserve">تُعدّ قصّة لوط عليه السلام وقومه من أكثر القصص القرآنية تكرارًا، إذ وردت في أكثر من اثنتي عشرة سورة. وقد ذُكرت بصور مختلفة وفي سياقات متعدّدة، تارةً مع قصص الأنبياء عمومًا، وتارةً في معرض إنذار المخالفين، وتارةً في سياق الأمم المهلكة. وهذا التكرار وحده دليل على عظم الموضوع في الميزان القرآني، ولا يكاد يُذكر نبيٌّ بعد إبراهيم عليه السلام مع قومه بهذا التوسّع كما يُذكر لوط عليه السلام.</w:t>
      </w:r>
    </w:p>
    <w:p>
      <w:pPr>
        <w:bidi/>
        <w:spacing w:after="160"/>
        <w:jc w:val="start"/>
      </w:pPr>
      <w:r>
        <w:rPr>
          <w:sz w:val="24"/>
          <w:szCs w:val="24"/>
          <w:rtl/>
        </w:rPr>
        <w:t xml:space="preserve">ومن أبرز السور التي تناولت القصّة: الأعراف (80–84)، وهود (74–83)، والحجر (51–77)، والشعراء (160–175)، والنمل (54–58)، والعنكبوت (28–35)، والذاريات (31–37)، والقمر (33–40). وفي كلّ سياق إضافة معنوية تخدم مقصدًا قرآنيًا.</w:t>
      </w:r>
    </w:p>
    <w:p>
      <w:pPr>
        <w:bidi/>
        <w:spacing w:after="160"/>
        <w:jc w:val="start"/>
      </w:pPr>
      <w:r>
        <w:rPr>
          <w:sz w:val="24"/>
          <w:szCs w:val="24"/>
          <w:rtl/>
        </w:rPr>
        <w:t xml:space="preserve">## مضمون القصّة كما يصوّرها القرآن</w:t>
      </w:r>
    </w:p>
    <w:p>
      <w:pPr>
        <w:bidi/>
        <w:spacing w:after="160"/>
        <w:jc w:val="start"/>
      </w:pPr>
      <w:r>
        <w:rPr>
          <w:sz w:val="24"/>
          <w:szCs w:val="24"/>
          <w:rtl/>
        </w:rPr>
        <w:t xml:space="preserve">أرسل الله لوطًا عليه السلام إلى قومه — وهم سكّان «المؤتفكات» التي يُرجَّح أنّها تقع شرق نهر الأردن، بحوالي البحر الميّت — يدعوهم إلى التوحيد ويُنكر عليهم فاحشة لم يسبقهم بها أحد من العالمين. يقول تعالى: ﴿وَلُوطًا إِذْ قَالَ لِقَوْمِهِ إِنَّكُمْ لَتَأْتُونَ الْفَاحِشَةَ مَا سَبَقَكُم بِهَا مِنْ أَحَدٍ مِّنَ الْعَالَمِينَ * أَئِنَّكُمْ لَتَأْتُونَ الرِّجَالَ وَتَقْطَعُونَ السَّبِيلَ وَتَأْتُونَ فِي نَادِيكُمُ الْمُنكَرَ﴾ (العنكبوت: 28–29).</w:t>
      </w:r>
    </w:p>
    <w:p>
      <w:pPr>
        <w:bidi/>
        <w:spacing w:after="160"/>
        <w:jc w:val="start"/>
      </w:pPr>
      <w:r>
        <w:rPr>
          <w:sz w:val="24"/>
          <w:szCs w:val="24"/>
          <w:rtl/>
        </w:rPr>
        <w:t xml:space="preserve">وفي هذه الآية فائدة مهمّة: أنّ ذنوب قوم لوط لم تكن منحصرة في إتيان الذكور فحسب، بل اقترنت بقطع السبيل (وهو الاعتداء على المسافرين) وبفعل المنكر في النوادي (أي علنًا في أماكن التجمّع). وهذا يدلّ على أنّ المجتمع وصل إلى مرحلة من الانهيار الأخلاقي العامّ، وأنّ الفاحشة المعنيّة لم تكن سرّية فردية، بل صارت ظاهرة علنية يدافع عنها المجتمع ويعاقب من ينكرها.</w:t>
      </w:r>
    </w:p>
    <w:p>
      <w:pPr>
        <w:bidi/>
        <w:spacing w:after="160"/>
        <w:jc w:val="start"/>
      </w:pPr>
      <w:r>
        <w:rPr>
          <w:sz w:val="24"/>
          <w:szCs w:val="24"/>
          <w:rtl/>
        </w:rPr>
        <w:t xml:space="preserve">وقد عرض لوط عليه السلام ابنتيه على قومه في سياق دعوتهم إلى الزواج المشروع: ﴿هَؤُلاءِ بَنَاتِي هُنَّ أَطْهَرُ لَكُمْ﴾ (هود: 78). واختلف المفسّرون في معنى ذلك؛ فمنهم من قال إنّه عرض الزواج على وجهه الشرعي، ومنهم من قال إنّ المراد بناتُ القوم باعتباره أبًا روحيًا لهم، والقول الأوّل أرجح عند جمهور المفسّرين.</w:t>
      </w:r>
    </w:p>
    <w:p>
      <w:pPr>
        <w:bidi/>
        <w:spacing w:after="160"/>
        <w:jc w:val="start"/>
      </w:pPr>
      <w:r>
        <w:rPr>
          <w:sz w:val="24"/>
          <w:szCs w:val="24"/>
          <w:rtl/>
        </w:rPr>
        <w:t xml:space="preserve">ومن أبلغ تعبيرات القرآن عن طبيعة الفعل قوله تعالى: ﴿أَتَأْتُونَ الذُّكْرَانَ مِنَ الْعَالَمِينَ * وَتَذَرُونَ مَا خَلَقَ لَكُمْ رَبُّكُم مِّنْ أَزْوَاجِكُم ۚ بَلْ أَنتُمْ قَوْمٌ عَادُونَ﴾ (الشعراء: 165–166). فالآية تجعل الفعل خروجًا عن الفطرة التي خلق الله الزوجين عليها، وتصف فاعليه بالعدوان لا بالشذوذ النفسي فحسب.</w:t>
      </w:r>
    </w:p>
    <w:p>
      <w:pPr>
        <w:bidi/>
        <w:spacing w:after="160"/>
        <w:jc w:val="start"/>
      </w:pPr>
      <w:r>
        <w:rPr>
          <w:sz w:val="24"/>
          <w:szCs w:val="24"/>
          <w:rtl/>
        </w:rPr>
        <w:t xml:space="preserve">## ردّ قوم لوط ومنطقهم</w:t>
      </w:r>
    </w:p>
    <w:p>
      <w:pPr>
        <w:bidi/>
        <w:spacing w:after="160"/>
        <w:jc w:val="start"/>
      </w:pPr>
      <w:r>
        <w:rPr>
          <w:sz w:val="24"/>
          <w:szCs w:val="24"/>
          <w:rtl/>
        </w:rPr>
        <w:t xml:space="preserve">اللافت أنّ قوم لوط لم يردّوا على لوط بالحجّة، وإنّما ردّوا بالطرد والتهديد: ﴿وَمَا كَانَ جَوَابَ قَوْمِهِ إِلَّا أَن قَالُوا أَخْرِجُوا آلَ لُوطٍ مِّن قَرْيَتِكُمْ ۖ إِنَّهُمْ أُنَاسٌ يَتَطَهَّرُونَ﴾ (النمل: 56). وفي هذا إشارة دقيقة: المجتمع المنحرف يَعدّ الالتزام بالطهارة شذوذًا، ويرى في الالتزام الأخلاقي تطفّلًا. وهذه المفارقة تتكرّر في كلّ مجتمع يبلغ مرحلةً من الانحدار يصبح فيها الشاذ هو القاعدة، والمستقيم هو الشاذ.</w:t>
      </w:r>
    </w:p>
    <w:p>
      <w:pPr>
        <w:bidi/>
        <w:spacing w:after="160"/>
        <w:jc w:val="start"/>
      </w:pPr>
      <w:r>
        <w:rPr>
          <w:sz w:val="24"/>
          <w:szCs w:val="24"/>
          <w:rtl/>
        </w:rPr>
        <w:t xml:space="preserve">وبلغ بهم العتوّ أن جاؤوا إلى بيت لوط حين علموا بقدوم الضيوف (وكانوا ملائكة في صورة فتيان) ليطلبوا منه تسليمهم: ﴿وَجَاءَهُ قَوْمُهُ يُهْرَعُونَ إِلَيْهِ﴾ (هود: 78). فبلغ من حال المجتمع أنّ الضيف الغريب لم يعد آمنًا، وهذا انتهاك لكرم الضيافة الذي كان قاعدةً مقدّسةً في تلك الحضارات.</w:t>
      </w:r>
    </w:p>
    <w:p>
      <w:pPr>
        <w:bidi/>
        <w:spacing w:after="160"/>
        <w:jc w:val="start"/>
      </w:pPr>
      <w:r>
        <w:rPr>
          <w:sz w:val="24"/>
          <w:szCs w:val="24"/>
          <w:rtl/>
        </w:rPr>
        <w:t xml:space="preserve">## العقوبة الإلهية</w:t>
      </w:r>
    </w:p>
    <w:p>
      <w:pPr>
        <w:bidi/>
        <w:spacing w:after="160"/>
        <w:jc w:val="start"/>
      </w:pPr>
      <w:r>
        <w:rPr>
          <w:sz w:val="24"/>
          <w:szCs w:val="24"/>
          <w:rtl/>
        </w:rPr>
        <w:t xml:space="preserve">﴿فَلَمَّا جَاءَ أَمْرُنَا جَعَلْنَا عَالِيَهَا سَافِلَهَا وَأَمْطَرْنَا عَلَيْهَا حِجَارَةً مِّن سِجِّيلٍ مَّنضُودٍ﴾ (هود: 82). وصف القرآن العقوبة بصورتين متكاملتين: قلب الديار رأسًا على عقب، ومطر من حجارة من سجّيل — وهو طين متحجّر شديد. وهذه العقوبة الجامعة تدلّ على عمق الفاحشة في النسيج الاجتماعي، إذ لم يكتفِ الله بإهلاك الأفراد، بل قَلَب جغرافيا المكان.</w:t>
      </w:r>
    </w:p>
    <w:p>
      <w:pPr>
        <w:bidi/>
        <w:spacing w:after="160"/>
        <w:jc w:val="start"/>
      </w:pPr>
      <w:r>
        <w:rPr>
          <w:sz w:val="24"/>
          <w:szCs w:val="24"/>
          <w:rtl/>
        </w:rPr>
        <w:t xml:space="preserve">ويرى بعض المؤرّخين والباحثين أنّ الإشارة الجغرافية تنطبق على مدينتي «سدوم وعمورة» الموصوفتين في العهد القديم، الواقعتين في منطقة البحر الميّت، حيث تتوافر شواهد جيولوجية على كوارث بركانية وجيومورفية في تلك المنطقة في حقبة قديمة. ومنطقة البحر الميّت بمستواها الذي يقلّ عن مستوى سطح البحر بأكثر من 400 متر لا تزال شاهدًا جيولوجيًا على ما يصفه القرآن.</w:t>
      </w:r>
    </w:p>
    <w:p>
      <w:pPr>
        <w:bidi/>
        <w:spacing w:after="160"/>
        <w:jc w:val="start"/>
      </w:pPr>
      <w:r>
        <w:rPr>
          <w:sz w:val="24"/>
          <w:szCs w:val="24"/>
          <w:rtl/>
        </w:rPr>
        <w:t xml:space="preserve">## السنّة النبويّة</w:t>
      </w:r>
    </w:p>
    <w:p>
      <w:pPr>
        <w:bidi/>
        <w:spacing w:after="160"/>
        <w:jc w:val="start"/>
      </w:pPr>
      <w:r>
        <w:rPr>
          <w:sz w:val="24"/>
          <w:szCs w:val="24"/>
          <w:rtl/>
        </w:rPr>
        <w:t xml:space="preserve">أكّدت السنّة النبوية على شدّة الحكم في هذا الموضوع. روى أحمد وأبو داود والترمذي وابن ماجه عن ابن عبّاس رضي الله عنهما أنّ النبيّ ﷺ قال: «من وجدتموه يعمل عمل قوم لوط فاقتلوا الفاعل والمفعول به». وفي روايات أخرى وردت تشديدات في الذمّ والوعيد. وقد اختلف العلماء في درجة بعض هذه الأحاديث، لكنّ مجموعها يفيد التحريم القاطع وشدّة الحكم.</w:t>
      </w:r>
    </w:p>
    <w:p>
      <w:pPr>
        <w:bidi/>
        <w:spacing w:after="160"/>
        <w:jc w:val="start"/>
      </w:pPr>
      <w:r>
        <w:rPr>
          <w:sz w:val="24"/>
          <w:szCs w:val="24"/>
          <w:rtl/>
        </w:rPr>
        <w:t xml:space="preserve">كما ورد في الحديث الذي رواه الطبراني وغيره: «لا ينظر الله إلى رجل أتى رجلًا أو امرأة في دبرها» (وقد تكلّم العلماء في إسناده، لكنّ معناه شاهد بنصوص أخرى). والمقصود في هذه الأحاديث هو الفعل، وقد التزم العلماء بهذه الدلالة، ولم يُنزلوها على الميل المجرّد الذي يُجاهد المرء نفسه فيه.</w:t>
      </w:r>
    </w:p>
    <w:p>
      <w:pPr>
        <w:bidi/>
        <w:spacing w:after="160"/>
        <w:jc w:val="start"/>
      </w:pPr>
      <w:r>
        <w:rPr>
          <w:sz w:val="24"/>
          <w:szCs w:val="24"/>
          <w:rtl/>
        </w:rPr>
        <w:t xml:space="preserve">## أحكام الفقهاء في المذاهب</w:t>
      </w:r>
    </w:p>
    <w:p>
      <w:pPr>
        <w:bidi/>
        <w:spacing w:after="160"/>
        <w:jc w:val="start"/>
      </w:pPr>
      <w:r>
        <w:rPr>
          <w:sz w:val="24"/>
          <w:szCs w:val="24"/>
          <w:rtl/>
        </w:rPr>
        <w:t xml:space="preserve">اتّفق علماء المذاهب الأربعة (الحنفية والمالكية والشافعية والحنابلة) إضافةً إلى الجعفرية على تحريم اللواط تحريمًا قاطعًا، وإن اختلفوا في تفاصيل العقوبة الدنيوية:</w:t>
      </w:r>
    </w:p>
    <w:p>
      <w:pPr>
        <w:bidi/>
        <w:spacing w:after="160"/>
        <w:jc w:val="start"/>
      </w:pPr>
      <w:r>
        <w:rPr>
          <w:sz w:val="24"/>
          <w:szCs w:val="24"/>
          <w:rtl/>
        </w:rPr>
        <w:t xml:space="preserve">**عند الحنفية:** ذهب أبو حنيفة إلى أنّه يعزّر، وذهب الصاحبان (أبو يوسف ومحمّد) إلى أنّه كحدّ الزنا.</w:t>
      </w:r>
    </w:p>
    <w:p>
      <w:pPr>
        <w:bidi/>
        <w:spacing w:after="160"/>
        <w:jc w:val="start"/>
      </w:pPr>
      <w:r>
        <w:rPr>
          <w:sz w:val="24"/>
          <w:szCs w:val="24"/>
          <w:rtl/>
        </w:rPr>
        <w:t xml:space="preserve">**عند المالكية والشافعية والحنابلة (في المشهور):** يقام عليه حدّ الزنا — رجمًا للمحصن وجلدًا لغيره. وقال بعضهم بالقتل مطلقًا للفاعل والمفعول به استنادًا إلى الحديث المذكور.</w:t>
      </w:r>
    </w:p>
    <w:p>
      <w:pPr>
        <w:bidi/>
        <w:spacing w:after="160"/>
        <w:jc w:val="start"/>
      </w:pPr>
      <w:r>
        <w:rPr>
          <w:sz w:val="24"/>
          <w:szCs w:val="24"/>
          <w:rtl/>
        </w:rPr>
        <w:t xml:space="preserve">**عند الجعفرية:** القتل في الفعل التامّ.</w:t>
      </w:r>
    </w:p>
    <w:p>
      <w:pPr>
        <w:bidi/>
        <w:spacing w:after="160"/>
        <w:jc w:val="start"/>
      </w:pPr>
      <w:r>
        <w:rPr>
          <w:sz w:val="24"/>
          <w:szCs w:val="24"/>
          <w:rtl/>
        </w:rPr>
        <w:t xml:space="preserve">ومع هذا التشدّد في الحكم، فإنّ الفقهاء التزموا بشروط الإثبات الصارمة (أربعة شهود يرون الفعل رؤية تامّة)، وهي شروط جعلت إقامة الحدّ في التاريخ الإسلامي نادرة جدًا، إذ كان المقصود الردع لا الإيقاع.</w:t>
      </w:r>
    </w:p>
    <w:p>
      <w:pPr>
        <w:bidi/>
        <w:spacing w:after="160"/>
        <w:jc w:val="start"/>
      </w:pPr>
      <w:r>
        <w:rPr>
          <w:sz w:val="24"/>
          <w:szCs w:val="24"/>
          <w:rtl/>
        </w:rPr>
        <w:t xml:space="preserve">## التمييز الفقهي بين الميل والفعل</w:t>
      </w:r>
    </w:p>
    <w:p>
      <w:pPr>
        <w:bidi/>
        <w:spacing w:after="160"/>
        <w:jc w:val="start"/>
      </w:pPr>
      <w:r>
        <w:rPr>
          <w:sz w:val="24"/>
          <w:szCs w:val="24"/>
          <w:rtl/>
        </w:rPr>
        <w:t xml:space="preserve">ميّز كثير من العلماء المعاصرين — كالشيخ يوسف القرضاوي والشيخ عبد الله بن بيّه ومجمع الفقه الإسلامي الدولي وغيرهم — تمييزًا دقيقًا بين الميل والفعل:</w:t>
      </w:r>
    </w:p>
    <w:p>
      <w:pPr>
        <w:bidi/>
        <w:spacing w:after="160"/>
        <w:jc w:val="start"/>
      </w:pPr>
      <w:r>
        <w:rPr>
          <w:sz w:val="24"/>
          <w:szCs w:val="24"/>
          <w:rtl/>
        </w:rPr>
        <w:t xml:space="preserve">**الميل:** قد يكون ابتلاءً يُجاهد المرء نفسه فيه، ولا حساب عليه إذا لم يُقدم على الفعل. كما أنّ الإنسان لا يحاسب على الخواطر التي لا يستجيب لها.</w:t>
      </w:r>
    </w:p>
    <w:p>
      <w:pPr>
        <w:bidi/>
        <w:spacing w:after="160"/>
        <w:jc w:val="start"/>
      </w:pPr>
      <w:r>
        <w:rPr>
          <w:sz w:val="24"/>
          <w:szCs w:val="24"/>
          <w:rtl/>
        </w:rPr>
        <w:t xml:space="preserve">**الفعل:** هو محلّ الحكم الشرعي، سواء كان قولًا أم فعلًا أم ترويجًا.</w:t>
      </w:r>
    </w:p>
    <w:p>
      <w:pPr>
        <w:bidi/>
        <w:spacing w:after="160"/>
        <w:jc w:val="start"/>
      </w:pPr>
      <w:r>
        <w:rPr>
          <w:sz w:val="24"/>
          <w:szCs w:val="24"/>
          <w:rtl/>
        </w:rPr>
        <w:t xml:space="preserve">وعلى هذا، فإنّ المسلم الذي يجد في نفسه ميلًا غير سويّ ويجاهد نفسه ويستعيذ بالله منه، فهو مأجور على جهاده، لا محاسبٌ على ما لم يفعل. وهذا الفهم يفتح بابًا للرعاية والمداواة بدلًا من الطرد والتشهير.</w:t>
      </w:r>
    </w:p>
    <w:p>
      <w:pPr>
        <w:bidi/>
        <w:spacing w:after="160"/>
        <w:jc w:val="start"/>
      </w:pPr>
      <w:r>
        <w:rPr>
          <w:sz w:val="24"/>
          <w:szCs w:val="24"/>
          <w:rtl/>
        </w:rPr>
        <w:t xml:space="preserve">## خلاصة الفصل</w:t>
      </w:r>
    </w:p>
    <w:p>
      <w:pPr>
        <w:bidi/>
        <w:spacing w:after="160"/>
        <w:jc w:val="start"/>
      </w:pPr>
      <w:r>
        <w:rPr>
          <w:sz w:val="24"/>
          <w:szCs w:val="24"/>
          <w:rtl/>
        </w:rPr>
        <w:t xml:space="preserve">قصّة قوم لوط في القرآن والسنّة تقدّم رؤية جامعة: تحريم الفعل تحريمًا قاطعًا لا لبس فيه، وفهم الفعل بوصفه خروجًا عن الفطرة، وربطه بشبكة من الانهيار الأخلاقي العامّ، وعقوبة إلهية رادعة، وأحكام فقهية صارمة من حيث المبدأ مع شروط إثبات صعبة من حيث التطبيق. وفي الوقت نفسه، يظلّ الباب مفتوحًا للتوبة والرحمة بمن يجاهد نفسه. والله أعلم.</w:t>
      </w:r>
    </w:p>
    <w:p>
      <w:r>
        <w:br w:type="page"/>
      </w:r>
    </w:p>
    <w:p>
      <w:pPr>
        <w:bidi/>
        <w:spacing w:after="360" w:before="600"/>
        <w:jc w:val="center"/>
      </w:pPr>
      <w:r>
        <w:rPr>
          <w:b/>
          <w:bCs/>
          <w:color w:val="1B3A5C"/>
          <w:sz w:val="36"/>
          <w:szCs w:val="36"/>
          <w:rtl/>
        </w:rPr>
        <w:t xml:space="preserve">الفصل الرابع: العصور الوسطى والحديثة المبكرة</w:t>
      </w:r>
    </w:p>
    <w:p>
      <w:pPr>
        <w:bidi/>
        <w:spacing w:after="160"/>
        <w:jc w:val="start"/>
      </w:pPr>
      <w:r>
        <w:rPr>
          <w:sz w:val="24"/>
          <w:szCs w:val="24"/>
          <w:rtl/>
        </w:rPr>
        <w:t xml:space="preserve">﴿وَلَا تَقْرَبُوا الْفَوَاحِشَ مَا ظَهَرَ مِنْهَا وَمَا بَطَنَ﴾ (الأنعام: 151)</w:t>
      </w:r>
    </w:p>
    <w:p>
      <w:pPr>
        <w:bidi/>
        <w:spacing w:after="160"/>
        <w:jc w:val="start"/>
      </w:pPr>
      <w:r>
        <w:rPr>
          <w:sz w:val="24"/>
          <w:szCs w:val="24"/>
          <w:rtl/>
        </w:rPr>
        <w:t xml:space="preserve">## أوروبا المسيحية: من القانون الروماني إلى القانون الكنسي</w:t>
      </w:r>
    </w:p>
    <w:p>
      <w:pPr>
        <w:bidi/>
        <w:spacing w:after="160"/>
        <w:jc w:val="start"/>
      </w:pPr>
      <w:r>
        <w:rPr>
          <w:sz w:val="24"/>
          <w:szCs w:val="24"/>
          <w:rtl/>
        </w:rPr>
        <w:t xml:space="preserve">ورثت أوروبا في العصور الوسطى منظومة قانونية مزدوجة: القانون الروماني المتأخّر (الذي تأثّر بالمسيحية)، والقانون الكنسي (Canon Law) الذي طوّرته الكنيسة الكاثوليكية. وقد أرسى الإمبراطور يوستينيان في «المدوّنة» (529–534م) تجريم اللواط، ووصفه في تشريعاته بأنّه سبب للزلازل والكوارث الطبيعية، استنادًا إلى تفسير ديني لقصة سدوم وعمورة. وقد ظلّ هذا التشريع مرجعًا لقرون.</w:t>
      </w:r>
    </w:p>
    <w:p>
      <w:pPr>
        <w:bidi/>
        <w:spacing w:after="160"/>
        <w:jc w:val="start"/>
      </w:pPr>
      <w:r>
        <w:rPr>
          <w:sz w:val="24"/>
          <w:szCs w:val="24"/>
          <w:rtl/>
        </w:rPr>
        <w:t xml:space="preserve">في القرن الثالث عشر، صنّف الفيلسوف توما الأكويني (Thomas Aquinas) في «الخلاصة اللاهوتية» (Summa Theologiae) الأفعال الجنسية إلى مراتب، وعدّ اللواط من «الفواحش ضدّ الطبيعة» (peccata contra naturam) باعتباره مخالفًا للغاية البشرية المدمجة في الخلق. وقد كان هذا التصنيف مؤثّرًا في الفقه الكنسي طوال العصور الوسطى.</w:t>
      </w:r>
    </w:p>
    <w:p>
      <w:pPr>
        <w:bidi/>
        <w:spacing w:after="160"/>
        <w:jc w:val="start"/>
      </w:pPr>
      <w:r>
        <w:rPr>
          <w:sz w:val="24"/>
          <w:szCs w:val="24"/>
          <w:rtl/>
        </w:rPr>
        <w:t xml:space="preserve">ومن الناحية القانونية الزمنية، فرضت ممالك أوروبا عقوبات صارمة. ففي إنجلترا أصدر الملك هنري الثامن قانون «Buggery Act» سنة 1533 الذي جعل اللواط جريمة عقوبتها الإعدام، وظلّ هذا القانون نافذًا — وإن خفّف الإعدام لاحقًا — حتّى قانون الجرائم ضدّ الشخص (1861)، ولم تُلغَ تجريم العلاقات المثلية البالغة بالتراضي في إنجلترا وويلز إلا بقانون «Sexual Offences Act» سنة 1967، أي قبل أقلّ من ستّين عامًا فقط.</w:t>
      </w:r>
    </w:p>
    <w:p>
      <w:pPr>
        <w:bidi/>
        <w:spacing w:after="160"/>
        <w:jc w:val="start"/>
      </w:pPr>
      <w:r>
        <w:rPr>
          <w:sz w:val="24"/>
          <w:szCs w:val="24"/>
          <w:rtl/>
        </w:rPr>
        <w:t xml:space="preserve">وفي إسبانيا، شدّدت محاكم التفتيش على ملاحقة من اتُّهموا بهذا الفعل، خصوصًا في قشتالة وأراغون. وفي فرنسا، ظلّ القانون الفرنسي يُجرّم الفعل حتّى الثورة الفرنسية، وقد حذف نابليون التجريم في قانونه (Code Napoléon, 1810) كجزء من علمنته للقانون، وانتقلت هذه السياسة إلى دول كثيرة تأثّرت بالقانون النابليوني.</w:t>
      </w:r>
    </w:p>
    <w:p>
      <w:pPr>
        <w:bidi/>
        <w:spacing w:after="160"/>
        <w:jc w:val="start"/>
      </w:pPr>
      <w:r>
        <w:rPr>
          <w:sz w:val="24"/>
          <w:szCs w:val="24"/>
          <w:rtl/>
        </w:rPr>
        <w:t xml:space="preserve">## الحضارة الإسلامية: التشريع والممارسة</w:t>
      </w:r>
    </w:p>
    <w:p>
      <w:pPr>
        <w:bidi/>
        <w:spacing w:after="160"/>
        <w:jc w:val="start"/>
      </w:pPr>
      <w:r>
        <w:rPr>
          <w:sz w:val="24"/>
          <w:szCs w:val="24"/>
          <w:rtl/>
        </w:rPr>
        <w:t xml:space="preserve">من المهمّ التمييز هنا بين أمرين: التشريع الإسلامي (الفقه)، والممارسة الاجتماعية الفعلية (التاريخ). فمن جهة التشريع، حافظت المذاهب الإسلامية على تحريم اللواط بإجماع، كما بيّنا في الفصل السابق، وكانت العقوبات المنصوص عليها صارمة جدًا في النظرية. ومن جهة الممارسة، فإنّ الواقع التاريخي للحضارة الإسلامية يُظهر صورة أكثر تعقيدًا.</w:t>
      </w:r>
    </w:p>
    <w:p>
      <w:pPr>
        <w:bidi/>
        <w:spacing w:after="160"/>
        <w:jc w:val="start"/>
      </w:pPr>
      <w:r>
        <w:rPr>
          <w:sz w:val="24"/>
          <w:szCs w:val="24"/>
          <w:rtl/>
        </w:rPr>
        <w:t xml:space="preserve">أوّلًا، إنّ شروط الإثبات الفقهية (أربعة شهود يرون الفعل رؤية تامّة) جعلت تطبيق الحدّ نادرًا للغاية في التاريخ الإسلامي، بحيث يُحصى عدد الحالات الموثّقة بالعقد. وكان المقصود الأساسي من العقوبة الردعَ والوقاية، لا الإيقاع.</w:t>
      </w:r>
    </w:p>
    <w:p>
      <w:pPr>
        <w:bidi/>
        <w:spacing w:after="160"/>
        <w:jc w:val="start"/>
      </w:pPr>
      <w:r>
        <w:rPr>
          <w:sz w:val="24"/>
          <w:szCs w:val="24"/>
          <w:rtl/>
        </w:rPr>
        <w:t xml:space="preserve">ثانيًا، شهد التاريخ الأدبي الإسلامي — ولا سيما في العصر العبّاسي والعصور التركية والمغولية — ظاهرة شعرية تُعرف بشعر «الغزل المذكّر»، إذ كان بعض الشعراء يخاطبون المحبوب بصيغة المذكّر. ولكنّ تحليل هذه الظاهرة أعقد ممّا يتصوّره القارئ السطحي. فقد ذهب جمهور الباحثين الجادّين كفرانز روزنتال وغيره إلى أنّ كثيرًا من هذا الشعر كان يستخدم صيغة المذكّر إمّا لأسباب أدبية تقليدية، أو لإخفاء هوية المحبوبة الأنثى لأسباب اجتماعية، أو في إطار الغزل المثلي بمعناه السلوكي مع وصمة اجتماعية مرافقة. والمهمّ أنّ وجود هذا الشعر لا يعني قبولًا اجتماعيًا أو فقهيًا، بل كان دائمًا في توتّر مع الموقف الشرعي.</w:t>
      </w:r>
    </w:p>
    <w:p>
      <w:pPr>
        <w:bidi/>
        <w:spacing w:after="160"/>
        <w:jc w:val="start"/>
      </w:pPr>
      <w:r>
        <w:rPr>
          <w:sz w:val="24"/>
          <w:szCs w:val="24"/>
          <w:rtl/>
        </w:rPr>
        <w:t xml:space="preserve">ثالثًا، عرف التاريخ الإسلامي ظاهرة «الغلمان» في بعض البلاطات الحاكمة، خصوصًا في فترات الترف والانحلال، وقد أنكر العلماء والمحتسبون هذه الممارسات وأنكروها على الحكّام، كما نجد في كتابات ابن الجوزي وابن تيمية وغيرهم. فحضور الظاهرة لا يعني شرعنتها، تمامًا كما أنّ وجود السرقة في كلّ مجتمع لا يعني قبول الإسلام لها.</w:t>
      </w:r>
    </w:p>
    <w:p>
      <w:pPr>
        <w:bidi/>
        <w:spacing w:after="160"/>
        <w:jc w:val="start"/>
      </w:pPr>
      <w:r>
        <w:rPr>
          <w:sz w:val="24"/>
          <w:szCs w:val="24"/>
          <w:rtl/>
        </w:rPr>
        <w:t xml:space="preserve">رابعًا، وفي الحضارة الأندلسية، ظهر شعراء مثل ابن قزمان وغيره خاضوا في موضوعات مماثلة، لكنّ المؤرّخين المسلمين عاملوا هذه الكتابات في إطار النقد الأخلاقي لا الاحتفاء.</w:t>
      </w:r>
    </w:p>
    <w:p>
      <w:pPr>
        <w:bidi/>
        <w:spacing w:after="160"/>
        <w:jc w:val="start"/>
      </w:pPr>
      <w:r>
        <w:rPr>
          <w:sz w:val="24"/>
          <w:szCs w:val="24"/>
          <w:rtl/>
        </w:rPr>
        <w:t xml:space="preserve">ولا بدّ هنا من تصحيح فكرة شائعة في الكتابات الغربية عن «التسامح الإسلامي» مع المثلية. هذه الفكرة تخلط بين أمرين: ضعف التطبيق الحدّي (وهو حقيقة مرتبطة بشروط الإثبات)، وبين القبول الاجتماعي والشرعي (الذي لم يحصل قطّ في أيّ عصر إسلامي رسمي). والمؤرّخ كَيث الراوي (Khaled El-Rouayheb) في كتابه «قبل المثلية في العالم العربي الإسلامي 1500–1800» (2005) قدّم دراسة معمّقة بيّن فيها أنّ الحضارة العربية الإسلامية في تلك الفترة كانت تعرف الفعل ضمن نطاق محدود، لكنّها لم تعرف الهوية المثلية بمعناها الحديث، ولم تشرّع لأيّ علاقة مماثلة لما يُعرف اليوم بالزواج المثلي.</w:t>
      </w:r>
    </w:p>
    <w:p>
      <w:pPr>
        <w:bidi/>
        <w:spacing w:after="160"/>
        <w:jc w:val="start"/>
      </w:pPr>
      <w:r>
        <w:rPr>
          <w:sz w:val="24"/>
          <w:szCs w:val="24"/>
          <w:rtl/>
        </w:rPr>
        <w:t xml:space="preserve">## آسيا قبل الاستعمار</w:t>
      </w:r>
    </w:p>
    <w:p>
      <w:pPr>
        <w:bidi/>
        <w:spacing w:after="160"/>
        <w:jc w:val="start"/>
      </w:pPr>
      <w:r>
        <w:rPr>
          <w:sz w:val="24"/>
          <w:szCs w:val="24"/>
          <w:rtl/>
        </w:rPr>
        <w:t xml:space="preserve">في الهند، عرفت بعض النصوص القديمة (مثل «كاما سوترا») إشارات إلى ممارسات متنوّعة، لكنّ النظام الاجتماعي الهندوسي العامّ كان مبنيًا على نظام الكاست والدُّهَرما، وكان الزواج التقليدي والإنجاب أساس النظام الاجتماعي. وفي الإسلام الهندي، طبّق الفقه الإسلامي الكلاسيكي.</w:t>
      </w:r>
    </w:p>
    <w:p>
      <w:pPr>
        <w:bidi/>
        <w:spacing w:after="160"/>
        <w:jc w:val="start"/>
      </w:pPr>
      <w:r>
        <w:rPr>
          <w:sz w:val="24"/>
          <w:szCs w:val="24"/>
          <w:rtl/>
        </w:rPr>
        <w:t xml:space="preserve">في الصين، استمرّت الكونفوشيوسية في توجيه الأخلاق العامّة، وإن تساهل بعض الأباطرة في حياتهم الخاصّة، فإنّ الفلسفة الرسمية ظلّت تشدّد على الزواج وإنجاب الأبناء كواجب اجتماعي.</w:t>
      </w:r>
    </w:p>
    <w:p>
      <w:pPr>
        <w:bidi/>
        <w:spacing w:after="160"/>
        <w:jc w:val="start"/>
      </w:pPr>
      <w:r>
        <w:rPr>
          <w:sz w:val="24"/>
          <w:szCs w:val="24"/>
          <w:rtl/>
        </w:rPr>
        <w:t xml:space="preserve">في اليابان، استمرّت ظاهرة «شودو» في الطبقات الساموراية والديريّة الذكورية، وكانت هذه الظاهرة محكومة بقواعد طقسية صارمة وبسياقات تربوية وعسكرية محدّدة. ومع تأثّر اليابان بالحضارة الغربية في عصر ميجي، استوردت اليابان قوانين تجريمية غربية، ثمّ عادت لإلغاء التجريم لاحقًا.</w:t>
      </w:r>
    </w:p>
    <w:p>
      <w:pPr>
        <w:bidi/>
        <w:spacing w:after="160"/>
        <w:jc w:val="start"/>
      </w:pPr>
      <w:r>
        <w:rPr>
          <w:sz w:val="24"/>
          <w:szCs w:val="24"/>
          <w:rtl/>
        </w:rPr>
        <w:t xml:space="preserve">## الأمريكتان قبل الاستعمار</w:t>
      </w:r>
    </w:p>
    <w:p>
      <w:pPr>
        <w:bidi/>
        <w:spacing w:after="160"/>
        <w:jc w:val="start"/>
      </w:pPr>
      <w:r>
        <w:rPr>
          <w:sz w:val="24"/>
          <w:szCs w:val="24"/>
          <w:rtl/>
        </w:rPr>
        <w:t xml:space="preserve">كان لدى بعض القبائل الأصلية في الأمريكتين تصوّرات لا تنطبق عليها التصنيفات الغربية الحديثة، ومنها فكرة «الأرواح الذكورية الأنثوية» (Two-Spirit) التي ظهرت في بعض الثقافات الأصلية. لكنّ هذا التصوّر يختلف اختلافًا كبيرًا عن المثلية المعاصرة، إذ كان يتعلّق بأدوار طقسية وروحية محدّدة في إطار قبلي ضيّق، ولا يمكن استدعاؤه مقارنةً بالحركة المعاصرة دون انتزاعه من سياقه.</w:t>
      </w:r>
    </w:p>
    <w:p>
      <w:pPr>
        <w:bidi/>
        <w:spacing w:after="160"/>
        <w:jc w:val="start"/>
      </w:pPr>
      <w:r>
        <w:rPr>
          <w:sz w:val="24"/>
          <w:szCs w:val="24"/>
          <w:rtl/>
        </w:rPr>
        <w:t xml:space="preserve">## التصدير الاستعماري للقوانين البريطانية</w:t>
      </w:r>
    </w:p>
    <w:p>
      <w:pPr>
        <w:bidi/>
        <w:spacing w:after="160"/>
        <w:jc w:val="start"/>
      </w:pPr>
      <w:r>
        <w:rPr>
          <w:sz w:val="24"/>
          <w:szCs w:val="24"/>
          <w:rtl/>
        </w:rPr>
        <w:t xml:space="preserve">من أهمّ المفارقات التاريخية أنّ كثيرًا من القوانين المعاصرة في دول الجنوب العالمي التي تُجرّم العلاقات المثلية ليست قوانين «أصيلة» لتلك الدول، بل هي ميراث استعماري بريطاني. فالمادّة 377 من قانون العقوبات الهندي (سنّها البريطانيون في 1860 وفقًا لتوصية ماكولاي) جرّمت «العلاقات الجسدية ضدّ الطبيعة»، وقد فرضها البريطانيون على الهند وباكستان وبنغلاديش وميانمار وسنغافورة وماليزيا وبروناي وكينيا وأوغندا ونيجيريا وسائر مستعمراتهم. وقد ألغت الهند هذه المادّة في حكم محكمتها العليا سنة 2018.</w:t>
      </w:r>
    </w:p>
    <w:p>
      <w:pPr>
        <w:bidi/>
        <w:spacing w:after="160"/>
        <w:jc w:val="start"/>
      </w:pPr>
      <w:r>
        <w:rPr>
          <w:sz w:val="24"/>
          <w:szCs w:val="24"/>
          <w:rtl/>
        </w:rPr>
        <w:t xml:space="preserve">والنقطة هنا ليست تبرير المثلية، بل التنبيه إلى أنّ تجريمها بصيغته المعاصرة في كثير من الدول هو في الأصل تشريع كنسي بريطاني فيكتوري، وليس بالضرورة تشريعًا إسلاميًا أصيلًا، وإن وافق الإسلام على المبدأ من حيث الجملة. وهذا يفتح بابًا للتفكير في كيفية صياغة القوانين الإسلامية في الدول الإسلامية بطريقة تنبع من تراثها الفقهي مباشرة، لا من ميراث استعماري غربي.</w:t>
      </w:r>
    </w:p>
    <w:p>
      <w:pPr>
        <w:bidi/>
        <w:spacing w:after="160"/>
        <w:jc w:val="start"/>
      </w:pPr>
      <w:r>
        <w:rPr>
          <w:sz w:val="24"/>
          <w:szCs w:val="24"/>
          <w:rtl/>
        </w:rPr>
        <w:t xml:space="preserve">## خلاصة الفصل</w:t>
      </w:r>
    </w:p>
    <w:p>
      <w:pPr>
        <w:bidi/>
        <w:spacing w:after="160"/>
        <w:jc w:val="start"/>
      </w:pPr>
      <w:r>
        <w:rPr>
          <w:sz w:val="24"/>
          <w:szCs w:val="24"/>
          <w:rtl/>
        </w:rPr>
        <w:t xml:space="preserve">العصور الوسطى والحديثة المبكرة شهدت ثلاث قوى متفاعلة: التشريع الديني (المسيحي والإسلامي) الذي حرّم الفعل بإجماع، والممارسة الاجتماعية الفعلية التي تنوّعت بين الالتزام والانحراف، والقوانين الزمنية التي شدّدت العقوبات مع صعوبة تطبيقها. وحين جاءت الحداثة الغربية في القرن التاسع عشر، فعلت أمرين متناقضين: صدّرت قوانين تجريمية لمستعمراتها، ثمّ بدأت في الوقت نفسه عملية إعادة تعريف للموضوع برمّته في إطار «العلم» و«الحقوق»، كما سنرى في الفصل التالي. والله أعلم.</w:t>
      </w:r>
    </w:p>
    <w:p>
      <w:r>
        <w:br w:type="page"/>
      </w:r>
    </w:p>
    <w:p>
      <w:pPr>
        <w:bidi/>
        <w:spacing w:after="360" w:before="600"/>
        <w:jc w:val="center"/>
      </w:pPr>
      <w:r>
        <w:rPr>
          <w:b/>
          <w:bCs/>
          <w:color w:val="1B3A5C"/>
          <w:sz w:val="36"/>
          <w:szCs w:val="36"/>
          <w:rtl/>
        </w:rPr>
        <w:t xml:space="preserve">الفصل الخامس: القرن التاسع عشر — ولادة المفهوم الحديث</w:t>
      </w:r>
    </w:p>
    <w:p>
      <w:pPr>
        <w:bidi/>
        <w:spacing w:after="160"/>
        <w:jc w:val="start"/>
      </w:pPr>
      <w:r>
        <w:rPr>
          <w:sz w:val="24"/>
          <w:szCs w:val="24"/>
          <w:rtl/>
        </w:rPr>
        <w:t xml:space="preserve">﴿وَفِي أَنفُسِكُمْ ۚ أَفَلَا تُبْصِرُونَ﴾ (الذاريات: 21)</w:t>
      </w:r>
    </w:p>
    <w:p>
      <w:pPr>
        <w:bidi/>
        <w:spacing w:after="160"/>
        <w:jc w:val="start"/>
      </w:pPr>
      <w:r>
        <w:rPr>
          <w:sz w:val="24"/>
          <w:szCs w:val="24"/>
          <w:rtl/>
        </w:rPr>
        <w:t xml:space="preserve">## السياق العامّ: ميلاد العلوم الإنسانية</w:t>
      </w:r>
    </w:p>
    <w:p>
      <w:pPr>
        <w:bidi/>
        <w:spacing w:after="160"/>
        <w:jc w:val="start"/>
      </w:pPr>
      <w:r>
        <w:rPr>
          <w:sz w:val="24"/>
          <w:szCs w:val="24"/>
          <w:rtl/>
        </w:rPr>
        <w:t xml:space="preserve">شهد القرن التاسع عشر تحوّلاً ضخمًا في الفكر الأوروبي. فبعد أن كانت السلوكيات الجنسية تُفهم في الإطار الديني الكلاسيكي بوصفها فضائل ورذائل أخلاقية، بدأ العلم الناشئ — خصوصًا الطبّ النفسي والجنساني — في إعادة تصنيفها بوصفها ظواهر «طبيعية» تُدرس كما تُدرس الأمراض والاضطرابات. هذا الانتقال من الإطار الأخلاقي إلى الإطار الطبّي كان نقلةً مفهومية بالغة الأهمّية، وقد مهّد الطريق لكلّ ما تلاه من تحوّلات.</w:t>
      </w:r>
    </w:p>
    <w:p>
      <w:pPr>
        <w:bidi/>
        <w:spacing w:after="160"/>
        <w:jc w:val="start"/>
      </w:pPr>
      <w:r>
        <w:rPr>
          <w:sz w:val="24"/>
          <w:szCs w:val="24"/>
          <w:rtl/>
        </w:rPr>
        <w:t xml:space="preserve">في هذا السياق، كان من الضروري للعلم الجديد أن يبتدع مصطلحات جديدة لما كان قبل ذلك يُسمَّى بأسماء أخلاقية أو دينية. وهنا وُلد مصطلح «المثلية الجنسية» (Homosexualität بالألمانية).</w:t>
      </w:r>
    </w:p>
    <w:p>
      <w:pPr>
        <w:bidi/>
        <w:spacing w:after="160"/>
        <w:jc w:val="start"/>
      </w:pPr>
      <w:r>
        <w:rPr>
          <w:sz w:val="24"/>
          <w:szCs w:val="24"/>
          <w:rtl/>
        </w:rPr>
        <w:t xml:space="preserve">## كارل ماريا كرتبني وصياغة المصطلح (1869)</w:t>
      </w:r>
    </w:p>
    <w:p>
      <w:pPr>
        <w:bidi/>
        <w:spacing w:after="160"/>
        <w:jc w:val="start"/>
      </w:pPr>
      <w:r>
        <w:rPr>
          <w:sz w:val="24"/>
          <w:szCs w:val="24"/>
          <w:rtl/>
        </w:rPr>
        <w:t xml:space="preserve">في سنة 1869، نشر الكاتب النمساوي-المجري كارل ماريا كِرْتبني (Karl-Maria Kertbeny) في برلين كرّاسًا مكتوبًا بالألمانية، يعارض فيه قانون الإمبراطورية الألمانية الجديد المعروف بـ«المادّة 175» الذي كان يُجرّم العلاقات بين الذكور. وفي هذا الكرّاس، صاغ كِرْتبني للمرّة الأولى مصطلحَي «Homosexual» (مثلي) و«Heterosexual» (مغاير). وكان هدفه أمرًا مزدوجًا: من جهة، إدخال المصطلح إلى الخطاب العامّ بمعزل عن دلالته الأخلاقية الكلاسيكية؛ ومن جهة أخرى، الحجاج بأنّ السلوك الذي يصفه ليس جريمة بل سمة طبيعية لبعض الأفراد لا تستحقّ التجريم.</w:t>
      </w:r>
    </w:p>
    <w:p>
      <w:pPr>
        <w:bidi/>
        <w:spacing w:after="160"/>
        <w:jc w:val="start"/>
      </w:pPr>
      <w:r>
        <w:rPr>
          <w:sz w:val="24"/>
          <w:szCs w:val="24"/>
          <w:rtl/>
        </w:rPr>
        <w:t xml:space="preserve">ومن المهمّ أن يلاحظ القارئ أنّ صياغة المصطلح لم تكن صياغة علمية محايدة، بل كانت صياغة سياسية حقوقية منذ البداية. كِرْتبني نفسه، حسب الدراسات التاريخية المعاصرة، كان ناشطًا حقوقيًا أوّلَ ما كان، ولم يكن طبيبًا. لكنّ المصطلح الذي صاغه انتقل بسرعة إلى الكتابات الطبّية، وهناك اكتسب طابعًا «علميًا».</w:t>
      </w:r>
    </w:p>
    <w:p>
      <w:pPr>
        <w:bidi/>
        <w:spacing w:after="160"/>
        <w:jc w:val="start"/>
      </w:pPr>
      <w:r>
        <w:rPr>
          <w:sz w:val="24"/>
          <w:szCs w:val="24"/>
          <w:rtl/>
        </w:rPr>
        <w:t xml:space="preserve">## أصل المصطلح وتوسّعه</w:t>
      </w:r>
    </w:p>
    <w:p>
      <w:pPr>
        <w:bidi/>
        <w:spacing w:after="160"/>
        <w:jc w:val="start"/>
      </w:pPr>
      <w:r>
        <w:rPr>
          <w:sz w:val="24"/>
          <w:szCs w:val="24"/>
          <w:rtl/>
        </w:rPr>
        <w:t xml:space="preserve">اعتمد كِرْتبني وكتّاب آخرون مصطلحات يونانية: «homo» (مثيل/نفس) و«hetero» (مختلف). والأمر اللافت هو أنّ هذه المصطلحات كانت تُختلق تركيبًا، إذ لم تكن «homosexuality» كلمة يونانية أصيلة، بل تركيبًا حديثًا جمع جذرًا يونانيًا (homo) بجذر لاتيني (sexus). وقد لاحظ بعض اللغويين أنّ الكلمة نفسها مزيج هجين، ولها دلالة سياسية أكبر من دلالتها العلمية.</w:t>
      </w:r>
    </w:p>
    <w:p>
      <w:pPr>
        <w:bidi/>
        <w:spacing w:after="160"/>
        <w:jc w:val="start"/>
      </w:pPr>
      <w:r>
        <w:rPr>
          <w:sz w:val="24"/>
          <w:szCs w:val="24"/>
          <w:rtl/>
        </w:rPr>
        <w:t xml:space="preserve">وقد دخل المصطلح بشكل واسع إلى الخطاب الطبّي حين تبنّاه الطبيب النفسي النمساوي ريتشارد فون كرافت-إيبنغ (Richard von Krafft-Ebing) في كتابه الشهير «Psychopathia Sexualis» سنة 1886. وقد اعتبر كرافت-إيبنغ المثلية «انحرافًا» (Perversion) وعدّها من الاضطرابات النفسية، لكنّه — على غرار كِرْتبني — جادل بأنّها ظاهرة «طبيعية» في طبقات صغيرة من البشر، وليست خيارًا واعيًا.</w:t>
      </w:r>
    </w:p>
    <w:p>
      <w:pPr>
        <w:bidi/>
        <w:spacing w:after="160"/>
        <w:jc w:val="start"/>
      </w:pPr>
      <w:r>
        <w:rPr>
          <w:sz w:val="24"/>
          <w:szCs w:val="24"/>
          <w:rtl/>
        </w:rPr>
        <w:t xml:space="preserve">## ريتشارد فون كرافت-إيبنغ ومدرسة الطبّ النفسي</w:t>
      </w:r>
    </w:p>
    <w:p>
      <w:pPr>
        <w:bidi/>
        <w:spacing w:after="160"/>
        <w:jc w:val="start"/>
      </w:pPr>
      <w:r>
        <w:rPr>
          <w:sz w:val="24"/>
          <w:szCs w:val="24"/>
          <w:rtl/>
        </w:rPr>
        <w:t xml:space="preserve">كان كتاب «Psychopathia Sexualis» (1886) أوّل عمل علمي شامل في هذا المجال، طُبع منه أكثر من اثنتي عشرة طبعة في حياة المؤلّف. وقد صنّف فيه كرافت-إيبنغ السلوكيات الجنسية «الشاذّة» إلى تصنيفات: الانحراف (Perversion)، والشذوذ (Inversion)، وغير ذلك. وأدخل في تصنيفاته السادية والمازوخية وغيرها من المصطلحات التي صارت اليوم مألوفة.</w:t>
      </w:r>
    </w:p>
    <w:p>
      <w:pPr>
        <w:bidi/>
        <w:spacing w:after="160"/>
        <w:jc w:val="start"/>
      </w:pPr>
      <w:r>
        <w:rPr>
          <w:sz w:val="24"/>
          <w:szCs w:val="24"/>
          <w:rtl/>
        </w:rPr>
        <w:t xml:space="preserve">والمفارقة أنّ كرافت-إيبنغ، بصفته طبيبًا، كان يَعدّ المثلية مرضًا، لكنّه كان أيضًا من أوائل من جادلوا بأنّ المرضى لا يستحقّون السجن، بل العلاج والشفقة. وهذه الازدواجية — اعتبار المثلية مرضًا مع المطالبة بإلغاء التجريم — هيمنت على الخطاب الأوروبي طوال نصف قرن.</w:t>
      </w:r>
    </w:p>
    <w:p>
      <w:pPr>
        <w:bidi/>
        <w:spacing w:after="160"/>
        <w:jc w:val="start"/>
      </w:pPr>
      <w:r>
        <w:rPr>
          <w:sz w:val="24"/>
          <w:szCs w:val="24"/>
          <w:rtl/>
        </w:rPr>
        <w:t xml:space="preserve">## كارل هاينريش أولريش والنشاط الحقوقي المبكر</w:t>
      </w:r>
    </w:p>
    <w:p>
      <w:pPr>
        <w:bidi/>
        <w:spacing w:after="160"/>
        <w:jc w:val="start"/>
      </w:pPr>
      <w:r>
        <w:rPr>
          <w:sz w:val="24"/>
          <w:szCs w:val="24"/>
          <w:rtl/>
        </w:rPr>
        <w:t xml:space="preserve">سبق كِرْتبني في النشاط الحقوقي المحامي الألماني كارل هاينريش أولريش (Karl Heinrich Ulrichs)، الذي بدأ منذ الستينيات في الترويج لنظرية «الأرواح الأنثوية في أجساد ذكورية» (Urning) لتفسير الميل المثلي عند الرجال. وقد ألقى أولريش خطابًا شهيرًا أمام مؤتمر الحقوقيين الألمان سنة 1867 يطالب فيه بإلغاء قوانين تجريم العلاقات المثلية، وهو خطاب يُعدّ من أوائل المحاولات العلنية لذلك.</w:t>
      </w:r>
    </w:p>
    <w:p>
      <w:pPr>
        <w:bidi/>
        <w:spacing w:after="160"/>
        <w:jc w:val="start"/>
      </w:pPr>
      <w:r>
        <w:rPr>
          <w:sz w:val="24"/>
          <w:szCs w:val="24"/>
          <w:rtl/>
        </w:rPr>
        <w:t xml:space="preserve">ونظرية أولريش (ميل المرأة محبوسة في جسد ذكر) كانت محاولة مبكّرة لتقديم تفسير «طبيعي» للظاهرة، يتجاوز الإطار الأخلاقي. وقد أسّست هذه النظرية لما يُعرف اليوم بـ«النموذج الفطري» (Innate Model)، الذي ما زال يُحاجج به أنصار الحركة المعاصرة.</w:t>
      </w:r>
    </w:p>
    <w:p>
      <w:pPr>
        <w:bidi/>
        <w:spacing w:after="160"/>
        <w:jc w:val="start"/>
      </w:pPr>
      <w:r>
        <w:rPr>
          <w:sz w:val="24"/>
          <w:szCs w:val="24"/>
          <w:rtl/>
        </w:rPr>
        <w:t xml:space="preserve">## سيغموند فرويد: تطوّر الموقف</w:t>
      </w:r>
    </w:p>
    <w:p>
      <w:pPr>
        <w:bidi/>
        <w:spacing w:after="160"/>
        <w:jc w:val="start"/>
      </w:pPr>
      <w:r>
        <w:rPr>
          <w:sz w:val="24"/>
          <w:szCs w:val="24"/>
          <w:rtl/>
        </w:rPr>
        <w:t xml:space="preserve">أمّا سيغموند فرويد (1856–1939) فقد قدّم رؤية أكثر تعقيدًا. في «ثلاث مقالات في نظرية الجنسانية» (Three Essays on the Theory of Sexuality, 1905) رأى فرويد أنّ كلّ إنسان يولد مزدوج الميل (Polymorphous Perverse)، وأنّ النموّ الطبيعي يقود في الغالب إلى الميل المغاير، لكنّ بعض المسارات النفسية تؤدّي إلى تثبيت الميل المثلي. ولم يَعدّ فرويد المثلية «مرضًا» بالمعنى الكلاسيكي، بل اعتبرها نتيجة للتطوّر النفسي — وقد كتب رسالةً شهيرة سنة 1935 إلى أمّ شابّ مثلي تطمئنها بأنّ ابنها ليس مريضًا وأنّه ليس ضرورة في تغييره.</w:t>
      </w:r>
    </w:p>
    <w:p>
      <w:pPr>
        <w:bidi/>
        <w:spacing w:after="160"/>
        <w:jc w:val="start"/>
      </w:pPr>
      <w:r>
        <w:rPr>
          <w:sz w:val="24"/>
          <w:szCs w:val="24"/>
          <w:rtl/>
        </w:rPr>
        <w:t xml:space="preserve">ومع ذلك، فإنّ مدرسة التحليل النفسي بعد وفاة فرويد — خصوصًا في الولايات المتحدة — تشدّدت أكثر في اعتبار المثلية اضطرابًا قابلًا للعلاج، وهو ما سيتغيّر بشكل دراماتيكي في 1973 كما سنرى لاحقًا.</w:t>
      </w:r>
    </w:p>
    <w:p>
      <w:pPr>
        <w:bidi/>
        <w:spacing w:after="160"/>
        <w:jc w:val="start"/>
      </w:pPr>
      <w:r>
        <w:rPr>
          <w:sz w:val="24"/>
          <w:szCs w:val="24"/>
          <w:rtl/>
        </w:rPr>
        <w:t xml:space="preserve">## ميشيل فوكو وقراءة فلسفية لاحقة</w:t>
      </w:r>
    </w:p>
    <w:p>
      <w:pPr>
        <w:bidi/>
        <w:spacing w:after="160"/>
        <w:jc w:val="start"/>
      </w:pPr>
      <w:r>
        <w:rPr>
          <w:sz w:val="24"/>
          <w:szCs w:val="24"/>
          <w:rtl/>
        </w:rPr>
        <w:t xml:space="preserve">ثمّة مفكّر تأخّر مجيئه (1926–1984)، لكنّ تحليله للقرن التاسع عشر قلب الموازين كلّها. ميشيل فوكو، في كتابه «تاريخ الجنسانية» (Histoire de la sexualité, 1976)، قدّم أطروحة بالغة الأهمّية: أنّ «المثلي» باعتباره نوعًا (a species) من البشر هو اختراع غربي حديث، يعود إلى منتصف القرن التاسع عشر تقريبًا. كتب فوكو عبارته الشهيرة:</w:t>
      </w:r>
    </w:p>
    <w:p>
      <w:pPr>
        <w:bidi/>
        <w:spacing w:after="160"/>
        <w:jc w:val="start"/>
      </w:pPr>
      <w:r>
        <w:rPr>
          <w:sz w:val="24"/>
          <w:szCs w:val="24"/>
          <w:rtl/>
        </w:rPr>
        <w:t xml:space="preserve">«السلوك الذي عرفه التاريخ شيء، أمّا «المثلي» فظهر كنوع جديد، له ماضٍ وتاريخ شخصي وطفولة وجسد ووجه وسلوك حياتي — هذا اختراع القرن التاسع عشر».</w:t>
      </w:r>
    </w:p>
    <w:p>
      <w:pPr>
        <w:bidi/>
        <w:spacing w:after="160"/>
        <w:jc w:val="start"/>
      </w:pPr>
      <w:r>
        <w:rPr>
          <w:sz w:val="24"/>
          <w:szCs w:val="24"/>
          <w:rtl/>
        </w:rPr>
        <w:t xml:space="preserve">والأهمّية البالغة في هذه الأطروحة — التي لا يتوقّف عند مغزاها كثير من القرّاء — أنّ فوكو، وهو الفيلسوف اليساري المعروف، وأحد أكبر المتعاطفين مع الحركة في وقته، يقول بصراحة: المثلية كهوية ليست حقيقة طبيعية كامنة في الإنسان دائمًا، بل هي بناء ثقافي وتاريخي. وهذه نقطة سنرجع إليها كثيرًا في هذا الكتاب، لأنّها تعطي حجّةً قويّة لمن يجادل بأنّ ما تطرحه الحركة المعاصرة بوصفه «طبيعةً ثابتة» هو في الواقع بناء اجتماعي حديث يمكن تفكيكه ودراسته نقديًا.</w:t>
      </w:r>
    </w:p>
    <w:p>
      <w:pPr>
        <w:bidi/>
        <w:spacing w:after="160"/>
        <w:jc w:val="start"/>
      </w:pPr>
      <w:r>
        <w:rPr>
          <w:sz w:val="24"/>
          <w:szCs w:val="24"/>
          <w:rtl/>
        </w:rPr>
        <w:t xml:space="preserve">## الانتقال من المرض إلى الحقّ</w:t>
      </w:r>
    </w:p>
    <w:p>
      <w:pPr>
        <w:bidi/>
        <w:spacing w:after="160"/>
        <w:jc w:val="start"/>
      </w:pPr>
      <w:r>
        <w:rPr>
          <w:sz w:val="24"/>
          <w:szCs w:val="24"/>
          <w:rtl/>
        </w:rPr>
        <w:t xml:space="preserve">وعلى هذا، يمكن القول إنّ القرن التاسع عشر شهد تحوّلًا مزدوجًا:</w:t>
      </w:r>
    </w:p>
    <w:p>
      <w:pPr>
        <w:bidi/>
        <w:spacing w:after="160"/>
        <w:jc w:val="start"/>
      </w:pPr>
      <w:r>
        <w:rPr>
          <w:sz w:val="24"/>
          <w:szCs w:val="24"/>
          <w:rtl/>
        </w:rPr>
        <w:t xml:space="preserve">- **من الذنب إلى المرض**: انتقلت المثلية من فئة الإثم الديني إلى فئة الاضطراب الطبّي. - **من المرض إلى الحقّ**: بدأت بذور الحركة الحقوقية تظهر مع كِرْتبني وأولريش، رغم أنّ الانتقال الكامل لم يكتمل إلا في القرن العشرين.</w:t>
      </w:r>
    </w:p>
    <w:p>
      <w:pPr>
        <w:bidi/>
        <w:spacing w:after="160"/>
        <w:jc w:val="start"/>
      </w:pPr>
      <w:r>
        <w:rPr>
          <w:sz w:val="24"/>
          <w:szCs w:val="24"/>
          <w:rtl/>
        </w:rPr>
        <w:t xml:space="preserve">وكلا التحوّلين كانا تحوّلات في المفاهيم لا في «الواقع» نفسه. فالسلوك ظلّ كما هو، لكنّ الإطار الذي يُقرأ فيه هذا السلوك تغيّر تغيّرًا جذريًا، ومعه تغيّرت السياسات والقوانين والمواقف الاجتماعية تباعًا.</w:t>
      </w:r>
    </w:p>
    <w:p>
      <w:pPr>
        <w:bidi/>
        <w:spacing w:after="160"/>
        <w:jc w:val="start"/>
      </w:pPr>
      <w:r>
        <w:rPr>
          <w:sz w:val="24"/>
          <w:szCs w:val="24"/>
          <w:rtl/>
        </w:rPr>
        <w:t xml:space="preserve">## خلاصة الفصل</w:t>
      </w:r>
    </w:p>
    <w:p>
      <w:pPr>
        <w:bidi/>
        <w:spacing w:after="160"/>
        <w:jc w:val="start"/>
      </w:pPr>
      <w:r>
        <w:rPr>
          <w:sz w:val="24"/>
          <w:szCs w:val="24"/>
          <w:rtl/>
        </w:rPr>
        <w:t xml:space="preserve">القرن التاسع عشر، إذًا، هو القرن الذي وُلد فيه «المثلي» — لا كسلوك (السلوك قديم)، بل كـ«نوع» من البشر له هوية. هذه الولادة المفهومية تمّت في برلين وفيينا، على يد كتّاب وأطبّاء ومحامين كانوا يحاولون نقل النقاش من الإطار الديني إلى الإطار العلمي، ومن قاعة المحاكم إلى عيادة الطبيب. وقد نجح هذا التحوّل في الغرب، وأسّس للقرن العشرين الذي تحوّلت فيه «الهوية المثلية» من قضية طبّية إلى قضية حقوقية إلى قضية ثقافية مركزية. والله أعلم.</w:t>
      </w:r>
    </w:p>
    <w:p>
      <w:r>
        <w:br w:type="page"/>
      </w:r>
    </w:p>
    <w:p>
      <w:pPr>
        <w:bidi/>
        <w:spacing w:after="360" w:before="600"/>
        <w:jc w:val="center"/>
      </w:pPr>
      <w:r>
        <w:rPr>
          <w:b/>
          <w:bCs/>
          <w:color w:val="1B3A5C"/>
          <w:sz w:val="36"/>
          <w:szCs w:val="36"/>
          <w:rtl/>
        </w:rPr>
        <w:t xml:space="preserve">الفصل السادس: القرن العشرون — من المرض إلى الهوية</w:t>
      </w:r>
    </w:p>
    <w:p>
      <w:pPr>
        <w:bidi/>
        <w:spacing w:after="160"/>
        <w:jc w:val="start"/>
      </w:pPr>
      <w:r>
        <w:rPr>
          <w:sz w:val="24"/>
          <w:szCs w:val="24"/>
          <w:rtl/>
        </w:rPr>
        <w:t xml:space="preserve">﴿وَلَا تُفْسِدُوا فِي الْأَرْضِ بَعْدَ إِصْلَاحِهَا﴾ (الأعراف: 56)</w:t>
      </w:r>
    </w:p>
    <w:p>
      <w:pPr>
        <w:bidi/>
        <w:spacing w:after="160"/>
        <w:jc w:val="start"/>
      </w:pPr>
      <w:r>
        <w:rPr>
          <w:sz w:val="24"/>
          <w:szCs w:val="24"/>
          <w:rtl/>
        </w:rPr>
        <w:t xml:space="preserve">## ماغنوس هيرشفلد ومعهد الجنسانية</w:t>
      </w:r>
    </w:p>
    <w:p>
      <w:pPr>
        <w:bidi/>
        <w:spacing w:after="160"/>
        <w:jc w:val="start"/>
      </w:pPr>
      <w:r>
        <w:rPr>
          <w:sz w:val="24"/>
          <w:szCs w:val="24"/>
          <w:rtl/>
        </w:rPr>
        <w:t xml:space="preserve">في برلين، أسّس الطبيب اليهودي الألماني ماغنوس هيرشفلد (Magnus Hirschfeld) سنة 1919 «معهد العلوم الجنسية» (Institut für Sexualwissenschaft)، وهو أوّل مؤسّسة بحثية في العالم تختصّ بدراسة الجنسانية البشرية بمنظور «علمي». وقد جمع هيرشفلد كمّيات هائلة من البيانات والمقابلات، وأسّس «اللجنة العلمية الإنسانية» (1897) للمطالبة بإلغاء المادّة 175. كان هيرشفلد نفسه مثليًا، وكان جزءًا من نخبة برلينية فايمارية ليبرالية شهدت تساهلًا غير مسبوق.</w:t>
      </w:r>
    </w:p>
    <w:p>
      <w:pPr>
        <w:bidi/>
        <w:spacing w:after="160"/>
        <w:jc w:val="start"/>
      </w:pPr>
      <w:r>
        <w:rPr>
          <w:sz w:val="24"/>
          <w:szCs w:val="24"/>
          <w:rtl/>
        </w:rPr>
        <w:t xml:space="preserve">لكنّ النازيين، حين وصلوا إلى السلطة سنة 1933، اقتحموا المعهد في 6 مايو من تلك السنة وأحرقوا مكتبته العامرة في حفل علني في ساحة برلين الأوبرا. وقد كان هذا الحدث ضربةً قاسمة لمسيرة الحركة في أوروبا قبل أن تنتقل لاحقًا إلى الولايات المتّحدة.</w:t>
      </w:r>
    </w:p>
    <w:p>
      <w:pPr>
        <w:bidi/>
        <w:spacing w:after="160"/>
        <w:jc w:val="start"/>
      </w:pPr>
      <w:r>
        <w:rPr>
          <w:sz w:val="24"/>
          <w:szCs w:val="24"/>
          <w:rtl/>
        </w:rPr>
        <w:t xml:space="preserve">## المعاناة في عهد النازية</w:t>
      </w:r>
    </w:p>
    <w:p>
      <w:pPr>
        <w:bidi/>
        <w:spacing w:after="160"/>
        <w:jc w:val="start"/>
      </w:pPr>
      <w:r>
        <w:rPr>
          <w:sz w:val="24"/>
          <w:szCs w:val="24"/>
          <w:rtl/>
        </w:rPr>
        <w:t xml:space="preserve">اضطهد النظام النازي المثليين اضطهادًا عنيفًا. وُسّعت المادّة 175 سنة 1935 لتشمل أيّ تماسّ جنسي بين الذكور، وأُرسل ما يقدّر بنحو 50.000 رجل إلى السجن، ومنهم نحو 5.000 إلى 15.000 إلى معسكرات الاعتقال، حيث كانوا يحملون «المثلّث الوردي» (Pink Triangle) رمزًا للتمييز. وقد أصبح هذا الرمز لاحقًا — وبشكل مفارق — رمزًا للحركة المثلية المعاصرة باعتباره ذكرى للاضطهاد.</w:t>
      </w:r>
    </w:p>
    <w:p>
      <w:pPr>
        <w:bidi/>
        <w:spacing w:after="160"/>
        <w:jc w:val="start"/>
      </w:pPr>
      <w:r>
        <w:rPr>
          <w:sz w:val="24"/>
          <w:szCs w:val="24"/>
          <w:rtl/>
        </w:rPr>
        <w:t xml:space="preserve">ومن الإنصاف أن نقرّ بأنّ معاناة هؤلاء كانت معاناة إنسانية حقيقية، وأنّ ما فعله النظام النازي كان جريمة بكلّ المعايير، بل لقد ارتكب النازيون جرائم مشابهة بحقّ اليهود وأهل الإعاقة والغجر وأعدائهم السياسيين. لكنّ الحركة المعاصرة أحيانًا تستعمل هذا الاضطهاد بوصفه حجّة على أنّ أيّ تمييز شرعي بين السلوكيات هو طريق إلى أوشفيتس، وهذا قياس مع الفارق، إذ بين النقد الفقهي للفعل وبين المعسكر النازي مسافة لا تُقاس.</w:t>
      </w:r>
    </w:p>
    <w:p>
      <w:pPr>
        <w:bidi/>
        <w:spacing w:after="160"/>
        <w:jc w:val="start"/>
      </w:pPr>
      <w:r>
        <w:rPr>
          <w:sz w:val="24"/>
          <w:szCs w:val="24"/>
          <w:rtl/>
        </w:rPr>
        <w:t xml:space="preserve">## ألفريد كنزي وثورة الإحصاء</w:t>
      </w:r>
    </w:p>
    <w:p>
      <w:pPr>
        <w:bidi/>
        <w:spacing w:after="160"/>
        <w:jc w:val="start"/>
      </w:pPr>
      <w:r>
        <w:rPr>
          <w:sz w:val="24"/>
          <w:szCs w:val="24"/>
          <w:rtl/>
        </w:rPr>
        <w:t xml:space="preserve">في الولايات المتّحدة، نشر عالم الحشرات والباحث الجنساني ألفريد كنزي (Alfred Kinsey) تقريريه الشهيرين: «السلوك الجنسي عند الذكور البشر» (1948) و«السلوك الجنسي عند الإناث البشريات» (1953). جمع كنزي بيانات ضخمة (نحو 18.000 مقابلة) وقدّم فكرة «المقياس» (Kinsey Scale) من 0 إلى 6 لتصنيف الميل الجنسي — حيث 0 مغاير محض و6 مثلي محض. وزعم كنزي أنّ نحو 10% من الرجال «بشكل جوهري» مثليون لمدّة ثلاث سنوات على الأقلّ من حياتهم البالغة.</w:t>
      </w:r>
    </w:p>
    <w:p>
      <w:pPr>
        <w:bidi/>
        <w:spacing w:after="160"/>
        <w:jc w:val="start"/>
      </w:pPr>
      <w:r>
        <w:rPr>
          <w:sz w:val="24"/>
          <w:szCs w:val="24"/>
          <w:rtl/>
        </w:rPr>
        <w:t xml:space="preserve">لكنّ مناهج كنزي تعرّضت لانتقادات منهجية حادّة في العقود التالية. فقد أظهرت دراسات لاحقة أنّ عيّنة كنزي شملت نسبًا غير اعتيادية من نزلاء السجون والمشاركين الذين لديهم خلفيات سلوكية غير عادية، ممّا جعل أرقامه مبالغًا فيها. وقد قدّرت دراسات أحدث وأكثر تمثيلًا (مثل دراسة Laumann et al, 1994) النسبة الحقيقية لمن يمارس سلوكًا مثليًا عند الذكور البالغين بنحو 2% إلى 3%. ومع ذلك، فإنّ رقم «10%» الذي روّج له كنزي ظلّ متداولًا لعقود، وأدّى دورًا سياسيًا كبيرًا.</w:t>
      </w:r>
    </w:p>
    <w:p>
      <w:pPr>
        <w:bidi/>
        <w:spacing w:after="160"/>
        <w:jc w:val="start"/>
      </w:pPr>
      <w:r>
        <w:rPr>
          <w:sz w:val="24"/>
          <w:szCs w:val="24"/>
          <w:rtl/>
        </w:rPr>
        <w:t xml:space="preserve">## الحركة الناشئة في الخمسينيات</w:t>
      </w:r>
    </w:p>
    <w:p>
      <w:pPr>
        <w:bidi/>
        <w:spacing w:after="160"/>
        <w:jc w:val="start"/>
      </w:pPr>
      <w:r>
        <w:rPr>
          <w:sz w:val="24"/>
          <w:szCs w:val="24"/>
          <w:rtl/>
        </w:rPr>
        <w:t xml:space="preserve">في الخمسينيات، تأسّست أوّل منظّمات الناشطين المثليين في الولايات المتّحدة:</w:t>
      </w:r>
    </w:p>
    <w:p>
      <w:pPr>
        <w:bidi/>
        <w:spacing w:after="160"/>
        <w:jc w:val="start"/>
      </w:pPr>
      <w:r>
        <w:rPr>
          <w:sz w:val="24"/>
          <w:szCs w:val="24"/>
          <w:rtl/>
        </w:rPr>
        <w:t xml:space="preserve">- **جمعية ماتاشين (Mattachine Society)**: أُسّست في لوس أنجلوس سنة 1950 على يد هاري هاي وآخرين، باعتبارها أوّل منظّمة سياسية للمثليين الذكور. - **بنات بيليتيس (Daughters of Bilitis)**: أُسّست في سان فرانسيسكو سنة 1955، باعتبارها أوّل منظّمة للنساء المثليات.</w:t>
      </w:r>
    </w:p>
    <w:p>
      <w:pPr>
        <w:bidi/>
        <w:spacing w:after="160"/>
        <w:jc w:val="start"/>
      </w:pPr>
      <w:r>
        <w:rPr>
          <w:sz w:val="24"/>
          <w:szCs w:val="24"/>
          <w:rtl/>
        </w:rPr>
        <w:t xml:space="preserve">ومن المهمّ ملاحظة أنّ هذه المنظّمات في بداياتها كانت سرّية أو شبه سرّية، وكانت تطالب بالاعتراف والحماية، لا بالشرعنة الكاملة. وكان الخطاب في تلك المرحلة معتدلًا نسبيًا، يستند إلى فكرة «الخصوصية» و«التسامح».</w:t>
      </w:r>
    </w:p>
    <w:p>
      <w:pPr>
        <w:bidi/>
        <w:spacing w:after="160"/>
        <w:jc w:val="start"/>
      </w:pPr>
      <w:r>
        <w:rPr>
          <w:sz w:val="24"/>
          <w:szCs w:val="24"/>
          <w:rtl/>
        </w:rPr>
        <w:t xml:space="preserve">## أحداث ستونوول (يونيو 1969)</w:t>
      </w:r>
    </w:p>
    <w:p>
      <w:pPr>
        <w:bidi/>
        <w:spacing w:after="160"/>
        <w:jc w:val="start"/>
      </w:pPr>
      <w:r>
        <w:rPr>
          <w:sz w:val="24"/>
          <w:szCs w:val="24"/>
          <w:rtl/>
        </w:rPr>
        <w:t xml:space="preserve">في 28 يونيو 1969، وفي حانة «ستونوول إن» (Stonewall Inn) في حيّ غرينتش فيلج بنيويورك، نفّذت الشرطة مداهمة روتينية لحانة كانت تتردّد عليها مجتمعات مثلية ومتحوّلة. لكنّ الروّاد، خلافًا لما جرت العادة، قاوموا الشرطة، وامتدّت أعمال الشغب على مدى عدّة أيام. ويُعدّ هذا الحدث «النقطة التحوّلية» الرمزية لميلاد الحركة المثلية الحديثة، ومنه انطلقت احتفالات «الفخر» (Pride Parades) سنويًا. والإحياء السنوي ليونيو بوصفه «شهر الفخر» يعود إلى ذكرى ستونوول.</w:t>
      </w:r>
    </w:p>
    <w:p>
      <w:pPr>
        <w:bidi/>
        <w:spacing w:after="160"/>
        <w:jc w:val="start"/>
      </w:pPr>
      <w:r>
        <w:rPr>
          <w:sz w:val="24"/>
          <w:szCs w:val="24"/>
          <w:rtl/>
        </w:rPr>
        <w:t xml:space="preserve">## إزالة المثلية من الـ DSM (1973)</w:t>
      </w:r>
    </w:p>
    <w:p>
      <w:pPr>
        <w:bidi/>
        <w:spacing w:after="160"/>
        <w:jc w:val="start"/>
      </w:pPr>
      <w:r>
        <w:rPr>
          <w:sz w:val="24"/>
          <w:szCs w:val="24"/>
          <w:rtl/>
        </w:rPr>
        <w:t xml:space="preserve">من أهمّ التحوّلات التي شهدها القرن العشرون كان قرار «الجمعية الأمريكية للطبّ النفسي» (APA) سنة 1973 بإزالة المثلية من الدليل التشخيصي والإحصائي للاضطرابات النفسية (DSM-II). كان هذا القرار ثوريًا، إذ نقل المثلية في الإطار الرسمي من «اضطراب» إلى «تنوّع طبيعي».</w:t>
      </w:r>
    </w:p>
    <w:p>
      <w:pPr>
        <w:bidi/>
        <w:spacing w:after="160"/>
        <w:jc w:val="start"/>
      </w:pPr>
      <w:r>
        <w:rPr>
          <w:sz w:val="24"/>
          <w:szCs w:val="24"/>
          <w:rtl/>
        </w:rPr>
        <w:t xml:space="preserve">ومع ذلك، فإنّ الدراسات التاريخية اللاحقة كشفت أنّ القرار لم يكن ثمرة بحث علمي حسم القضية، بل كان ثمرة ضغط سياسي ونشاط منظّم. فقد قاد المثلي الناشط فرانك كاميني (Frank Kameny) وزملاؤه حملات داخل اجتماعات الجمعية، وضغطوا على القيادة، وكان التصويت النهائي بأغلبية 58% فقط بين الأعضاء المصوّتين، مع معارضة قوية من قِبَل أطبّاء نفسيين بارزين مثل تشارلز سوكاريديس (Charles Socarides) وإيرفنغ بيبر (Irving Bieber). وقد كتب الباحث رونالد بايير (Ronald Bayer) في كتابه «المثلية والطبّ النفسي الأمريكي» (Homosexuality and American Psychiatry, 1981) دراسةً موثّقة بيّن فيها أنّ القرار لم يكن قرارًا علميًا «خالصًا»، بل كان قرارًا اجتماعيًا-علميًا متأثّرًا بضغوط سياسية حقوقية.</w:t>
      </w:r>
    </w:p>
    <w:p>
      <w:pPr>
        <w:bidi/>
        <w:spacing w:after="160"/>
        <w:jc w:val="start"/>
      </w:pPr>
      <w:r>
        <w:rPr>
          <w:sz w:val="24"/>
          <w:szCs w:val="24"/>
          <w:rtl/>
        </w:rPr>
        <w:t xml:space="preserve">ولا يعني هذا أنّ القرار خاطئ بالضرورة، لكنّه يعني أنّه قرار سياسي-اجتماعي بقدر ما هو علمي، وعلى من يستخدم هذا القرار ضدّ مخالفيه ألا يضخّم الجانب «العلمي» على حساب الجانب الإجرائي للقرار.</w:t>
      </w:r>
    </w:p>
    <w:p>
      <w:pPr>
        <w:bidi/>
        <w:spacing w:after="160"/>
        <w:jc w:val="start"/>
      </w:pPr>
      <w:r>
        <w:rPr>
          <w:sz w:val="24"/>
          <w:szCs w:val="24"/>
          <w:rtl/>
        </w:rPr>
        <w:t xml:space="preserve">## أزمة الإيدز (الثمانينيات)</w:t>
      </w:r>
    </w:p>
    <w:p>
      <w:pPr>
        <w:bidi/>
        <w:spacing w:after="160"/>
        <w:jc w:val="start"/>
      </w:pPr>
      <w:r>
        <w:rPr>
          <w:sz w:val="24"/>
          <w:szCs w:val="24"/>
          <w:rtl/>
        </w:rPr>
        <w:t xml:space="preserve">في 1981، بدأت تظهر تقارير في الولايات المتّحدة عن مرض غامض يصيب الرجال المثليين بشكل خاصّ، ويتسبّب بانهيار الجهاز المناعي. وفي 1982، سُمّي رسميًا «متلازمة نقص المناعة المكتسب» (AIDS). وفي 1983، اكتُشف فيروس HIV.</w:t>
      </w:r>
    </w:p>
    <w:p>
      <w:pPr>
        <w:bidi/>
        <w:spacing w:after="160"/>
        <w:jc w:val="start"/>
      </w:pPr>
      <w:r>
        <w:rPr>
          <w:sz w:val="24"/>
          <w:szCs w:val="24"/>
          <w:rtl/>
        </w:rPr>
        <w:t xml:space="preserve">كان التأثير المدمّر لهذا الوباء على المجتمع المثلي هائلًا. توفّي مئات الآلاف، وانهارت شبكات اجتماعية بأكملها. ومن الناحية السياسية، فقد تحوّل الوباء إلى نقطة تعبئة هائلة، إذ وُلدت منظّمات مثل «ACT UP» (1987) ومارست ضغطًا شديدًا على الحكومات وشركات الأدوية. كما خلق الوباء تعاطفًا واسعًا مع المثليين بصفتهم ضحايا مرض، ودفع كثيرًا من الأطبّاء والصحفيين والسياسيين إلى مواقف أكثر دعمًا.</w:t>
      </w:r>
    </w:p>
    <w:p>
      <w:pPr>
        <w:bidi/>
        <w:spacing w:after="160"/>
        <w:jc w:val="start"/>
      </w:pPr>
      <w:r>
        <w:rPr>
          <w:sz w:val="24"/>
          <w:szCs w:val="24"/>
          <w:rtl/>
        </w:rPr>
        <w:t xml:space="preserve">ومن الناحية العلمية، فإنّ الفيروس لا يصيب المثليين فحسب، بل ينتشر عبر الدم والاتصال الجنسي، ويصيب المغايرين والمثليين والأطفال المنقول إليهم بالدم. لكنّ النسبة العالية بين المثليين الذكور — في الموجة الأولى من الوباء — كانت مرتبطة بأنماط سلوكية معيّنة، خصوصًا الاتصال الشرجي وتعدّد الشركاء.</w:t>
      </w:r>
    </w:p>
    <w:p>
      <w:pPr>
        <w:bidi/>
        <w:spacing w:after="160"/>
        <w:jc w:val="start"/>
      </w:pPr>
      <w:r>
        <w:rPr>
          <w:sz w:val="24"/>
          <w:szCs w:val="24"/>
          <w:rtl/>
        </w:rPr>
        <w:t xml:space="preserve">## نهاية القرن: الانتقال إلى المركز</w:t>
      </w:r>
    </w:p>
    <w:p>
      <w:pPr>
        <w:bidi/>
        <w:spacing w:after="160"/>
        <w:jc w:val="start"/>
      </w:pPr>
      <w:r>
        <w:rPr>
          <w:sz w:val="24"/>
          <w:szCs w:val="24"/>
          <w:rtl/>
        </w:rPr>
        <w:t xml:space="preserve">بحلول التسعينيات، كانت الحركة قد انتقلت من الهامش إلى المركز في الثقافة الأمريكية والأوروبية. ظهرت شخصيات مثلية في التلفزيون والسينما، وبدأت شركات كبرى في استهداف هذه السوق، ودخلت كلمة «Gay» إلى المعجم اليومي بمعنى محايد. وفي 1996، صدر قانون «الدفاع عن الزواج» (DOMA) في الولايات المتّحدة، الذي يعرّف الزواج اتحادًا بين رجل وامرأة على المستوى الفيدرالي — وكان ذلك مؤشّرًا على أنّ المعركة الكبرى التالية ستكون حول إعادة تعريف الزواج. والمعركة هذه ستحسم في القرن الجديد، كما سنرى.</w:t>
      </w:r>
    </w:p>
    <w:p>
      <w:pPr>
        <w:bidi/>
        <w:spacing w:after="160"/>
        <w:jc w:val="start"/>
      </w:pPr>
      <w:r>
        <w:rPr>
          <w:sz w:val="24"/>
          <w:szCs w:val="24"/>
          <w:rtl/>
        </w:rPr>
        <w:t xml:space="preserve">## خلاصة الفصل</w:t>
      </w:r>
    </w:p>
    <w:p>
      <w:pPr>
        <w:bidi/>
        <w:spacing w:after="160"/>
        <w:jc w:val="start"/>
      </w:pPr>
      <w:r>
        <w:rPr>
          <w:sz w:val="24"/>
          <w:szCs w:val="24"/>
          <w:rtl/>
        </w:rPr>
        <w:t xml:space="preserve">القرن العشرون كان قرن التحوّل الكبير: من البقاء في الظلّ بصفتها «مرضًا»، إلى الخروج إلى الضوء بصفتها «هوية»، إلى المطالبة بالمساواة بصفتها «حقًا». وقد تمّ هذا التحوّل في أربع مراحل: مأسسة بحثية (هيرشفلد)، ثمّ كارثة سياسية (النازية)، ثمّ تحوّل علمي مدفوع بنشاط حقوقي (1973)، ثمّ تعبئة مدفوعة بأزمة الإيدز (الثمانينيات). وفي نهاية القرن، كانت الحركة قد ربحت معارك المرض والتجريم والظهور، وكانت تتجهّز للمعركة الأكبر: الزواج. والله أعلم.</w:t>
      </w:r>
    </w:p>
    <w:p>
      <w:r>
        <w:br w:type="page"/>
      </w:r>
    </w:p>
    <w:p>
      <w:pPr>
        <w:bidi/>
        <w:spacing w:after="360" w:before="600"/>
        <w:jc w:val="center"/>
      </w:pPr>
      <w:r>
        <w:rPr>
          <w:b/>
          <w:bCs/>
          <w:color w:val="1B3A5C"/>
          <w:sz w:val="36"/>
          <w:szCs w:val="36"/>
          <w:rtl/>
        </w:rPr>
        <w:t xml:space="preserve">الفصل السابع: الحركة المعاصرة — التطوّر والمكاسب</w:t>
      </w:r>
    </w:p>
    <w:p>
      <w:pPr>
        <w:bidi/>
        <w:spacing w:after="160"/>
        <w:jc w:val="start"/>
      </w:pPr>
      <w:r>
        <w:rPr>
          <w:sz w:val="24"/>
          <w:szCs w:val="24"/>
          <w:rtl/>
        </w:rPr>
        <w:t xml:space="preserve">﴿إِنَّ اللَّهَ لَا يُغَيِّرُ مَا بِقَوْمٍ حَتَّىٰ يُغَيِّرُوا مَا بِأَنفُسِهِمْ﴾ (الرعد: 11)</w:t>
      </w:r>
    </w:p>
    <w:p>
      <w:pPr>
        <w:bidi/>
        <w:spacing w:after="160"/>
        <w:jc w:val="start"/>
      </w:pPr>
      <w:r>
        <w:rPr>
          <w:sz w:val="24"/>
          <w:szCs w:val="24"/>
          <w:rtl/>
        </w:rPr>
        <w:t xml:space="preserve">## الانتقال إلى قضية الزواج</w:t>
      </w:r>
    </w:p>
    <w:p>
      <w:pPr>
        <w:bidi/>
        <w:spacing w:after="160"/>
        <w:jc w:val="start"/>
      </w:pPr>
      <w:r>
        <w:rPr>
          <w:sz w:val="24"/>
          <w:szCs w:val="24"/>
          <w:rtl/>
        </w:rPr>
        <w:t xml:space="preserve">في أواخر التسعينيات وبدايات الألفية الثالثة، انتقلت المعركة الكبرى للحركة من قضية إلغاء التجريم — التي كانت قد حُسمت في معظم الدول الغربية — إلى قضية الزواج المثلي. كان هذا انتقالًا مفهوميًا بالغ الأهمّية: فمن الدفاع عن حقّ الفرد في عدم التعرّض للملاحقة القانونية، إلى المطالبة بأن تعترف الدولة بعلاقاته بوصفها زواجًا مساويًا للزواج التقليدي. والفرق بين الموقفين كبير من حيث أثره على المؤسّسات الاجتماعية.</w:t>
      </w:r>
    </w:p>
    <w:p>
      <w:pPr>
        <w:bidi/>
        <w:spacing w:after="160"/>
        <w:jc w:val="start"/>
      </w:pPr>
      <w:r>
        <w:rPr>
          <w:sz w:val="24"/>
          <w:szCs w:val="24"/>
          <w:rtl/>
        </w:rPr>
        <w:t xml:space="preserve">## الدول الأولى التي شرّعت زواج المثليين</w:t>
      </w:r>
    </w:p>
    <w:p>
      <w:pPr>
        <w:bidi/>
        <w:spacing w:after="160"/>
        <w:jc w:val="start"/>
      </w:pPr>
      <w:r>
        <w:rPr>
          <w:sz w:val="24"/>
          <w:szCs w:val="24"/>
          <w:rtl/>
        </w:rPr>
        <w:t xml:space="preserve">- **هولندا (2001):** أوّل دولة في العالم تشرّع زواج المثليين بشكل كامل ومتساوٍ مع الزواج التقليدي. - **بلجيكا (2003):** الدولة الثانية. - **إسبانيا وكندا (2005):** انضمّتا للقائمة في السنة نفسها. - **جنوب أفريقيا (2006):** أوّل دولة أفريقية، وقد فُرض الأمر بحكم محكمة دستورية. - **النرويج والسويد (2009):** انضمّت دول الشمال الأوروبي. - **البرتغال وأيسلندا والأرجنتين (2010):** التوسّع في أمريكا اللاتينية وأوروبا. - **فرنسا والمملكة المتّحدة وأوروغواي ونيوزيلندا (2013):** سنة شهدت تشريعات في عدّة قارّات.</w:t>
      </w:r>
    </w:p>
    <w:p>
      <w:pPr>
        <w:bidi/>
        <w:spacing w:after="160"/>
        <w:jc w:val="start"/>
      </w:pPr>
      <w:r>
        <w:rPr>
          <w:sz w:val="24"/>
          <w:szCs w:val="24"/>
          <w:rtl/>
        </w:rPr>
        <w:t xml:space="preserve">ثمّ توسّعت القائمة لتشمل اليوم أكثر من 35 دولة. ومن المهمّ ملاحظة الجغرافيا: فالقائمة تكاد تكون محصورة في أوروبا الغربية والشمالية، وأمريكا الشمالية، وأمريكا الجنوبية، وأستراليا ونيوزيلندا، مع استثناءات قليلة (مثل تايوان وتايلاند 2025). أمّا أفريقيا والشرق الأوسط وآسيا (باستثناء تايوان وتايلاند ونيبال) فبقيت في الغالب على الموقف التقليدي.</w:t>
      </w:r>
    </w:p>
    <w:p>
      <w:pPr>
        <w:bidi/>
        <w:spacing w:after="160"/>
        <w:jc w:val="start"/>
      </w:pPr>
      <w:r>
        <w:rPr>
          <w:sz w:val="24"/>
          <w:szCs w:val="24"/>
          <w:rtl/>
        </w:rPr>
        <w:t xml:space="preserve">## الولايات المتّحدة: قضية أوبرغفل (2015)</w:t>
      </w:r>
    </w:p>
    <w:p>
      <w:pPr>
        <w:bidi/>
        <w:spacing w:after="160"/>
        <w:jc w:val="start"/>
      </w:pPr>
      <w:r>
        <w:rPr>
          <w:sz w:val="24"/>
          <w:szCs w:val="24"/>
          <w:rtl/>
        </w:rPr>
        <w:t xml:space="preserve">في الولايات المتّحدة، كان الانتقال تدريجيًا. ففي 2003، حكمت المحكمة العليا في قضية «لورنس ضدّ تكساس» بإلغاء جميع قوانين الولايات التي تجرّم العلاقات المثلية البالغة بالتراضي. وفي 2004، شرّعت ولاية ماساشوستس زواج المثليين كأوّل ولاية. ثمّ تتابعت الولايات.</w:t>
      </w:r>
    </w:p>
    <w:p>
      <w:pPr>
        <w:bidi/>
        <w:spacing w:after="160"/>
        <w:jc w:val="start"/>
      </w:pPr>
      <w:r>
        <w:rPr>
          <w:sz w:val="24"/>
          <w:szCs w:val="24"/>
          <w:rtl/>
        </w:rPr>
        <w:t xml:space="preserve">في 2013، حكمت المحكمة العليا في قضية «الولايات المتّحدة ضدّ ويندسور» ببطلان جزء من قانون «دوما» (DOMA) الذي حصر الاعتراف الفيدرالي بالزواج بين الرجل والمرأة.</w:t>
      </w:r>
    </w:p>
    <w:p>
      <w:pPr>
        <w:bidi/>
        <w:spacing w:after="160"/>
        <w:jc w:val="start"/>
      </w:pPr>
      <w:r>
        <w:rPr>
          <w:sz w:val="24"/>
          <w:szCs w:val="24"/>
          <w:rtl/>
        </w:rPr>
        <w:t xml:space="preserve">في 26 يونيو 2015، أصدرت المحكمة العليا حكمها التاريخي في قضية «أوبرغفل ضدّ هودجز» (Obergefell v. Hodges)، الذي قضى بأنّ الدستور الأمريكي يضمن حقّ المثليين في الزواج في جميع الولايات. كان الحكم بأغلبية 5–4، مع رأي قضائي قويّ من القاضي أنطوني كنيدي. وأصدر القضاة المخالفون (أنطونين سكاليا، كلارنس توماس، صموئيل أليتو، جون روبرتس) آراءً مخالفةً قويةً جادلوا فيها بأنّ القرار تجاوز الصلاحية القضائية.</w:t>
      </w:r>
    </w:p>
    <w:p>
      <w:pPr>
        <w:bidi/>
        <w:spacing w:after="160"/>
        <w:jc w:val="start"/>
      </w:pPr>
      <w:r>
        <w:rPr>
          <w:sz w:val="24"/>
          <w:szCs w:val="24"/>
          <w:rtl/>
        </w:rPr>
        <w:t xml:space="preserve">## التبنّي وحقوق الأسرة</w:t>
      </w:r>
    </w:p>
    <w:p>
      <w:pPr>
        <w:bidi/>
        <w:spacing w:after="160"/>
        <w:jc w:val="start"/>
      </w:pPr>
      <w:r>
        <w:rPr>
          <w:sz w:val="24"/>
          <w:szCs w:val="24"/>
          <w:rtl/>
        </w:rPr>
        <w:t xml:space="preserve">تطوّرت قوانين التبنّي بالتوازي. في معظم الدول التي شرّعت زواج المثليين، سمحت لاحقًا بالتبنّي المشترك. كما تطوّرت تقنيات «الإنجاب المساعد» (Assisted Reproductive Technology) لتشمل الأمّ البديلة (Surrogacy) والتلقيح الاصطناعي بمتبرّع، ممّا فتح الباب لتكوين أسر ذات والدين من جنس واحد.</w:t>
      </w:r>
    </w:p>
    <w:p>
      <w:pPr>
        <w:bidi/>
        <w:spacing w:after="160"/>
        <w:jc w:val="start"/>
      </w:pPr>
      <w:r>
        <w:rPr>
          <w:sz w:val="24"/>
          <w:szCs w:val="24"/>
          <w:rtl/>
        </w:rPr>
        <w:t xml:space="preserve">وأثارت هذه التطوّرات نقاشًا أخلاقيًا حول مصلحة الطفل، وحقّ الطفل في معرفة والديه البيولوجيين، وحقّه في التربية تحت رعاية أمّ وأبّ، وغيرها من القضايا التي ما زالت محلّ جدل.</w:t>
      </w:r>
    </w:p>
    <w:p>
      <w:pPr>
        <w:bidi/>
        <w:spacing w:after="160"/>
        <w:jc w:val="start"/>
      </w:pPr>
      <w:r>
        <w:rPr>
          <w:sz w:val="24"/>
          <w:szCs w:val="24"/>
          <w:rtl/>
        </w:rPr>
        <w:t xml:space="preserve">## قوانين مكافحة التمييز</w:t>
      </w:r>
    </w:p>
    <w:p>
      <w:pPr>
        <w:bidi/>
        <w:spacing w:after="160"/>
        <w:jc w:val="start"/>
      </w:pPr>
      <w:r>
        <w:rPr>
          <w:sz w:val="24"/>
          <w:szCs w:val="24"/>
          <w:rtl/>
        </w:rPr>
        <w:t xml:space="preserve">إلى جانب الزواج، توسّعت قوانين «مكافحة التمييز» في معظم الدول الغربية لتشمل التوجّه الجنسي والهوية الجندرية. وتعني هذه القوانين أنّه يحظر على أصحاب العمل والمدارس والشركات وغيرها التمييز ضدّ الأشخاص بسبب توجّههم. ومن أمثلتها قانون المساواة في المملكة المتّحدة (2010)، وقرار المحكمة العليا الأمريكية في قضية «بوستوك ضدّ كلايتون كاونتي» (2020) الذي عدّ التمييز على أساس التوجّه الجنسي تمييزًا على أساس الجنس بحسب القانون الفيدرالي.</w:t>
      </w:r>
    </w:p>
    <w:p>
      <w:pPr>
        <w:bidi/>
        <w:spacing w:after="160"/>
        <w:jc w:val="start"/>
      </w:pPr>
      <w:r>
        <w:rPr>
          <w:sz w:val="24"/>
          <w:szCs w:val="24"/>
          <w:rtl/>
        </w:rPr>
        <w:t xml:space="preserve">ومن المفارقات أنّ هذه القوانين، التي بدأت بوصفها قوانين حماية، تحوّلت في بعض السياقات إلى قوانين تفرض على المؤمنين والمحافظين إكراهًا على التعامل بطرق تخالف معتقداتهم. ومن أبرز الحالات قضيّة «ماستر بيس كيك شوب» (2018) وقضايا أخرى لمصوّرين وزهور ومدارس دينية. وهذه التوتّرات بين «الحقوق» و«الحرية الدينية» تشكّل أحد أهمّ الجبهات القضائية الحالية.</w:t>
      </w:r>
    </w:p>
    <w:p>
      <w:pPr>
        <w:bidi/>
        <w:spacing w:after="160"/>
        <w:jc w:val="start"/>
      </w:pPr>
      <w:r>
        <w:rPr>
          <w:sz w:val="24"/>
          <w:szCs w:val="24"/>
          <w:rtl/>
        </w:rPr>
        <w:t xml:space="preserve">## شهر الفخر: من احتجاج إلى سوق</w:t>
      </w:r>
    </w:p>
    <w:p>
      <w:pPr>
        <w:bidi/>
        <w:spacing w:after="160"/>
        <w:jc w:val="start"/>
      </w:pPr>
      <w:r>
        <w:rPr>
          <w:sz w:val="24"/>
          <w:szCs w:val="24"/>
          <w:rtl/>
        </w:rPr>
        <w:t xml:space="preserve">شهر يونيو من كلّ عام تحوّل إلى «شهر الفخر» (Pride Month) عالميًا. كانت البداية مع «يوم تحرير شارع كريستوفر» (Christopher Street Liberation Day) في 28 يونيو 1970، إحياءً لذكرى ستونوول. لكنّ الاحتفال تطوّر تطوّرًا دراماتيكيًا.</w:t>
      </w:r>
    </w:p>
    <w:p>
      <w:pPr>
        <w:bidi/>
        <w:spacing w:after="160"/>
        <w:jc w:val="start"/>
      </w:pPr>
      <w:r>
        <w:rPr>
          <w:sz w:val="24"/>
          <w:szCs w:val="24"/>
          <w:rtl/>
        </w:rPr>
        <w:t xml:space="preserve">ففي السنوات الأخيرة، تحوّلت معظم الشركات الكبرى عالميًا — من غوغل وأبل وفيسبوك إلى ديزني وكوكاكولا وستاربكس — إلى تغيير شعاراتها إلى ألوان قوس قزح طوال شهر يونيو، وإطلاق منتجات «Pride Edition»، وإقامة احتفالات داخلية للموظّفين. وقد وصفت الصحافة هذه الظاهرة بأنّها «Rainbow Capitalism» أو «Pinkwashing». ومن المفارقات أنّ هذه الشركات نفسها كثيرًا ما تتجنّب الشعارات الملوّنة في فروعها بالشرق الأوسط أو الصين، ممّا يكشف عن حساب تجاري أكثر منه التزامًا أيديولوجيًا.</w:t>
      </w:r>
    </w:p>
    <w:p>
      <w:pPr>
        <w:bidi/>
        <w:spacing w:after="160"/>
        <w:jc w:val="start"/>
      </w:pPr>
      <w:r>
        <w:rPr>
          <w:sz w:val="24"/>
          <w:szCs w:val="24"/>
          <w:rtl/>
        </w:rPr>
        <w:t xml:space="preserve">وقد بدأت ردود فعل عكسية. في 2023، فقدت شركة «بود لايت» (Bud Light) — إحدى أكبر شركات البيرة الأمريكية — جزءًا كبيرًا من حصّتها السوقية بعد حملة تسويقية تضمّنت متعاونًا متحوّلًا، فيما عُرف بـ«Bud Light Effect». وقد دفع هذا شركات أخرى إلى تقليل ظهورها العلني الداعم للحركة. ومن ثمّ، فإنّ الدورة في السنوات الأخيرة شهدت تراجعًا نسبيًا في «Rainbow Capitalism».</w:t>
      </w:r>
    </w:p>
    <w:p>
      <w:pPr>
        <w:bidi/>
        <w:spacing w:after="160"/>
        <w:jc w:val="start"/>
      </w:pPr>
      <w:r>
        <w:rPr>
          <w:sz w:val="24"/>
          <w:szCs w:val="24"/>
          <w:rtl/>
        </w:rPr>
        <w:t xml:space="preserve">## الانعطافة إلى التحوّل الجنسي</w:t>
      </w:r>
    </w:p>
    <w:p>
      <w:pPr>
        <w:bidi/>
        <w:spacing w:after="160"/>
        <w:jc w:val="start"/>
      </w:pPr>
      <w:r>
        <w:rPr>
          <w:sz w:val="24"/>
          <w:szCs w:val="24"/>
          <w:rtl/>
        </w:rPr>
        <w:t xml:space="preserve">في العقد الأخير (2015 فما بعد)، تحوّل اهتمام الحركة بشكل لافت من قضايا المثليين الكلاسيكية (LGB) إلى قضايا المتحوّلين جنسيًا (T). وأخذت قضايا «الهوية الجندرية» مكان الصدارة، خصوصًا فيما يتعلّق بالأطفال والمراهقين.</w:t>
      </w:r>
    </w:p>
    <w:p>
      <w:pPr>
        <w:bidi/>
        <w:spacing w:after="160"/>
        <w:jc w:val="start"/>
      </w:pPr>
      <w:r>
        <w:rPr>
          <w:sz w:val="24"/>
          <w:szCs w:val="24"/>
          <w:rtl/>
        </w:rPr>
        <w:t xml:space="preserve">وقد أدّى هذا التحوّل إلى انقسام داخل الحركة نفسها. ظهرت أصوات نسوية كلاسيكية (مثل جي. كي. رولينغ وجوليا لونغ وكاثلين ستوك) تنتقد ما تسمّيه «طمس النساء» باسم الهوية الجندرية، وظهر مصطلح «TERF» (Trans-Exclusionary Radical Feminist) للسخرية منهنّ. كذلك ظهرت أصوات من داخل الحركة المثلية الكلاسيكية ترى أنّ القضايا اختُطفت، وأنّ المراهقين يُدفعون إلى علاجات هرمونية وجراحية لا رجعة فيها.</w:t>
      </w:r>
    </w:p>
    <w:p>
      <w:pPr>
        <w:bidi/>
        <w:spacing w:after="160"/>
        <w:jc w:val="start"/>
      </w:pPr>
      <w:r>
        <w:rPr>
          <w:sz w:val="24"/>
          <w:szCs w:val="24"/>
          <w:rtl/>
        </w:rPr>
        <w:t xml:space="preserve">ومن أبرز هذه الانتقادات: تقرير «كاس ريفيو» (Cass Review) الذي صدر في المملكة المتّحدة في أبريل 2024، بقيادة الطبيبة هيلاري كاس، والذي خلص — بعد مراجعة الأدلّة العلمية — إلى أنّ الأدلّة على فاعلية حاصرات البلوغ والعلاج الهرموني عند الأطفال «ضعيفة بشكل لافت»، وأوصى بإبطاء التعامل العلاجي مع الأطفال. وقد أدّى التقرير إلى تغييرات في سياسات هيئة الصحّة الوطنية البريطانية (NHS).</w:t>
      </w:r>
    </w:p>
    <w:p>
      <w:pPr>
        <w:bidi/>
        <w:spacing w:after="160"/>
        <w:jc w:val="start"/>
      </w:pPr>
      <w:r>
        <w:rPr>
          <w:sz w:val="24"/>
          <w:szCs w:val="24"/>
          <w:rtl/>
        </w:rPr>
        <w:t xml:space="preserve">## الحركة المضادّة</w:t>
      </w:r>
    </w:p>
    <w:p>
      <w:pPr>
        <w:bidi/>
        <w:spacing w:after="160"/>
        <w:jc w:val="start"/>
      </w:pPr>
      <w:r>
        <w:rPr>
          <w:sz w:val="24"/>
          <w:szCs w:val="24"/>
          <w:rtl/>
        </w:rPr>
        <w:t xml:space="preserve">في موازاة تقدّم الحركة، ظهرت حركات مضادّة في عدّة دول. ففي روسيا، صدر قانون «الدعاية المثلية» (2013) ووُسّع لاحقًا. وفي أوغندا، صدر قانون «مكافحة المثلية» (2023) بعقوبات شديدة. وفي العديد من الدول الأفريقية والشرق أوسطية، ظلّ التجريم قائمًا. وفي الولايات المتّحدة، شهدت السنوات الأخيرة (2022–2024) سلسلة من قوانين الولايات الجمهورية التي تقيّد العلاج الجندري للأطفال أو تنظّم الكتب المدرسية.</w:t>
      </w:r>
    </w:p>
    <w:p>
      <w:pPr>
        <w:bidi/>
        <w:spacing w:after="160"/>
        <w:jc w:val="start"/>
      </w:pPr>
      <w:r>
        <w:rPr>
          <w:sz w:val="24"/>
          <w:szCs w:val="24"/>
          <w:rtl/>
        </w:rPr>
        <w:t xml:space="preserve">ومن المهمّ أن نقرّ بأنّ هذه الحركة المضادّة ليست كلّها متجانسة. فبعضها قائم على أسباب دينية (في أفريقيا والشرق الأوسط)، وبعضها على أسس ليبرالية كلاسيكية (في الغرب)، وبعضها على أسباب علمية ووقائية (في حالة كاس ريفيو). والمساواة بينها كلّها — كما تفعل بعض المنظّمات — تخلط الأمور.</w:t>
      </w:r>
    </w:p>
    <w:p>
      <w:pPr>
        <w:bidi/>
        <w:spacing w:after="160"/>
        <w:jc w:val="start"/>
      </w:pPr>
      <w:r>
        <w:rPr>
          <w:sz w:val="24"/>
          <w:szCs w:val="24"/>
          <w:rtl/>
        </w:rPr>
        <w:t xml:space="preserve">## خلاصة الفصل</w:t>
      </w:r>
    </w:p>
    <w:p>
      <w:pPr>
        <w:bidi/>
        <w:spacing w:after="160"/>
        <w:jc w:val="start"/>
      </w:pPr>
      <w:r>
        <w:rPr>
          <w:sz w:val="24"/>
          <w:szCs w:val="24"/>
          <w:rtl/>
        </w:rPr>
        <w:t xml:space="preserve">شهد العقدان الأوّلان من الألفية الثالثة المكاسب الأكبر للحركة في تاريخها: شرعنة الزواج في أكثر من 35 دولة، وقوانين مكافحة التمييز، والوجود الإعلامي المهيمن، والتبنّي الشركاتي. وفي الوقت نفسه، بدأت تظهر تصدّعات: داخلية بين فصائل الحركة، وخارجية في صورة حركات مضادّة. والمعركة لم تنتهِ، بل تدخل مرحلة جديدة. والله أعلم.</w:t>
      </w:r>
    </w:p>
    <w:p>
      <w:r>
        <w:br w:type="page"/>
      </w:r>
    </w:p>
    <w:p>
      <w:pPr>
        <w:bidi/>
        <w:spacing w:after="360" w:before="600"/>
        <w:jc w:val="center"/>
      </w:pPr>
      <w:r>
        <w:rPr>
          <w:b/>
          <w:bCs/>
          <w:color w:val="1B3A5C"/>
          <w:sz w:val="36"/>
          <w:szCs w:val="36"/>
          <w:rtl/>
        </w:rPr>
        <w:t xml:space="preserve">الفصل الثامن: مصادر النفوذ والقوة</w:t>
      </w:r>
    </w:p>
    <w:p>
      <w:pPr>
        <w:bidi/>
        <w:spacing w:after="160"/>
        <w:jc w:val="start"/>
      </w:pPr>
      <w:r>
        <w:rPr>
          <w:sz w:val="24"/>
          <w:szCs w:val="24"/>
          <w:rtl/>
        </w:rPr>
        <w:t xml:space="preserve">﴿وَلَوْ شَاءَ رَبُّكَ لَجَعَلَ النَّاسَ أُمَّةً وَاحِدَةً ۖ وَلَا يَزَالُونَ مُخْتَلِفِينَ﴾ (هود: 118)</w:t>
      </w:r>
    </w:p>
    <w:p>
      <w:pPr>
        <w:bidi/>
        <w:spacing w:after="160"/>
        <w:jc w:val="start"/>
      </w:pPr>
      <w:r>
        <w:rPr>
          <w:sz w:val="24"/>
          <w:szCs w:val="24"/>
          <w:rtl/>
        </w:rPr>
        <w:t xml:space="preserve">## مقدّمة: لماذا هذا الفصل ضروري؟</w:t>
      </w:r>
    </w:p>
    <w:p>
      <w:pPr>
        <w:bidi/>
        <w:spacing w:after="160"/>
        <w:jc w:val="start"/>
      </w:pPr>
      <w:r>
        <w:rPr>
          <w:sz w:val="24"/>
          <w:szCs w:val="24"/>
          <w:rtl/>
        </w:rPr>
        <w:t xml:space="preserve">إنّ وصول الحركة المثلية المعاصرة من الهامش إلى المركز خلال نصف قرن لم يكن ثمرة «انتصار طبيعي للحقّ»، كما تزعم بعض الكتابات الشعبية، ولا «مؤامرة كونية» كما تزعم بعض الكتابات المضادّة. إنّه نتيجة عمل منظّم متقن استثمر شبكة معقّدة من الموارد والمؤسّسات والقنوات. وفهم هذه الشبكة ضروري لكلّ من يريد فهم العصر، سواء أراد دعمها أم نقدها أم مجرّد وصفها بدقّة.</w:t>
      </w:r>
    </w:p>
    <w:p>
      <w:pPr>
        <w:bidi/>
        <w:spacing w:after="160"/>
        <w:jc w:val="start"/>
      </w:pPr>
      <w:r>
        <w:rPr>
          <w:sz w:val="24"/>
          <w:szCs w:val="24"/>
          <w:rtl/>
        </w:rPr>
        <w:t xml:space="preserve">والكلام التالي يصف وقائع موثّقة في تقارير المنظّمات نفسها وفي الصحافة المالية، لا اتّهامات أو اختراعات.</w:t>
      </w:r>
    </w:p>
    <w:p>
      <w:pPr>
        <w:bidi/>
        <w:spacing w:after="160"/>
        <w:jc w:val="start"/>
      </w:pPr>
      <w:r>
        <w:rPr>
          <w:sz w:val="24"/>
          <w:szCs w:val="24"/>
          <w:rtl/>
        </w:rPr>
        <w:t xml:space="preserve">## أوّلًا: المنظّمات الحقوقية</w:t>
      </w:r>
    </w:p>
    <w:p>
      <w:pPr>
        <w:bidi/>
        <w:spacing w:after="160"/>
        <w:jc w:val="start"/>
      </w:pPr>
      <w:r>
        <w:rPr>
          <w:sz w:val="24"/>
          <w:szCs w:val="24"/>
          <w:rtl/>
        </w:rPr>
        <w:t xml:space="preserve">أكبر منظّمات الناشطين في العالم الناطق بالإنجليزية:</w:t>
      </w:r>
    </w:p>
    <w:p>
      <w:pPr>
        <w:bidi/>
        <w:spacing w:after="160"/>
        <w:jc w:val="start"/>
      </w:pPr>
      <w:r>
        <w:rPr>
          <w:sz w:val="24"/>
          <w:szCs w:val="24"/>
          <w:rtl/>
        </w:rPr>
        <w:t xml:space="preserve">**1. حملة حقوق الإنسان (Human Rights Campaign – HRC):** أكبر منظّمة مدافعة عن حقوق المثليين في الولايات المتّحدة. تأسّست سنة 1980. ميزانيتها السنوية تتجاوز 50 مليون دولار. تنشر سنويًا «مؤشّر المساواة الشركاتي» (Corporate Equality Index – CEI) الذي يصنّف الشركات بناءً على سياساتها تجاه الموظّفين المثليين والمتحوّلين، وقد صار هذا المؤشّر أداةً ضاغطة على الشركات.</w:t>
      </w:r>
    </w:p>
    <w:p>
      <w:pPr>
        <w:bidi/>
        <w:spacing w:after="160"/>
        <w:jc w:val="start"/>
      </w:pPr>
      <w:r>
        <w:rPr>
          <w:sz w:val="24"/>
          <w:szCs w:val="24"/>
          <w:rtl/>
        </w:rPr>
        <w:t xml:space="preserve">**2. غلاد (GLAAD):** تأسّست سنة 1985، وتركّز على الإعلام. تنشر سنويًا تقريرًا يقيس حضور الشخصيات المثلية في التلفزيون والسينما (Where We Are on TV).</w:t>
      </w:r>
    </w:p>
    <w:p>
      <w:pPr>
        <w:bidi/>
        <w:spacing w:after="160"/>
        <w:jc w:val="start"/>
      </w:pPr>
      <w:r>
        <w:rPr>
          <w:sz w:val="24"/>
          <w:szCs w:val="24"/>
          <w:rtl/>
        </w:rPr>
        <w:t xml:space="preserve">**3. لامبدا ليغال (Lambda Legal):** منظّمة قانونية تأسّست 1973، تتقاضى في قضايا حقوق المثليين، وقد لعبت دورًا محوريًا في كثير من القضايا المهمّة.</w:t>
      </w:r>
    </w:p>
    <w:p>
      <w:pPr>
        <w:bidi/>
        <w:spacing w:after="160"/>
        <w:jc w:val="start"/>
      </w:pPr>
      <w:r>
        <w:rPr>
          <w:sz w:val="24"/>
          <w:szCs w:val="24"/>
          <w:rtl/>
        </w:rPr>
        <w:t xml:space="preserve">**4. اتّحاد الحرّيات المدنية الأمريكي (ACLU):** له «مشروع حقوق LGBT» منذ عقود.</w:t>
      </w:r>
    </w:p>
    <w:p>
      <w:pPr>
        <w:bidi/>
        <w:spacing w:after="160"/>
        <w:jc w:val="start"/>
      </w:pPr>
      <w:r>
        <w:rPr>
          <w:sz w:val="24"/>
          <w:szCs w:val="24"/>
          <w:rtl/>
        </w:rPr>
        <w:t xml:space="preserve">**5. ستونوول (Stonewall) في المملكة المتّحدة:** أكبر منظّمة من نوعها في بريطانيا، تأسّست 1989.</w:t>
      </w:r>
    </w:p>
    <w:p>
      <w:pPr>
        <w:bidi/>
        <w:spacing w:after="160"/>
        <w:jc w:val="start"/>
      </w:pPr>
      <w:r>
        <w:rPr>
          <w:sz w:val="24"/>
          <w:szCs w:val="24"/>
          <w:rtl/>
        </w:rPr>
        <w:t xml:space="preserve">**6. ILGA (الرابطة الدولية للمثليين):** منظّمة دولية تأسّست 1978، تنسّق نشاطًا في أكثر من 160 دولة.</w:t>
      </w:r>
    </w:p>
    <w:p>
      <w:pPr>
        <w:bidi/>
        <w:spacing w:after="160"/>
        <w:jc w:val="start"/>
      </w:pPr>
      <w:r>
        <w:rPr>
          <w:sz w:val="24"/>
          <w:szCs w:val="24"/>
          <w:rtl/>
        </w:rPr>
        <w:t xml:space="preserve">ومن المهمّ ملاحظة أنّ كثيرًا من هذه المنظّمات لها وضع استشاري في الأمم المتّحدة، ممّا يعطيها وزنًا في صياغة التقارير والقرارات الدولية.</w:t>
      </w:r>
    </w:p>
    <w:p>
      <w:pPr>
        <w:bidi/>
        <w:spacing w:after="160"/>
        <w:jc w:val="start"/>
      </w:pPr>
      <w:r>
        <w:rPr>
          <w:sz w:val="24"/>
          <w:szCs w:val="24"/>
          <w:rtl/>
        </w:rPr>
        <w:t xml:space="preserve">## ثانيًا: شبكات التمويل الكبيرة</w:t>
      </w:r>
    </w:p>
    <w:p>
      <w:pPr>
        <w:bidi/>
        <w:spacing w:after="160"/>
        <w:jc w:val="start"/>
      </w:pPr>
      <w:r>
        <w:rPr>
          <w:sz w:val="24"/>
          <w:szCs w:val="24"/>
          <w:rtl/>
        </w:rPr>
        <w:t xml:space="preserve">من أبرز الممولّين:</w:t>
      </w:r>
    </w:p>
    <w:p>
      <w:pPr>
        <w:bidi/>
        <w:spacing w:after="160"/>
        <w:jc w:val="start"/>
      </w:pPr>
      <w:r>
        <w:rPr>
          <w:sz w:val="24"/>
          <w:szCs w:val="24"/>
          <w:rtl/>
        </w:rPr>
        <w:t xml:space="preserve">**1. مؤسّسة أركوس (Arcus Foundation):** أسّسها رجل الأعمال جون ستراير سنة 2000. تقدّم منحًا تتجاوز 25 مليون دولار سنويًا في قضايا LGBTQ والقردة العليا (مفارقة طريفة). تموّل منظّمات في أكثر من 50 دولة، خصوصًا في الجنوب العالمي.</w:t>
      </w:r>
    </w:p>
    <w:p>
      <w:pPr>
        <w:bidi/>
        <w:spacing w:after="160"/>
        <w:jc w:val="start"/>
      </w:pPr>
      <w:r>
        <w:rPr>
          <w:sz w:val="24"/>
          <w:szCs w:val="24"/>
          <w:rtl/>
        </w:rPr>
        <w:t xml:space="preserve">**2. مؤسّسة تايدز (Tides Foundation):** أكبر شبكة تمويل تقدّمي في الولايات المتّحدة. تتلقّى أموالًا من متبرّعين كبار وتوزّعها على منظّمات بحسب أولويات أيديولوجية. كان لها دور كبير في تمويل قضايا LGBTQ.</w:t>
      </w:r>
    </w:p>
    <w:p>
      <w:pPr>
        <w:bidi/>
        <w:spacing w:after="160"/>
        <w:jc w:val="start"/>
      </w:pPr>
      <w:r>
        <w:rPr>
          <w:sz w:val="24"/>
          <w:szCs w:val="24"/>
          <w:rtl/>
        </w:rPr>
        <w:t xml:space="preserve">**3. مؤسّسات أوبن سوسايتي (Open Society Foundations) لجورج سوروس:** تنفق مليارات سنويًا في قضايا متعدّدة، منها حقوق LGBTQ في الجنوب العالمي.</w:t>
      </w:r>
    </w:p>
    <w:p>
      <w:pPr>
        <w:bidi/>
        <w:spacing w:after="160"/>
        <w:jc w:val="start"/>
      </w:pPr>
      <w:r>
        <w:rPr>
          <w:sz w:val="24"/>
          <w:szCs w:val="24"/>
          <w:rtl/>
        </w:rPr>
        <w:t xml:space="preserve">**4. مؤسّسة فورد (Ford Foundation):** ميزانيتها تتجاوز 14 مليار دولار، وتدعم منظّمات حقوق LGBTQ ضمن برامجها للحقوق المدنية.</w:t>
      </w:r>
    </w:p>
    <w:p>
      <w:pPr>
        <w:bidi/>
        <w:spacing w:after="160"/>
        <w:jc w:val="start"/>
      </w:pPr>
      <w:r>
        <w:rPr>
          <w:sz w:val="24"/>
          <w:szCs w:val="24"/>
          <w:rtl/>
        </w:rPr>
        <w:t xml:space="preserve">**5. شبكة العطاء الفردي:** كبار الأثرياء مثل تيم غيل (مؤسّس برمجيات Quark)، الذي خصّص ثروة كبيرة لمشروع «Gill Action» للضغط في القضايا التشريعية في الولايات الأمريكية.</w:t>
      </w:r>
    </w:p>
    <w:p>
      <w:pPr>
        <w:bidi/>
        <w:spacing w:after="160"/>
        <w:jc w:val="start"/>
      </w:pPr>
      <w:r>
        <w:rPr>
          <w:sz w:val="24"/>
          <w:szCs w:val="24"/>
          <w:rtl/>
        </w:rPr>
        <w:t xml:space="preserve">ووفق تقرير «Global Resources Report» لمؤسّسة Funders for LGBTQ Issues، بلغ إجمالي التمويل العالمي لقضايا LGBTQ حوالي 760 مليون دولار سنة 2021، وهو رقم يفوق ميزانية بعض الدول الصغيرة في برنامج واحد.</w:t>
      </w:r>
    </w:p>
    <w:p>
      <w:pPr>
        <w:bidi/>
        <w:spacing w:after="160"/>
        <w:jc w:val="start"/>
      </w:pPr>
      <w:r>
        <w:rPr>
          <w:sz w:val="24"/>
          <w:szCs w:val="24"/>
          <w:rtl/>
        </w:rPr>
        <w:t xml:space="preserve">## ثالثًا: الشركات الكبرى وأطر ESG</w:t>
      </w:r>
    </w:p>
    <w:p>
      <w:pPr>
        <w:bidi/>
        <w:spacing w:after="160"/>
        <w:jc w:val="start"/>
      </w:pPr>
      <w:r>
        <w:rPr>
          <w:sz w:val="24"/>
          <w:szCs w:val="24"/>
          <w:rtl/>
        </w:rPr>
        <w:t xml:space="preserve">بدأ التبنّي الشركاتي للقضية في التسعينيات، لكنّه تسارع تسارعًا غير مسبوق بعد 2015. والعوامل المحرّكة متعدّدة:</w:t>
      </w:r>
    </w:p>
    <w:p>
      <w:pPr>
        <w:bidi/>
        <w:spacing w:after="160"/>
        <w:jc w:val="start"/>
      </w:pPr>
      <w:r>
        <w:rPr>
          <w:sz w:val="24"/>
          <w:szCs w:val="24"/>
          <w:rtl/>
        </w:rPr>
        <w:t xml:space="preserve">**1. مؤشّر المساواة الشركاتي (CEI):** كما ذُكر، تنشر HRC تصنيفًا سنويًا للشركات. الشركات التي تحصل على «100%» تُحتفى بها في الإعلام، والتي تتراجع تنتقد. وقد صار هذا التصنيف أداةً ضاغطة قويّة.</w:t>
      </w:r>
    </w:p>
    <w:p>
      <w:pPr>
        <w:bidi/>
        <w:spacing w:after="160"/>
        <w:jc w:val="start"/>
      </w:pPr>
      <w:r>
        <w:rPr>
          <w:sz w:val="24"/>
          <w:szCs w:val="24"/>
          <w:rtl/>
        </w:rPr>
        <w:t xml:space="preserve">**2. أطر ESG (البيئة والاجتماع والحوكمة):** بدأت صناديق الاستثمار الكبرى مثل بلاك روك (BlackRock) في إدراج معايير «التنوّع والشمول» (DEI)، التي تشمل سياسات LGBTQ، ضمن معاييرها الاستثمارية. وهذا أعطى المنظّمات الحقوقية أداة للضغط على الشركات: إمّا الالتزام أو خسارة الاستثمار.</w:t>
      </w:r>
    </w:p>
    <w:p>
      <w:pPr>
        <w:bidi/>
        <w:spacing w:after="160"/>
        <w:jc w:val="start"/>
      </w:pPr>
      <w:r>
        <w:rPr>
          <w:sz w:val="24"/>
          <w:szCs w:val="24"/>
          <w:rtl/>
        </w:rPr>
        <w:t xml:space="preserve">**3. التسويق:** اكتشفت الشركات أنّ المثليين هم سوق ذو دخل مرتفع («Pink Dollar»)، ممّا حرّك الإعلانات والمنتجات الموجّهة.</w:t>
      </w:r>
    </w:p>
    <w:p>
      <w:pPr>
        <w:bidi/>
        <w:spacing w:after="160"/>
        <w:jc w:val="start"/>
      </w:pPr>
      <w:r>
        <w:rPr>
          <w:sz w:val="24"/>
          <w:szCs w:val="24"/>
          <w:rtl/>
        </w:rPr>
        <w:t xml:space="preserve">**4. سياسات التوظيف:** فرضت الشركات الكبرى سياسات صارمة لمكافحة التمييز، وأقامت «شبكات أعمال للموظّفين المثليين» (ERGs).</w:t>
      </w:r>
    </w:p>
    <w:p>
      <w:pPr>
        <w:bidi/>
        <w:spacing w:after="160"/>
        <w:jc w:val="start"/>
      </w:pPr>
      <w:r>
        <w:rPr>
          <w:sz w:val="24"/>
          <w:szCs w:val="24"/>
          <w:rtl/>
        </w:rPr>
        <w:t xml:space="preserve">والمفارقة، كما أشرنا في الفصل السابق، أنّ ردود الفعل العكسية بدأت تظهر («Bud Light Effect»)، ممّا دفع بعض الشركات إلى تخفيف ظهورها العلني.</w:t>
      </w:r>
    </w:p>
    <w:p>
      <w:pPr>
        <w:bidi/>
        <w:spacing w:after="160"/>
        <w:jc w:val="start"/>
      </w:pPr>
      <w:r>
        <w:rPr>
          <w:sz w:val="24"/>
          <w:szCs w:val="24"/>
          <w:rtl/>
        </w:rPr>
        <w:t xml:space="preserve">## رابعًا: تمثيل الإعلام</w:t>
      </w:r>
    </w:p>
    <w:p>
      <w:pPr>
        <w:bidi/>
        <w:spacing w:after="160"/>
        <w:jc w:val="start"/>
      </w:pPr>
      <w:r>
        <w:rPr>
          <w:sz w:val="24"/>
          <w:szCs w:val="24"/>
          <w:rtl/>
        </w:rPr>
        <w:t xml:space="preserve">شكّل الإعلام أداة محورية في تطبيع الحركة:</w:t>
      </w:r>
    </w:p>
    <w:p>
      <w:pPr>
        <w:bidi/>
        <w:spacing w:after="160"/>
        <w:jc w:val="start"/>
      </w:pPr>
      <w:r>
        <w:rPr>
          <w:sz w:val="24"/>
          <w:szCs w:val="24"/>
          <w:rtl/>
        </w:rPr>
        <w:t xml:space="preserve">**1. تقارير غلاد السنوية:** ترصد عدد الشخصيات المثلية في التلفزيون. في 2022–2023، كانت 11.9% من شخصيات البرامج التلفزيونية الأمريكية الرئيسية شخصيات LGBTQ، مقارنة بنسبة الإحصاء الفعلية الأقلّ بكثير من ذلك.</w:t>
      </w:r>
    </w:p>
    <w:p>
      <w:pPr>
        <w:bidi/>
        <w:spacing w:after="160"/>
        <w:jc w:val="start"/>
      </w:pPr>
      <w:r>
        <w:rPr>
          <w:sz w:val="24"/>
          <w:szCs w:val="24"/>
          <w:rtl/>
        </w:rPr>
        <w:t xml:space="preserve">**2. منصّات البثّ:** نتفلكس وأمازون وديزني بلس وغيرها لها سياسات صريحة لتعزيز التنوّع، بما يشمل الشخصيات المثلية.</w:t>
      </w:r>
    </w:p>
    <w:p>
      <w:pPr>
        <w:bidi/>
        <w:spacing w:after="160"/>
        <w:jc w:val="start"/>
      </w:pPr>
      <w:r>
        <w:rPr>
          <w:sz w:val="24"/>
          <w:szCs w:val="24"/>
          <w:rtl/>
        </w:rPr>
        <w:t xml:space="preserve">**3. أفلام ديزني:** صارت ديزني — التي كانت رمز العائلة التقليدية — مثار جدل بعد ضمّها مشاهد ورسائل مثلية في أفلام موجّهة للأطفال.</w:t>
      </w:r>
    </w:p>
    <w:p>
      <w:pPr>
        <w:bidi/>
        <w:spacing w:after="160"/>
        <w:jc w:val="start"/>
      </w:pPr>
      <w:r>
        <w:rPr>
          <w:sz w:val="24"/>
          <w:szCs w:val="24"/>
          <w:rtl/>
        </w:rPr>
        <w:t xml:space="preserve">**4. الصحافة الجادّة:** صحف كنيويورك تايمز، وغارديان، وواشنطن بوست لها تغطية متّسقة داعمة، بينما يبقى التغطية النقدية محصورة في صحف وأقلام معدودة.</w:t>
      </w:r>
    </w:p>
    <w:p>
      <w:pPr>
        <w:bidi/>
        <w:spacing w:after="160"/>
        <w:jc w:val="start"/>
      </w:pPr>
      <w:r>
        <w:rPr>
          <w:sz w:val="24"/>
          <w:szCs w:val="24"/>
          <w:rtl/>
        </w:rPr>
        <w:t xml:space="preserve">**5. وسائل التواصل الاجتماعي:** سياسات تويتر/إكس، وفيسبوك، وإنستاغرام، ويوتيوب تضمّنت قواعد تحظر «خطاب الكراهية»، وقد طُبّقت هذه القواعد في حالات كثيرة على منشورات تنتقد الحركة، حتّى لو كانت من منظور ديني تقليدي.</w:t>
      </w:r>
    </w:p>
    <w:p>
      <w:pPr>
        <w:bidi/>
        <w:spacing w:after="160"/>
        <w:jc w:val="start"/>
      </w:pPr>
      <w:r>
        <w:rPr>
          <w:sz w:val="24"/>
          <w:szCs w:val="24"/>
          <w:rtl/>
        </w:rPr>
        <w:t xml:space="preserve">## خامسًا: المؤسّسات الأكاديمية</w:t>
      </w:r>
    </w:p>
    <w:p>
      <w:pPr>
        <w:bidi/>
        <w:spacing w:after="160"/>
        <w:jc w:val="start"/>
      </w:pPr>
      <w:r>
        <w:rPr>
          <w:sz w:val="24"/>
          <w:szCs w:val="24"/>
          <w:rtl/>
        </w:rPr>
        <w:t xml:space="preserve">**1. أقسام دراسات الجنسانية والجندر:** انتشرت في الجامعات الأمريكية والأوروبية منذ السبعينيات، وأصبحت تخصّصًا قائمًا له أساتذته ومجلّاته وكتبه.</w:t>
      </w:r>
    </w:p>
    <w:p>
      <w:pPr>
        <w:bidi/>
        <w:spacing w:after="160"/>
        <w:jc w:val="start"/>
      </w:pPr>
      <w:r>
        <w:rPr>
          <w:sz w:val="24"/>
          <w:szCs w:val="24"/>
          <w:rtl/>
        </w:rPr>
        <w:t xml:space="preserve">**2. مراجعة الأقران:** الدراسات التي تدعم الموقف التقليدي تواجه صعوبات في النشر في المجلّات الكبرى، كما حدث في حالة دراسة Mark Regnerus (2012) التي تعرّضت لانتقادات شديدة وحملات لإسقاطها.</w:t>
      </w:r>
    </w:p>
    <w:p>
      <w:pPr>
        <w:bidi/>
        <w:spacing w:after="160"/>
        <w:jc w:val="start"/>
      </w:pPr>
      <w:r>
        <w:rPr>
          <w:sz w:val="24"/>
          <w:szCs w:val="24"/>
          <w:rtl/>
        </w:rPr>
        <w:t xml:space="preserve">**3. الجمعيات المهنية:** الجمعية الأمريكية للطبّ النفسي (APA)، والجمعية الأمريكية لطبّ الأطفال (AAP)، والجمعية الطبّية الأمريكية (AMA) كلّها تبنّت مواقف رسمية داعمة. وقد أدّى ذلك إلى أنّ الأطبّاء الذين يخالفون قد يواجهون مشكلات مهنية.</w:t>
      </w:r>
    </w:p>
    <w:p>
      <w:pPr>
        <w:bidi/>
        <w:spacing w:after="160"/>
        <w:jc w:val="start"/>
      </w:pPr>
      <w:r>
        <w:rPr>
          <w:sz w:val="24"/>
          <w:szCs w:val="24"/>
          <w:rtl/>
        </w:rPr>
        <w:t xml:space="preserve">**4. مدوّنات السلوك الأكاديمي:** تشترط بعض الجامعات على الباحثين الالتزام بـ«إعلانات تنوّع» في طلبات التوظيف، ممّا يُقصي عمليًا من له مواقف تقليدية.</w:t>
      </w:r>
    </w:p>
    <w:p>
      <w:pPr>
        <w:bidi/>
        <w:spacing w:after="160"/>
        <w:jc w:val="start"/>
      </w:pPr>
      <w:r>
        <w:rPr>
          <w:sz w:val="24"/>
          <w:szCs w:val="24"/>
          <w:rtl/>
        </w:rPr>
        <w:t xml:space="preserve">## سادسًا: المؤسّسات الدولية</w:t>
      </w:r>
    </w:p>
    <w:p>
      <w:pPr>
        <w:bidi/>
        <w:spacing w:after="160"/>
        <w:jc w:val="start"/>
      </w:pPr>
      <w:r>
        <w:rPr>
          <w:sz w:val="24"/>
          <w:szCs w:val="24"/>
          <w:rtl/>
        </w:rPr>
        <w:t xml:space="preserve">**1. الأمم المتّحدة:** عُيّن «خبير مستقلّ معنيّ بالحماية من العنف والتمييز على أساس التوجّه الجنسي والهوية الجندرية» سنة 2016. ويصدر سنويًا تقارير تنتقد الدول التي لا تتوافق مع المعايير الدولية المقترحة.</w:t>
      </w:r>
    </w:p>
    <w:p>
      <w:pPr>
        <w:bidi/>
        <w:spacing w:after="160"/>
        <w:jc w:val="start"/>
      </w:pPr>
      <w:r>
        <w:rPr>
          <w:sz w:val="24"/>
          <w:szCs w:val="24"/>
          <w:rtl/>
        </w:rPr>
        <w:t xml:space="preserve">**2. البنك الدولي:** ربط في بعض الحالات قروضه بسياسات الدول تجاه المثليين. على سبيل المثال، علّق قروضًا لأوغندا بعد قانون 2023.</w:t>
      </w:r>
    </w:p>
    <w:p>
      <w:pPr>
        <w:bidi/>
        <w:spacing w:after="160"/>
        <w:jc w:val="start"/>
      </w:pPr>
      <w:r>
        <w:rPr>
          <w:sz w:val="24"/>
          <w:szCs w:val="24"/>
          <w:rtl/>
        </w:rPr>
        <w:t xml:space="preserve">**3. الاتّحاد الأوروبي:** شرط للانضمام في كثير من الحالات.</w:t>
      </w:r>
    </w:p>
    <w:p>
      <w:pPr>
        <w:bidi/>
        <w:spacing w:after="160"/>
        <w:jc w:val="start"/>
      </w:pPr>
      <w:r>
        <w:rPr>
          <w:sz w:val="24"/>
          <w:szCs w:val="24"/>
          <w:rtl/>
        </w:rPr>
        <w:t xml:space="preserve">**4. السياسة الخارجية الأمريكية:** خصوصًا في ولاية الرئيس باراك أوباما، ثمّ في ولاية جو بايدن، تبنّت الإدارة دفع حقوق LGBTQ كأولوية في السياسة الخارجية، خصوصًا في أفريقيا والشرق الأوسط. وتراجع هذا الدفع نسبيًا في إدارات أخرى.</w:t>
      </w:r>
    </w:p>
    <w:p>
      <w:pPr>
        <w:bidi/>
        <w:spacing w:after="160"/>
        <w:jc w:val="start"/>
      </w:pPr>
      <w:r>
        <w:rPr>
          <w:sz w:val="24"/>
          <w:szCs w:val="24"/>
          <w:rtl/>
        </w:rPr>
        <w:t xml:space="preserve">## سابعًا: منصّات التكنولوجيا</w:t>
      </w:r>
    </w:p>
    <w:p>
      <w:pPr>
        <w:bidi/>
        <w:spacing w:after="160"/>
        <w:jc w:val="start"/>
      </w:pPr>
      <w:r>
        <w:rPr>
          <w:sz w:val="24"/>
          <w:szCs w:val="24"/>
          <w:rtl/>
        </w:rPr>
        <w:t xml:space="preserve">سياسات «الإشراف على المحتوى» في المنصّات الكبرى — تويتر/إكس، فيسبوك، إنستاغرام، تيك توك، يوتيوب — صنّفت كثيرًا من الخطاب الديني التقليدي حول هذا الموضوع باعتباره «خطاب كراهية»، ممّا أدّى إلى حذف منشورات أو حسابات. وتختلف الشبكات في حدّة هذه السياسات: تويتر بعد استحواذ إيلون ماسك (2022) خفّف من القيود، بينما تشدّدت تيك توك ومنصّات أخرى. والمشكلة هنا ليست بالضرورة في وجود قواعد، بل في عدم الاتّساق وانتقائية التطبيق.</w:t>
      </w:r>
    </w:p>
    <w:p>
      <w:pPr>
        <w:bidi/>
        <w:spacing w:after="160"/>
        <w:jc w:val="start"/>
      </w:pPr>
      <w:r>
        <w:rPr>
          <w:sz w:val="24"/>
          <w:szCs w:val="24"/>
          <w:rtl/>
        </w:rPr>
        <w:t xml:space="preserve">## ثامنًا: السياسة والقانون</w:t>
      </w:r>
    </w:p>
    <w:p>
      <w:pPr>
        <w:bidi/>
        <w:spacing w:after="160"/>
        <w:jc w:val="start"/>
      </w:pPr>
      <w:r>
        <w:rPr>
          <w:sz w:val="24"/>
          <w:szCs w:val="24"/>
          <w:rtl/>
        </w:rPr>
        <w:t xml:space="preserve">تشكّل الحركة قوّة سياسية حقيقية في كثير من الدول الغربية:</w:t>
      </w:r>
    </w:p>
    <w:p>
      <w:pPr>
        <w:bidi/>
        <w:spacing w:after="160"/>
        <w:jc w:val="start"/>
      </w:pPr>
      <w:r>
        <w:rPr>
          <w:sz w:val="24"/>
          <w:szCs w:val="24"/>
          <w:rtl/>
        </w:rPr>
        <w:t xml:space="preserve">- صوت ناخبي LGBTQ في الانتخابات الأمريكية: نحو 7%–8%، وهو ما يكفي لترجيح كفّة في ولايات حاسمة. - التبرّعات السياسية: «PAC» وغيرها من منظّمات اللوبي. - المسؤولون المنتخبون: زاد عددهم في البرلمانات الغربية بشكل ملحوظ، ومن أبرزهم وزراء ورؤساء حكومات.</w:t>
      </w:r>
    </w:p>
    <w:p>
      <w:pPr>
        <w:bidi/>
        <w:spacing w:after="160"/>
        <w:jc w:val="start"/>
      </w:pPr>
      <w:r>
        <w:rPr>
          <w:sz w:val="24"/>
          <w:szCs w:val="24"/>
          <w:rtl/>
        </w:rPr>
        <w:t xml:space="preserve">## خلاصة الفصل: شبكة لا «مؤامرة»</w:t>
      </w:r>
    </w:p>
    <w:p>
      <w:pPr>
        <w:bidi/>
        <w:spacing w:after="160"/>
        <w:jc w:val="start"/>
      </w:pPr>
      <w:r>
        <w:rPr>
          <w:sz w:val="24"/>
          <w:szCs w:val="24"/>
          <w:rtl/>
        </w:rPr>
        <w:t xml:space="preserve">ما يكشفه هذا الفصل أنّ الحركة المعاصرة ليست «مؤامرة» بمعنى تنسيق سرّي، بل هي شبكة منظّمات وممولّين ومؤسّسات تعمل بشكل متوازٍ وأحيانًا متناغم لتحقيق أهداف مشتركة، ولها قنوات قانونية وسياسية وإعلامية وأكاديمية وشركاتية. وفهم هذه الشبكة لا يعني إدانتها بالضرورة، بل يعني التعامل مع الواقع كما هو.</w:t>
      </w:r>
    </w:p>
    <w:p>
      <w:pPr>
        <w:bidi/>
        <w:spacing w:after="160"/>
        <w:jc w:val="start"/>
      </w:pPr>
      <w:r>
        <w:rPr>
          <w:sz w:val="24"/>
          <w:szCs w:val="24"/>
          <w:rtl/>
        </w:rPr>
        <w:t xml:space="preserve">ومن جهة أخرى، فإنّ هذه الشبكة لا تعني أنّ كلّ من يشارك في فعالياتها أو يتأثّر بها هو «مأجور» أو «مغرَّر به»؛ فالناس يتأثّرون بأسباب متعدّدة، والقناعة قد تنشأ من مصدر صادق. لكن من المهمّ، حين نقيّم الظاهرة الاجتماعية في مجملها، أن ندرك حجم الموارد والقنوات التي تُدفع بها، حتّى لا نقع في وهم أنّها مجرّد «انتشار طبيعي للحقّ». والله أعلم.</w:t>
      </w:r>
    </w:p>
    <w:p>
      <w:r>
        <w:br w:type="page"/>
      </w:r>
    </w:p>
    <w:p>
      <w:pPr>
        <w:bidi/>
        <w:spacing w:after="360" w:before="600"/>
        <w:jc w:val="center"/>
      </w:pPr>
      <w:r>
        <w:rPr>
          <w:b/>
          <w:bCs/>
          <w:color w:val="1B3A5C"/>
          <w:sz w:val="36"/>
          <w:szCs w:val="36"/>
          <w:rtl/>
        </w:rPr>
        <w:t xml:space="preserve">الفصل التاسع: أرقام وإحصاءات</w:t>
      </w:r>
    </w:p>
    <w:p>
      <w:pPr>
        <w:bidi/>
        <w:spacing w:after="160"/>
        <w:jc w:val="start"/>
      </w:pPr>
      <w:r>
        <w:rPr>
          <w:sz w:val="24"/>
          <w:szCs w:val="24"/>
          <w:rtl/>
        </w:rPr>
        <w:t xml:space="preserve">﴿وَأَحْصَىٰ كُلَّ شَيْءٍ عَدَدًا﴾ (الجن: 28)</w:t>
      </w:r>
    </w:p>
    <w:p>
      <w:pPr>
        <w:bidi/>
        <w:spacing w:after="160"/>
        <w:jc w:val="start"/>
      </w:pPr>
      <w:r>
        <w:rPr>
          <w:sz w:val="24"/>
          <w:szCs w:val="24"/>
          <w:rtl/>
        </w:rPr>
        <w:t xml:space="preserve">## مقدّمة في تحدّي القياس</w:t>
      </w:r>
    </w:p>
    <w:p>
      <w:pPr>
        <w:bidi/>
        <w:spacing w:after="160"/>
        <w:jc w:val="start"/>
      </w:pPr>
      <w:r>
        <w:rPr>
          <w:sz w:val="24"/>
          <w:szCs w:val="24"/>
          <w:rtl/>
        </w:rPr>
        <w:t xml:space="preserve">من أصعب المسائل البحثية: «كم نسبة المثليين في المجتمع؟». والصعوبة لها أسباب منهجية لا أيديولوجية: السلوك يختلف عن الميل، والميل يختلف عن الهوية المعلنة. وقد بيّنّا في الفصل الأوّل ضرورة التمييز بين هذه المستويات الثلاثة. وعند جمع البيانات، تختلف الأرقام كثيرًا بحسب أيّ مستوى تقيس.</w:t>
      </w:r>
    </w:p>
    <w:p>
      <w:pPr>
        <w:bidi/>
        <w:spacing w:after="160"/>
        <w:jc w:val="start"/>
      </w:pPr>
      <w:r>
        <w:rPr>
          <w:sz w:val="24"/>
          <w:szCs w:val="24"/>
          <w:rtl/>
        </w:rPr>
        <w:t xml:space="preserve">ومن العوامل التي تؤثّر في الأرقام:</w:t>
      </w:r>
    </w:p>
    <w:p>
      <w:pPr>
        <w:bidi/>
        <w:spacing w:after="160"/>
        <w:jc w:val="start"/>
      </w:pPr>
      <w:r>
        <w:rPr>
          <w:sz w:val="24"/>
          <w:szCs w:val="24"/>
          <w:rtl/>
        </w:rPr>
        <w:t xml:space="preserve">- **الوصمة الاجتماعية:** كلّما كانت الوصمة أعلى، انخفضت نسبة الإفصاح في الاستبيانات. - **القبول الاجتماعي:** كلّما زاد القبول، زاد الإفصاح، وقد يزيد التعريف الذاتي حتّى دون تغيّر السلوك. - **سنّ المُستجِيب:** الفئات الأصغر سنًا تعرّف نفسها بنسب أعلى. - **منهجية الاستبيان:** الاستبيانات السرّية تختلف عن المقابلات الشخصية، والاستبيانات على الإنترنت تختلف عن الاستبيانات الورقية.</w:t>
      </w:r>
    </w:p>
    <w:p>
      <w:pPr>
        <w:bidi/>
        <w:spacing w:after="160"/>
        <w:jc w:val="start"/>
      </w:pPr>
      <w:r>
        <w:rPr>
          <w:sz w:val="24"/>
          <w:szCs w:val="24"/>
          <w:rtl/>
        </w:rPr>
        <w:t xml:space="preserve">ولذا فإنّ كلّ رقم يجب قراءته في سياقه المنهجي، لا انتزاعه ووضعه في خطاب سياسي.</w:t>
      </w:r>
    </w:p>
    <w:p>
      <w:pPr>
        <w:bidi/>
        <w:spacing w:after="160"/>
        <w:jc w:val="start"/>
      </w:pPr>
      <w:r>
        <w:rPr>
          <w:sz w:val="24"/>
          <w:szCs w:val="24"/>
          <w:rtl/>
        </w:rPr>
        <w:t xml:space="preserve">## دراسات الإحصاء الكلاسيكية</w:t>
      </w:r>
    </w:p>
    <w:p>
      <w:pPr>
        <w:bidi/>
        <w:spacing w:after="160"/>
        <w:jc w:val="start"/>
      </w:pPr>
      <w:r>
        <w:rPr>
          <w:sz w:val="24"/>
          <w:szCs w:val="24"/>
          <w:rtl/>
        </w:rPr>
        <w:t xml:space="preserve">**ألفريد كنزي (1948، 1953):** كما ذكرنا في الفصل السادس، قدّر كنزي نسبة من «بشكل جوهري» مثلي بنحو 10% من الذكور. لكنّ مناهجه تعرّضت لانتقادات شديدة، خصوصًا من حيث التحيّز في العيّنة (نسبة عالية من نزلاء السجون والمشاركين الذين تطوّعوا بسبب اهتمامات شخصية).</w:t>
      </w:r>
    </w:p>
    <w:p>
      <w:pPr>
        <w:bidi/>
        <w:spacing w:after="160"/>
        <w:jc w:val="start"/>
      </w:pPr>
      <w:r>
        <w:rPr>
          <w:sz w:val="24"/>
          <w:szCs w:val="24"/>
          <w:rtl/>
        </w:rPr>
        <w:t xml:space="preserve">**دراسة Laumann وزملائه (1994):** «الجنسانية الاجتماعية في الولايات المتّحدة» (The Social Organization of Sexuality)، وهي أوّل دراسة تمثيلية واسعة منهجيًا. وجدت أنّ نحو 2.8% من الذكور و1.4% من الإناث يعرّفون أنفسهم باعتبارهم مثليين أو ثنائيي الميل، وأنّ نحو 4.9% من الذكور و4.1% من الإناث ذكروا أنّهم مارسوا سلوكًا مثليًا في حياتهم البالغة، وأنّ نحو 7.7% من الذكور و7.5% من الإناث ذكروا انجذابًا مثليًا في وقت ما.</w:t>
      </w:r>
    </w:p>
    <w:p>
      <w:pPr>
        <w:bidi/>
        <w:spacing w:after="160"/>
        <w:jc w:val="start"/>
      </w:pPr>
      <w:r>
        <w:rPr>
          <w:sz w:val="24"/>
          <w:szCs w:val="24"/>
          <w:rtl/>
        </w:rPr>
        <w:t xml:space="preserve">والملاحظ أنّ هذه الأرقام أقلّ بكثير من رقم 10% الكنزيّ، وأنّ نسبة من «يعرّف نفسه» مثليًا أصغر من نسبة من «يمارس» السلوك، وأنّ نسبة من «ينجذب» أوسع من الاثنين معًا. وهذا يؤكّد أهمّية التمييز بين الطبقات الثلاث.</w:t>
      </w:r>
    </w:p>
    <w:p>
      <w:pPr>
        <w:bidi/>
        <w:spacing w:after="160"/>
        <w:jc w:val="start"/>
      </w:pPr>
      <w:r>
        <w:rPr>
          <w:sz w:val="24"/>
          <w:szCs w:val="24"/>
          <w:rtl/>
        </w:rPr>
        <w:t xml:space="preserve">## دراسات حديثة من غالوب (Gallup)</w:t>
      </w:r>
    </w:p>
    <w:p>
      <w:pPr>
        <w:bidi/>
        <w:spacing w:after="160"/>
        <w:jc w:val="start"/>
      </w:pPr>
      <w:r>
        <w:rPr>
          <w:sz w:val="24"/>
          <w:szCs w:val="24"/>
          <w:rtl/>
        </w:rPr>
        <w:t xml:space="preserve">تتبّعت مؤسّسة غالوب الأمريكية نسبة من يعرّفون أنفسهم LGBT في الولايات المتّحدة منذ 2012، وأظهرت زيادة دراماتيكية:</w:t>
      </w:r>
    </w:p>
    <w:p>
      <w:pPr>
        <w:bidi/>
        <w:spacing w:after="160"/>
        <w:jc w:val="start"/>
      </w:pPr>
      <w:r>
        <w:rPr>
          <w:sz w:val="24"/>
          <w:szCs w:val="24"/>
          <w:rtl/>
        </w:rPr>
        <w:t xml:space="preserve">- **2012:** 3.5%. - **2017:** 4.5%. - **2020:** 5.6%. - **2022:** 7.2%. - **2023:** 7.6%. - **2024:** نحو 7.6%–8% (التقديرات الأوّلية).</w:t>
      </w:r>
    </w:p>
    <w:p>
      <w:pPr>
        <w:bidi/>
        <w:spacing w:after="160"/>
        <w:jc w:val="start"/>
      </w:pPr>
      <w:r>
        <w:rPr>
          <w:sz w:val="24"/>
          <w:szCs w:val="24"/>
          <w:rtl/>
        </w:rPr>
        <w:t xml:space="preserve">وحين تُجزّأ هذه الأرقام بحسب الجيل، تكشف الفرق الجيلي الكبير:</w:t>
      </w:r>
    </w:p>
    <w:p>
      <w:pPr>
        <w:bidi/>
        <w:spacing w:after="160"/>
        <w:jc w:val="start"/>
      </w:pPr>
      <w:r>
        <w:rPr>
          <w:sz w:val="24"/>
          <w:szCs w:val="24"/>
          <w:rtl/>
        </w:rPr>
        <w:t xml:space="preserve">- **مواليد ما قبل 1946 («الجيل الصامت»):** أقلّ من 2%. - **«الجيل المبكّر بومرز» (1946–1964):** نحو 2.3%. - **الجيل X (1965–1980):** نحو 4.5%. - **الجيل المي‍لينيال (1981–1996):** نحو 9.1%. - **الجيل Z (مواليد 1997 فما بعد):** نحو 22.3% في تقديرات 2023.</w:t>
      </w:r>
    </w:p>
    <w:p>
      <w:pPr>
        <w:bidi/>
        <w:spacing w:after="160"/>
        <w:jc w:val="start"/>
      </w:pPr>
      <w:r>
        <w:rPr>
          <w:sz w:val="24"/>
          <w:szCs w:val="24"/>
          <w:rtl/>
        </w:rPr>
        <w:t xml:space="preserve">أي أنّ شابًا واحدًا من كلّ خمسة في الجيل Z يعرّف نفسه بأنّه LGBT في الولايات المتّحدة.</w:t>
      </w:r>
    </w:p>
    <w:p>
      <w:pPr>
        <w:bidi/>
        <w:spacing w:after="160"/>
        <w:jc w:val="start"/>
      </w:pPr>
      <w:r>
        <w:rPr>
          <w:sz w:val="24"/>
          <w:szCs w:val="24"/>
          <w:rtl/>
        </w:rPr>
        <w:t xml:space="preserve">## كيف نفسّر هذه الأرقام؟</w:t>
      </w:r>
    </w:p>
    <w:p>
      <w:pPr>
        <w:bidi/>
        <w:spacing w:after="160"/>
        <w:jc w:val="start"/>
      </w:pPr>
      <w:r>
        <w:rPr>
          <w:sz w:val="24"/>
          <w:szCs w:val="24"/>
          <w:rtl/>
        </w:rPr>
        <w:t xml:space="preserve">هنا يدخل النقاش الشائك. ثمّة تفسيرات متعدّدة، والحقيقة قد تجمع بعضها:</w:t>
      </w:r>
    </w:p>
    <w:p>
      <w:pPr>
        <w:bidi/>
        <w:spacing w:after="160"/>
        <w:jc w:val="start"/>
      </w:pPr>
      <w:r>
        <w:rPr>
          <w:sz w:val="24"/>
          <w:szCs w:val="24"/>
          <w:rtl/>
        </w:rPr>
        <w:t xml:space="preserve">**التفسير الأوّل: زيادة حقيقية.** يقول أصحاب هذا التفسير إنّ الأرقام السابقة كانت منقوصة بسبب الخوف من الوصمة، وأنّ الأرقام الحالية تعكس الواقع الفعلي. وهذا تفسير معقول جزئيًا، خصوصًا للأرقام الأولى من الزيادة.</w:t>
      </w:r>
    </w:p>
    <w:p>
      <w:pPr>
        <w:bidi/>
        <w:spacing w:after="160"/>
        <w:jc w:val="start"/>
      </w:pPr>
      <w:r>
        <w:rPr>
          <w:sz w:val="24"/>
          <w:szCs w:val="24"/>
          <w:rtl/>
        </w:rPr>
        <w:t xml:space="preserve">**التفسير الثاني: زيادة في القبول الاجتماعي وليس في الميل.** ربّما يكون القبول الاجتماعي قد كشف عن ميل كان موجودًا أصلًا. هذا التفسير قد يصدق على الفئات التي تعرّف نفسها بأنّها مثلية أو ثنائية، لكنّه يصعب تصديقه في حالة الزيادة من 3.5% إلى 22.3% في عقد واحد، إذ من غير المعقول أن تكون نسبة كهذه «مخفية» في جيل واحد فقط.</w:t>
      </w:r>
    </w:p>
    <w:p>
      <w:pPr>
        <w:bidi/>
        <w:spacing w:after="160"/>
        <w:jc w:val="start"/>
      </w:pPr>
      <w:r>
        <w:rPr>
          <w:sz w:val="24"/>
          <w:szCs w:val="24"/>
          <w:rtl/>
        </w:rPr>
        <w:t xml:space="preserve">**التفسير الثالث: العدوى الاجتماعية وتوسّع الهوية.** يطرح هذا التفسير أنّ بعض الزيادة ترجع إلى تأثير اجتماعي وثقافي وإعلامي، إذ تتبنّى الفئات الشابّة هويات معقّدة (Queer، Pansexual، Demisexual، إلخ) قد لا تنطوي بالضرورة على سلوك أو ميل ثابت. ولاحظت دراسات أنّ نسبة كبيرة من المراهقات يعرّفن أنفسهنّ بـ«ثنائيات الميل» دون أن يكون لهنّ تجارب فعلية. وقد كتبت الباحثة ليزا ليتمان (Lisa Littman) سنة 2018 دراسة جدلية عن ظاهرة «النوع المتغيّر سريعًا» (Rapid Onset Gender Dysphoria) لاحظت فيها أنّ بعض المراهقات يطوّرن هويات جندرية وجنسية في مجموعات.</w:t>
      </w:r>
    </w:p>
    <w:p>
      <w:pPr>
        <w:bidi/>
        <w:spacing w:after="160"/>
        <w:jc w:val="start"/>
      </w:pPr>
      <w:r>
        <w:rPr>
          <w:sz w:val="24"/>
          <w:szCs w:val="24"/>
          <w:rtl/>
        </w:rPr>
        <w:t xml:space="preserve">**التفسير الرابع: التمدّد المفهومي.** قد تكون الفئة نفسها قد توسّعت لتشمل تعريفات لم تكن مدرجة سابقًا. فالأكاديمية الأمريكية اليوم تتحدّث عن أكثر من 70 «هوية جنسية وجندرية»، وهو ما لم يكن قبل عقدين.</w:t>
      </w:r>
    </w:p>
    <w:p>
      <w:pPr>
        <w:bidi/>
        <w:spacing w:after="160"/>
        <w:jc w:val="start"/>
      </w:pPr>
      <w:r>
        <w:rPr>
          <w:sz w:val="24"/>
          <w:szCs w:val="24"/>
          <w:rtl/>
        </w:rPr>
        <w:t xml:space="preserve">والحقيقة قد تكون مزيجًا: زيادة حقيقية + قبول اجتماعي + توسّع مفهومي + بعض من تأثير اجتماعي.</w:t>
      </w:r>
    </w:p>
    <w:p>
      <w:pPr>
        <w:bidi/>
        <w:spacing w:after="160"/>
        <w:jc w:val="start"/>
      </w:pPr>
      <w:r>
        <w:rPr>
          <w:sz w:val="24"/>
          <w:szCs w:val="24"/>
          <w:rtl/>
        </w:rPr>
        <w:t xml:space="preserve">## الفجوة بين السلوك والهوية</w:t>
      </w:r>
    </w:p>
    <w:p>
      <w:pPr>
        <w:bidi/>
        <w:spacing w:after="160"/>
        <w:jc w:val="start"/>
      </w:pPr>
      <w:r>
        <w:rPr>
          <w:sz w:val="24"/>
          <w:szCs w:val="24"/>
          <w:rtl/>
        </w:rPr>
        <w:t xml:space="preserve">من الإحصاءات اللافتة: نسبة من «يعرّفون أنفسهم» LGBT أعلى من نسبة من «مارس سلوكًا» مثليًا في السنة الماضية. ففي دراسات مسح National Survey of Family Growth الأمريكية (2015–2019)، فإنّ نسبة الذكور الذين عرّفوا أنفسهم بأنّهم مثليون أو ثنائيون كانت 5.5%، لكنّ نسبة من قالوا إنّهم مارسوا سلوكًا مثليًا في السنة الماضية كانت أقلّ من ذلك بشكل ملحوظ. وهذا يعني أنّ الهوية صارت أوسع من السلوك، ممّا يدلّ على أنّ كثيرًا ممّن يعتنق الهوية لا يمارسها بالضرورة.</w:t>
      </w:r>
    </w:p>
    <w:p>
      <w:pPr>
        <w:bidi/>
        <w:spacing w:after="160"/>
        <w:jc w:val="start"/>
      </w:pPr>
      <w:r>
        <w:rPr>
          <w:sz w:val="24"/>
          <w:szCs w:val="24"/>
          <w:rtl/>
        </w:rPr>
        <w:t xml:space="preserve">## الفروقات الجغرافية</w:t>
      </w:r>
    </w:p>
    <w:p>
      <w:pPr>
        <w:bidi/>
        <w:spacing w:after="160"/>
        <w:jc w:val="start"/>
      </w:pPr>
      <w:r>
        <w:rPr>
          <w:sz w:val="24"/>
          <w:szCs w:val="24"/>
          <w:rtl/>
        </w:rPr>
        <w:t xml:space="preserve">تختلف النسب جغرافيًا اختلافًا واسعًا:</w:t>
      </w:r>
    </w:p>
    <w:p>
      <w:pPr>
        <w:bidi/>
        <w:spacing w:after="160"/>
        <w:jc w:val="start"/>
      </w:pPr>
      <w:r>
        <w:rPr>
          <w:sz w:val="24"/>
          <w:szCs w:val="24"/>
          <w:rtl/>
        </w:rPr>
        <w:t xml:space="preserve">- **الدول الإسكندنافية:** نحو 6%–8% بحسب الاستبيانات الحديثة. - **الولايات المتّحدة وكندا والمملكة المتّحدة:** 5%–8%. - **أوروبا الجنوبية والشرقية:** 2%–5%. - **روسيا وأوكرانيا:** 1%–3%. - **اليابان:** نحو 8%–10% في استبيانات Dentsu، لكن النسبة الفعلية المعلنة أقلّ بكثير. - **الصين:** الأرقام شحيحة لأسباب سياسية. - **الشرق الأوسط:** نسبة الإفصاح في معظم الاستبيانات أقلّ من 1%، ولكن هذا لا يعني بالضرورة غياب الظاهرة. - **أفريقيا:** نسبة الإفصاح منخفضة جدًا.</w:t>
      </w:r>
    </w:p>
    <w:p>
      <w:pPr>
        <w:bidi/>
        <w:spacing w:after="160"/>
        <w:jc w:val="start"/>
      </w:pPr>
      <w:r>
        <w:rPr>
          <w:sz w:val="24"/>
          <w:szCs w:val="24"/>
          <w:rtl/>
        </w:rPr>
        <w:t xml:space="preserve">ومن الواضح أنّ الفروقات تعكس المناخ الاجتماعي والقانوني والثقافي إلى جانب أيّ فارق فعلي.</w:t>
      </w:r>
    </w:p>
    <w:p>
      <w:pPr>
        <w:bidi/>
        <w:spacing w:after="160"/>
        <w:jc w:val="start"/>
      </w:pPr>
      <w:r>
        <w:rPr>
          <w:sz w:val="24"/>
          <w:szCs w:val="24"/>
          <w:rtl/>
        </w:rPr>
        <w:t xml:space="preserve">## التحدّيات المنهجية</w:t>
      </w:r>
    </w:p>
    <w:p>
      <w:pPr>
        <w:bidi/>
        <w:spacing w:after="160"/>
        <w:jc w:val="start"/>
      </w:pPr>
      <w:r>
        <w:rPr>
          <w:sz w:val="24"/>
          <w:szCs w:val="24"/>
          <w:rtl/>
        </w:rPr>
        <w:t xml:space="preserve">أيّ قراءة لهذه الأرقام يجب أن تأخذ بعين الاعتبار:</w:t>
      </w:r>
    </w:p>
    <w:p>
      <w:pPr>
        <w:bidi/>
        <w:spacing w:after="160"/>
        <w:jc w:val="start"/>
      </w:pPr>
      <w:r>
        <w:rPr>
          <w:sz w:val="24"/>
          <w:szCs w:val="24"/>
          <w:rtl/>
        </w:rPr>
        <w:t xml:space="preserve">**1. عدم الموثوقية في الإفصاح:** الناس يصفون أنفسهم بطرق قد لا تتطابق مع سلوكهم الفعلي.</w:t>
      </w:r>
    </w:p>
    <w:p>
      <w:pPr>
        <w:bidi/>
        <w:spacing w:after="160"/>
        <w:jc w:val="start"/>
      </w:pPr>
      <w:r>
        <w:rPr>
          <w:sz w:val="24"/>
          <w:szCs w:val="24"/>
          <w:rtl/>
        </w:rPr>
        <w:t xml:space="preserve">**2. تحوّل التعريفات:** مفهوم «المثلية» نفسه تطوّر، فالمراهق الذي يعرّف نفسه بـ«Queer» اليوم قد لا يعني ما كان «المثلي» يعني سنة 1990.</w:t>
      </w:r>
    </w:p>
    <w:p>
      <w:pPr>
        <w:bidi/>
        <w:spacing w:after="160"/>
        <w:jc w:val="start"/>
      </w:pPr>
      <w:r>
        <w:rPr>
          <w:sz w:val="24"/>
          <w:szCs w:val="24"/>
          <w:rtl/>
        </w:rPr>
        <w:t xml:space="preserve">**3. تحيّز الناشرين والإعلام:** التركيز على الأرقام التي تخدم سرديات معيّنة وإهمال الأخرى.</w:t>
      </w:r>
    </w:p>
    <w:p>
      <w:pPr>
        <w:bidi/>
        <w:spacing w:after="160"/>
        <w:jc w:val="start"/>
      </w:pPr>
      <w:r>
        <w:rPr>
          <w:sz w:val="24"/>
          <w:szCs w:val="24"/>
          <w:rtl/>
        </w:rPr>
        <w:t xml:space="preserve">**4. السياسة:** كلّ من يستشهد بهذه الأرقام له مصلحة في تأويلها بطريقة معيّنة.</w:t>
      </w:r>
    </w:p>
    <w:p>
      <w:pPr>
        <w:bidi/>
        <w:spacing w:after="160"/>
        <w:jc w:val="start"/>
      </w:pPr>
      <w:r>
        <w:rPr>
          <w:sz w:val="24"/>
          <w:szCs w:val="24"/>
          <w:rtl/>
        </w:rPr>
        <w:t xml:space="preserve">## ما الذي يمكن قوله بثقة؟</w:t>
      </w:r>
    </w:p>
    <w:p>
      <w:pPr>
        <w:bidi/>
        <w:spacing w:after="160"/>
        <w:jc w:val="start"/>
      </w:pPr>
      <w:r>
        <w:rPr>
          <w:sz w:val="24"/>
          <w:szCs w:val="24"/>
          <w:rtl/>
        </w:rPr>
        <w:t xml:space="preserve">رغم كلّ التحدّيات المنهجية، يمكن قول الآتي بثقة معقولة:</w:t>
      </w:r>
    </w:p>
    <w:p>
      <w:pPr>
        <w:bidi/>
        <w:spacing w:after="160"/>
        <w:jc w:val="start"/>
      </w:pPr>
      <w:r>
        <w:rPr>
          <w:sz w:val="24"/>
          <w:szCs w:val="24"/>
          <w:rtl/>
        </w:rPr>
        <w:t xml:space="preserve">**أوّلًا:** نسبة المثليين الذكور الفعلية (سلوكًا) في معظم المجتمعات تتراوح بين 1.5% و3% من البالغين، ونسبة النساء أقلّ قليلًا.</w:t>
      </w:r>
    </w:p>
    <w:p>
      <w:pPr>
        <w:bidi/>
        <w:spacing w:after="160"/>
        <w:jc w:val="start"/>
      </w:pPr>
      <w:r>
        <w:rPr>
          <w:sz w:val="24"/>
          <w:szCs w:val="24"/>
          <w:rtl/>
        </w:rPr>
        <w:t xml:space="preserve">**ثانيًا:** نسبة من يعرّفون أنفسهم LGBT في المجتمعات الغربية الحديثة في تزايد كبير بين الشباب، وقد تتجاوز 20% في الجيل Z.</w:t>
      </w:r>
    </w:p>
    <w:p>
      <w:pPr>
        <w:bidi/>
        <w:spacing w:after="160"/>
        <w:jc w:val="start"/>
      </w:pPr>
      <w:r>
        <w:rPr>
          <w:sz w:val="24"/>
          <w:szCs w:val="24"/>
          <w:rtl/>
        </w:rPr>
        <w:t xml:space="preserve">**ثالثًا:** هذه الزيادة لا يمكن تفسيرها بمجرّد «الكشف عن ميول مخفية»، بل تنطوي على عوامل ثقافية واجتماعية وتعريفية.</w:t>
      </w:r>
    </w:p>
    <w:p>
      <w:pPr>
        <w:bidi/>
        <w:spacing w:after="160"/>
        <w:jc w:val="start"/>
      </w:pPr>
      <w:r>
        <w:rPr>
          <w:sz w:val="24"/>
          <w:szCs w:val="24"/>
          <w:rtl/>
        </w:rPr>
        <w:t xml:space="preserve">**رابعًا:** الفجوة بين الهوية والسلوك تتّسع، ممّا يدلّ على أنّ «الهوية المثلية» صارت ظاهرة ثقافية مستقلّة عن السلوك الفعلي إلى حدٍّ ما.</w:t>
      </w:r>
    </w:p>
    <w:p>
      <w:pPr>
        <w:bidi/>
        <w:spacing w:after="160"/>
        <w:jc w:val="start"/>
      </w:pPr>
      <w:r>
        <w:rPr>
          <w:sz w:val="24"/>
          <w:szCs w:val="24"/>
          <w:rtl/>
        </w:rPr>
        <w:t xml:space="preserve">## خلاصة الفصل</w:t>
      </w:r>
    </w:p>
    <w:p>
      <w:pPr>
        <w:bidi/>
        <w:spacing w:after="160"/>
        <w:jc w:val="start"/>
      </w:pPr>
      <w:r>
        <w:rPr>
          <w:sz w:val="24"/>
          <w:szCs w:val="24"/>
          <w:rtl/>
        </w:rPr>
        <w:t xml:space="preserve">الإحصاءات في هذا الموضوع ليست محايدة، فهي تتأثّر بالظروف الاجتماعية والمنهجية. والقارئ الجادّ يجب أن يقرأ الأرقام بحذر، ويميّز بين السلوك والميل والهوية، ويلاحظ التغيّر الجيلي الذي قد يعكس متغيّرات ثقافية أكبر من مجرّد «انكشاف الواقع». وأيّ نقاش جادّ يجب أن يبدأ من أرقام دقيقة، لا من تقديرات شعبية مضخّمة. والله أعلم.</w:t>
      </w:r>
    </w:p>
    <w:p>
      <w:r>
        <w:br w:type="page"/>
      </w:r>
    </w:p>
    <w:p>
      <w:pPr>
        <w:bidi/>
        <w:spacing w:after="360" w:before="600"/>
        <w:jc w:val="center"/>
      </w:pPr>
      <w:r>
        <w:rPr>
          <w:b/>
          <w:bCs/>
          <w:color w:val="1B3A5C"/>
          <w:sz w:val="36"/>
          <w:szCs w:val="36"/>
          <w:rtl/>
        </w:rPr>
        <w:t xml:space="preserve">الفصل العاشر: حجج المؤيّدين — العرض المنصف</w:t>
      </w:r>
    </w:p>
    <w:p>
      <w:pPr>
        <w:bidi/>
        <w:spacing w:after="160"/>
        <w:jc w:val="start"/>
      </w:pPr>
      <w:r>
        <w:rPr>
          <w:sz w:val="24"/>
          <w:szCs w:val="24"/>
          <w:rtl/>
        </w:rPr>
        <w:t xml:space="preserve">﴿وَجَادِلْهُم بِالَّتِي هِيَ أَحْسَنُ﴾ (النحل: 125)</w:t>
      </w:r>
    </w:p>
    <w:p>
      <w:pPr>
        <w:bidi/>
        <w:spacing w:after="160"/>
        <w:jc w:val="start"/>
      </w:pPr>
      <w:r>
        <w:rPr>
          <w:sz w:val="24"/>
          <w:szCs w:val="24"/>
          <w:rtl/>
        </w:rPr>
        <w:t xml:space="preserve">## مقدّمة في المنهج</w:t>
      </w:r>
    </w:p>
    <w:p>
      <w:pPr>
        <w:bidi/>
        <w:spacing w:after="160"/>
        <w:jc w:val="start"/>
      </w:pPr>
      <w:r>
        <w:rPr>
          <w:sz w:val="24"/>
          <w:szCs w:val="24"/>
          <w:rtl/>
        </w:rPr>
        <w:t xml:space="preserve">من أصول المنهج العلمي ومنهج القرآن الكريم في الجدل: أن يُعرض رأي المخالف في أقوى صورة، لا في أضعفها، حتّى يعرف القارئ ما الذي يُجادَل عنه فعلًا. والآية الكريمة في سورة النحل لا تأمر المسلم فقط بـ«الحوار»، بل بأن يكون الحوار «بالتي هي أحسن» — أي بأرقى صور الإنصاف والاحترام. وقد طبّق القرآن هذا المنهج حين عرض شبهات المنكرين والمشركين بصياغاتها الكاملة قبل أن يردّ عليها.</w:t>
      </w:r>
    </w:p>
    <w:p>
      <w:pPr>
        <w:bidi/>
        <w:spacing w:after="160"/>
        <w:jc w:val="start"/>
      </w:pPr>
      <w:r>
        <w:rPr>
          <w:sz w:val="24"/>
          <w:szCs w:val="24"/>
          <w:rtl/>
        </w:rPr>
        <w:t xml:space="preserve">ولذا، سنخصّص هذا الفصل لعرض الحجج التي يقدّمها مؤيّدو الحركة المثلية المعاصرة — عرضًا أمينًا، كما يقدّمها أصحابها أنفسهم — بحيث يستطيع القارئ أن يفهم منطقهم من داخل، قبل أن نناقش هذه الحجج في الفصل التالي.</w:t>
      </w:r>
    </w:p>
    <w:p>
      <w:pPr>
        <w:bidi/>
        <w:spacing w:after="160"/>
        <w:jc w:val="start"/>
      </w:pPr>
      <w:r>
        <w:rPr>
          <w:sz w:val="24"/>
          <w:szCs w:val="24"/>
          <w:rtl/>
        </w:rPr>
        <w:t xml:space="preserve">## الحجّة الأولى: الحقّ في الكرامة والمساواة أمام القانون</w:t>
      </w:r>
    </w:p>
    <w:p>
      <w:pPr>
        <w:bidi/>
        <w:spacing w:after="160"/>
        <w:jc w:val="start"/>
      </w:pPr>
      <w:r>
        <w:rPr>
          <w:sz w:val="24"/>
          <w:szCs w:val="24"/>
          <w:rtl/>
        </w:rPr>
        <w:t xml:space="preserve">أقوى حجّة عند المؤيّدين، وأكثرها تأثيرًا في الوسط الغربي، هي حجّة الكرامة والمساواة. تذهب هذه الحجّة إلى أنّ كلّ إنسان يولد متساويًا في الكرامة، وأنّ الدولة الحديثة لا حقّ لها في التمييز بين مواطنيها على أساس ميول لم يختاروها. ويستندون في ذلك إلى الإعلان العالمي لحقوق الإنسان (1948) في مادّته الأولى: «يولد جميع الناس أحرارًا متساوين في الكرامة والحقوق».</w:t>
      </w:r>
    </w:p>
    <w:p>
      <w:pPr>
        <w:bidi/>
        <w:spacing w:after="160"/>
        <w:jc w:val="start"/>
      </w:pPr>
      <w:r>
        <w:rPr>
          <w:sz w:val="24"/>
          <w:szCs w:val="24"/>
          <w:rtl/>
        </w:rPr>
        <w:t xml:space="preserve">ويضيفون: حين تمنع الدولة شخصًا من العيش بسلام مع شريك بالغ راضٍ، فإنّها تتدخّل في حياته الخاصّة بطريقة تتجاوز سلطتها المشروعة. وحين تحرمه من حقوق قانونية (الميراث، الزيارة في المستشفى، اتخاذ القرارات الطبّية للشريك، التبنّي) فإنّها تجعله مواطنًا من الدرجة الثانية. والمساواة في الكرامة — كما يقولون — تتطلّب المساواة في الحقوق.</w:t>
      </w:r>
    </w:p>
    <w:p>
      <w:pPr>
        <w:bidi/>
        <w:spacing w:after="160"/>
        <w:jc w:val="start"/>
      </w:pPr>
      <w:r>
        <w:rPr>
          <w:sz w:val="24"/>
          <w:szCs w:val="24"/>
          <w:rtl/>
        </w:rPr>
        <w:t xml:space="preserve">وقد صاغ القاضي أنطوني كنيدي في حكم «أوبرغفل» (2015) هذه الحجّة بصياغة مؤثّرة: قال إنّ الدستور لا يمنح الكرامة للأفراد، بل يضمن أنّ الدولة لا تنتقص منها. وإنّ منع المثليين من الزواج هو إعلان لـ«عدم اعتبار» لكرامتهم. وقد كانت هذه الحجّة قويّة تأثيريًا، حتّى لمن يخالفها قيميًا.</w:t>
      </w:r>
    </w:p>
    <w:p>
      <w:pPr>
        <w:bidi/>
        <w:spacing w:after="160"/>
        <w:jc w:val="start"/>
      </w:pPr>
      <w:r>
        <w:rPr>
          <w:sz w:val="24"/>
          <w:szCs w:val="24"/>
          <w:rtl/>
        </w:rPr>
        <w:t xml:space="preserve">## الحجّة الثانية: «وُلدوا هكذا» (Born This Way)</w:t>
      </w:r>
    </w:p>
    <w:p>
      <w:pPr>
        <w:bidi/>
        <w:spacing w:after="160"/>
        <w:jc w:val="start"/>
      </w:pPr>
      <w:r>
        <w:rPr>
          <w:sz w:val="24"/>
          <w:szCs w:val="24"/>
          <w:rtl/>
        </w:rPr>
        <w:t xml:space="preserve">من أقوى حجج المؤيّدين شعبيًا فكرة أنّ الميل المثلي «فطري» أو «جيني» أو «بيولوجي» — أي أنّه ليس خيارًا، بل وضع طبيعي يولد به الفرد. وعنوان أغنية ليدي غاغا الشهيرة «Born This Way» (2011) صار شعارًا للحركة.</w:t>
      </w:r>
    </w:p>
    <w:p>
      <w:pPr>
        <w:bidi/>
        <w:spacing w:after="160"/>
        <w:jc w:val="start"/>
      </w:pPr>
      <w:r>
        <w:rPr>
          <w:sz w:val="24"/>
          <w:szCs w:val="24"/>
          <w:rtl/>
        </w:rPr>
        <w:t xml:space="preserve">وتقوم الحجّة على المقدّمة الأخلاقية الآتية: إنّ الإنسان لا يُحاسب على ما لم يختره. فإن كان الميل المثلي ليس خيارًا، بل خَلقًا فيمن وقع له، فإنّ معاقبة صاحبه أو حتّى استنكاره يكون ظلمًا، تمامًا كما لا يُعاقب الأعسر على عُسره ولا الطويل على طوله.</w:t>
      </w:r>
    </w:p>
    <w:p>
      <w:pPr>
        <w:bidi/>
        <w:spacing w:after="160"/>
        <w:jc w:val="start"/>
      </w:pPr>
      <w:r>
        <w:rPr>
          <w:sz w:val="24"/>
          <w:szCs w:val="24"/>
          <w:rtl/>
        </w:rPr>
        <w:t xml:space="preserve">وقد استدلّ المؤيّدون على ذلك بدراسات متعدّدة:</w:t>
      </w:r>
    </w:p>
    <w:p>
      <w:pPr>
        <w:bidi/>
        <w:spacing w:after="160"/>
        <w:jc w:val="start"/>
      </w:pPr>
      <w:r>
        <w:rPr>
          <w:sz w:val="24"/>
          <w:szCs w:val="24"/>
          <w:rtl/>
        </w:rPr>
        <w:t xml:space="preserve">- **دراسات التوائم:** التي وجدت تشابهًا أعلى من المتوقّع بين التوائم المتطابقة في الميل الجنسي (وإن كان أقلّ من 100%). - **دراسات «الجين الجنسي»:** الدراسة المشهورة لـ Dean Hamer سنة 1993 التي ادّعت ربطًا بين منطقة Xq28 والميل الجنسي عند الذكور. - **دراسات الدماغ:** أبحاث Simon LeVay (1991) التي زعمت اختلافًا في حجم منطقة من تحت المهاد بين المثليين والمغايرين.</w:t>
      </w:r>
    </w:p>
    <w:p>
      <w:pPr>
        <w:bidi/>
        <w:spacing w:after="160"/>
        <w:jc w:val="start"/>
      </w:pPr>
      <w:r>
        <w:rPr>
          <w:sz w:val="24"/>
          <w:szCs w:val="24"/>
          <w:rtl/>
        </w:rPr>
        <w:t xml:space="preserve">ويقول المؤيّدون: لو كان الميل خيارًا حقًا، فمن الذي «يختار» تحمّل وصمة اجتماعية ودينية وقانونية لأجل ميل يستطيع تركه؟</w:t>
      </w:r>
    </w:p>
    <w:p>
      <w:pPr>
        <w:bidi/>
        <w:spacing w:after="160"/>
        <w:jc w:val="start"/>
      </w:pPr>
      <w:r>
        <w:rPr>
          <w:sz w:val="24"/>
          <w:szCs w:val="24"/>
          <w:rtl/>
        </w:rPr>
        <w:t xml:space="preserve">## الحجّة الثالثة: مبدأ الضرر (جون ستيوارت ميل)</w:t>
      </w:r>
    </w:p>
    <w:p>
      <w:pPr>
        <w:bidi/>
        <w:spacing w:after="160"/>
        <w:jc w:val="start"/>
      </w:pPr>
      <w:r>
        <w:rPr>
          <w:sz w:val="24"/>
          <w:szCs w:val="24"/>
          <w:rtl/>
        </w:rPr>
        <w:t xml:space="preserve">تستمدّ هذه الحجّة قوّتها من الفلسفة الليبرالية الكلاسيكية، خصوصًا من جون ستيوارت ميل في كتابه «عن الحرّية» (On Liberty, 1859). وملخّصها: إنّ الدولة لا حقّ لها في تنظيم سلوك المواطنين البالغين الراشدين إلا في الحالات التي يضرّ فيها سلوكهم بالغير. أمّا ما يفعله شخصان بالغان راضيان في خصوصياتهما، ولا يضرّ بالغير، فلا شأن للدولة به ولا للمجتمع.</w:t>
      </w:r>
    </w:p>
    <w:p>
      <w:pPr>
        <w:bidi/>
        <w:spacing w:after="160"/>
        <w:jc w:val="start"/>
      </w:pPr>
      <w:r>
        <w:rPr>
          <w:sz w:val="24"/>
          <w:szCs w:val="24"/>
          <w:rtl/>
        </w:rPr>
        <w:t xml:space="preserve">ويقول المؤيّدون: إنّ السلوك المثلي بين بالغين راضيين لا يلحق ضررًا بأحد، لا بالطرفين أنفسهما (إذا كانا راضيين)، ولا بالمجتمع المحيط (إذا تمّ في الخصوصية). فلا مبرّر لتدخّل الدولة، ولا حتّى للاستنكار العامّ. وكلّ تدخّل في هذا النطاق هو فرض لقيم دينية أو أخلاقية لطائفة معيّنة على من لا يؤمن بها — وهذا ينافي العلمانية الحديثة.</w:t>
      </w:r>
    </w:p>
    <w:p>
      <w:pPr>
        <w:bidi/>
        <w:spacing w:after="160"/>
        <w:jc w:val="start"/>
      </w:pPr>
      <w:r>
        <w:rPr>
          <w:sz w:val="24"/>
          <w:szCs w:val="24"/>
          <w:rtl/>
        </w:rPr>
        <w:t xml:space="preserve">## الحجّة الرابعة: قراءات دينية «منقّحة»</w:t>
      </w:r>
    </w:p>
    <w:p>
      <w:pPr>
        <w:bidi/>
        <w:spacing w:after="160"/>
        <w:jc w:val="start"/>
      </w:pPr>
      <w:r>
        <w:rPr>
          <w:sz w:val="24"/>
          <w:szCs w:val="24"/>
          <w:rtl/>
        </w:rPr>
        <w:t xml:space="preserve">من الحجج اللافتة في النقاش المعاصر، خصوصًا داخل الجاليات الدينية، حجّة إعادة تفسير النصوص المقدّسة. ويُجادل بعض المؤمنين المؤيّدين بأنّ الفهم التقليدي للنصوص الدينية كان مشوبًا بقيود تاريخية وثقافية لا تنطبق على الأزواج المعاصرين.</w:t>
      </w:r>
    </w:p>
    <w:p>
      <w:pPr>
        <w:bidi/>
        <w:spacing w:after="160"/>
        <w:jc w:val="start"/>
      </w:pPr>
      <w:r>
        <w:rPr>
          <w:sz w:val="24"/>
          <w:szCs w:val="24"/>
          <w:rtl/>
        </w:rPr>
        <w:t xml:space="preserve">وأبرز هذه الحجج:</w:t>
      </w:r>
    </w:p>
    <w:p>
      <w:pPr>
        <w:bidi/>
        <w:spacing w:after="160"/>
        <w:jc w:val="start"/>
      </w:pPr>
      <w:r>
        <w:rPr>
          <w:sz w:val="24"/>
          <w:szCs w:val="24"/>
          <w:rtl/>
        </w:rPr>
        <w:t xml:space="preserve">**1. قصّة سدوم وعمورة كانت عن الضيافة لا المثلية:** يقول بعض اللاهوتيين الليبراليين إنّ ذنب أهل سدوم لم يكن المثلية، بل كان رفض الضيافة والاعتداء على الغرباء. ويستندون في ذلك إلى نصوص في العهد القديم نفسه (حزقيال 16: 49) تذكر «الكبر والشبع وراحة الاطمئنان» كذنوب أهل سدوم، دون تخصيص الفاحشة الجنسية.</w:t>
      </w:r>
    </w:p>
    <w:p>
      <w:pPr>
        <w:bidi/>
        <w:spacing w:after="160"/>
        <w:jc w:val="start"/>
      </w:pPr>
      <w:r>
        <w:rPr>
          <w:sz w:val="24"/>
          <w:szCs w:val="24"/>
          <w:rtl/>
        </w:rPr>
        <w:t xml:space="preserve">**2. النصوص اللاوية كانت لكهنوت مرحلي:** يقول هؤلاء إنّ القوانين في سفر اللاويين كانت تشريعات طقسية لزمن خاصّ، وقد ألغت المسيحية كثيرًا منها (مثل تحريم الأسماك بلا قشور والملابس المختلطة الألياف)، فلماذا نتمسّك بحرفية تحريم اللواط؟</w:t>
      </w:r>
    </w:p>
    <w:p>
      <w:pPr>
        <w:bidi/>
        <w:spacing w:after="160"/>
        <w:jc w:val="start"/>
      </w:pPr>
      <w:r>
        <w:rPr>
          <w:sz w:val="24"/>
          <w:szCs w:val="24"/>
          <w:rtl/>
        </w:rPr>
        <w:t xml:space="preserve">**3. كلمات بولس في رسائله كانت تعني الاستغلال لا المثلية الزوجية:** يقول هؤلاء إنّ ما عناه بولس في رومية 1 و1 كورنثوس 6 لم يكن العلاقات المثلية المتساوية بين بالغين، بل كان أشكال استغلال الفتيان (Pederasty) أو الدعارة المعبدية في الحضارة الرومانية، وهو ما لا ينطبق على الأزواج المعاصرين.</w:t>
      </w:r>
    </w:p>
    <w:p>
      <w:pPr>
        <w:bidi/>
        <w:spacing w:after="160"/>
        <w:jc w:val="start"/>
      </w:pPr>
      <w:r>
        <w:rPr>
          <w:sz w:val="24"/>
          <w:szCs w:val="24"/>
          <w:rtl/>
        </w:rPr>
        <w:t xml:space="preserve">**4. قصة لوط في الإسلام كانت عن العنف لا المثلية ذاتها:** بعض المسلمين المعاصرين الذين يحاولون التوفيق (مثل سكوت كيغل، وسعدي إقبال، وغيرهم) يجادلون بأنّ ذنب قوم لوط الحقيقي كان الاعتداء والاغتصاب وقطع السبيل، لا الميل المثلي بحدّ ذاته.</w:t>
      </w:r>
    </w:p>
    <w:p>
      <w:pPr>
        <w:bidi/>
        <w:spacing w:after="160"/>
        <w:jc w:val="start"/>
      </w:pPr>
      <w:r>
        <w:rPr>
          <w:sz w:val="24"/>
          <w:szCs w:val="24"/>
          <w:rtl/>
        </w:rPr>
        <w:t xml:space="preserve">ولا يخفى أنّ هذه القراءات محلّ جدل علمي حادّ، وأنّ كبار علماء التفسير في الأديان الإبراهيمية يرفضونها، لكنّ من العدل أن نعرضها كما يقدّمها أصحابها.</w:t>
      </w:r>
    </w:p>
    <w:p>
      <w:pPr>
        <w:bidi/>
        <w:spacing w:after="160"/>
        <w:jc w:val="start"/>
      </w:pPr>
      <w:r>
        <w:rPr>
          <w:sz w:val="24"/>
          <w:szCs w:val="24"/>
          <w:rtl/>
        </w:rPr>
        <w:t xml:space="preserve">## الحجّة الخامسة: الصحّة النفسية والإنسانية</w:t>
      </w:r>
    </w:p>
    <w:p>
      <w:pPr>
        <w:bidi/>
        <w:spacing w:after="160"/>
        <w:jc w:val="start"/>
      </w:pPr>
      <w:r>
        <w:rPr>
          <w:sz w:val="24"/>
          <w:szCs w:val="24"/>
          <w:rtl/>
        </w:rPr>
        <w:t xml:space="preserve">يقدّم المؤيّدون حجّة عملية: إنّ الإقصاء والوصمة والقمع تُلحق ضررًا نفسيًا حقيقيًا بالأفراد المثليين، يتجلّى في معدّلات أعلى من الاكتئاب والقلق ومحاولات الانتحار. ويسمّى هذا في الأدبيات «الإجهاد النفسي للأقلّيات» (Minority Stress Theory).</w:t>
      </w:r>
    </w:p>
    <w:p>
      <w:pPr>
        <w:bidi/>
        <w:spacing w:after="160"/>
        <w:jc w:val="start"/>
      </w:pPr>
      <w:r>
        <w:rPr>
          <w:sz w:val="24"/>
          <w:szCs w:val="24"/>
          <w:rtl/>
        </w:rPr>
        <w:t xml:space="preserve">ويستشهدون بدراسات أظهرت أنّ المراهقين المثليين الذين يحظون بدعم أسري لديهم نسب اكتئاب وانتحار أقلّ بكثير من الذين يُرفضون. ويقولون: إنّ الموقف الديني التقليدي، حتّى وإن كان نظريًا متعاطفًا، يُترجم في الواقع إلى رفض ووصمة، ممّا يؤذي أبناء هذه الأقلّية.</w:t>
      </w:r>
    </w:p>
    <w:p>
      <w:pPr>
        <w:bidi/>
        <w:spacing w:after="160"/>
        <w:jc w:val="start"/>
      </w:pPr>
      <w:r>
        <w:rPr>
          <w:sz w:val="24"/>
          <w:szCs w:val="24"/>
          <w:rtl/>
        </w:rPr>
        <w:t xml:space="preserve">## الحجّة السادسة: الانزلاق نحو العنف</w:t>
      </w:r>
    </w:p>
    <w:p>
      <w:pPr>
        <w:bidi/>
        <w:spacing w:after="160"/>
        <w:jc w:val="start"/>
      </w:pPr>
      <w:r>
        <w:rPr>
          <w:sz w:val="24"/>
          <w:szCs w:val="24"/>
          <w:rtl/>
        </w:rPr>
        <w:t xml:space="preserve">يحذّر المؤيّدون من أنّ أيّ تشديد للموقف ضدّ المثلية يفتح الباب — حتّى دون قصد — لأشكال أشدّ من العنف والاضطهاد. ويستشهدون بإحصاءات الكراهية في الدول التي تُجرّم المثلية، وبحالات إعدامات في إيران وأفغانستان وأوغندا، وبضحايا حالات قتل الشرف في بعض المجتمعات.</w:t>
      </w:r>
    </w:p>
    <w:p>
      <w:pPr>
        <w:bidi/>
        <w:spacing w:after="160"/>
        <w:jc w:val="start"/>
      </w:pPr>
      <w:r>
        <w:rPr>
          <w:sz w:val="24"/>
          <w:szCs w:val="24"/>
          <w:rtl/>
        </w:rPr>
        <w:t xml:space="preserve">ويقولون: حتّى لو رفض شخص المثلية أخلاقيًا، فإنّ من واجبه — كإنسان — أن يدافع عن حياة المثليين وكرامتهم وحقوقهم الأساسية، وألا يكون شريكًا في خطاب يُؤدّي إلى الإيذاء.</w:t>
      </w:r>
    </w:p>
    <w:p>
      <w:pPr>
        <w:bidi/>
        <w:spacing w:after="160"/>
        <w:jc w:val="start"/>
      </w:pPr>
      <w:r>
        <w:rPr>
          <w:sz w:val="24"/>
          <w:szCs w:val="24"/>
          <w:rtl/>
        </w:rPr>
        <w:t xml:space="preserve">## حجّة الزواج المثلي تحديدًا</w:t>
      </w:r>
    </w:p>
    <w:p>
      <w:pPr>
        <w:bidi/>
        <w:spacing w:after="160"/>
        <w:jc w:val="start"/>
      </w:pPr>
      <w:r>
        <w:rPr>
          <w:sz w:val="24"/>
          <w:szCs w:val="24"/>
          <w:rtl/>
        </w:rPr>
        <w:t xml:space="preserve">أمّا في قضية الزواج بالتحديد، فتُساق حجج إضافية:</w:t>
      </w:r>
    </w:p>
    <w:p>
      <w:pPr>
        <w:bidi/>
        <w:spacing w:after="160"/>
        <w:jc w:val="start"/>
      </w:pPr>
      <w:r>
        <w:rPr>
          <w:sz w:val="24"/>
          <w:szCs w:val="24"/>
          <w:rtl/>
        </w:rPr>
        <w:t xml:space="preserve">**1. الزواج عقد قانوني:** الزواج اليوم — بحسب القانون — هو عقد قانوني له آثار محدّدة (الميراث، الضرائب، التأمين، اتخاذ القرارات الطبّية). ولا توجد حجّة قانونية تمنع شريكين بالغين راضيين من الدخول في هذا العقد.</w:t>
      </w:r>
    </w:p>
    <w:p>
      <w:pPr>
        <w:bidi/>
        <w:spacing w:after="160"/>
        <w:jc w:val="start"/>
      </w:pPr>
      <w:r>
        <w:rPr>
          <w:sz w:val="24"/>
          <w:szCs w:val="24"/>
          <w:rtl/>
        </w:rPr>
        <w:t xml:space="preserve">**2. تعزيز الاستقرار:** يقول المؤيّدون إنّ الزواج المثلي يعزّز الالتزام والاستقرار، وهو أفضل من حياة الشركاء غير المنضبطة. ويستشهدون بأنّ المحافظين أنفسهم كانوا تاريخيًا يدعون إلى الالتزام، فلماذا يرفضون التزامًا حين يكون بين شريكين من جنس واحد؟</w:t>
      </w:r>
    </w:p>
    <w:p>
      <w:pPr>
        <w:bidi/>
        <w:spacing w:after="160"/>
        <w:jc w:val="start"/>
      </w:pPr>
      <w:r>
        <w:rPr>
          <w:sz w:val="24"/>
          <w:szCs w:val="24"/>
          <w:rtl/>
        </w:rPr>
        <w:t xml:space="preserve">**3. الفصل بين الديني والمدني:** يقول هؤلاء إنّ الدولة تعترف بـ«الزواج المدني»، وهو ليس بالضرورة الزواج الديني. فالمسلم يستطيع أن يُعقد زواج مدني في الدول الغربية، ثمّ يُجدّده دينيًا في المسجد. والاعتراف القانوني بالزواج المثلي لا يُلزم أيّ كنيسة أو مسجد بأن يعقده.</w:t>
      </w:r>
    </w:p>
    <w:p>
      <w:pPr>
        <w:bidi/>
        <w:spacing w:after="160"/>
        <w:jc w:val="start"/>
      </w:pPr>
      <w:r>
        <w:rPr>
          <w:sz w:val="24"/>
          <w:szCs w:val="24"/>
          <w:rtl/>
        </w:rPr>
        <w:t xml:space="preserve">## الحجّة الكلّية: التعدّدية والتسامح</w:t>
      </w:r>
    </w:p>
    <w:p>
      <w:pPr>
        <w:bidi/>
        <w:spacing w:after="160"/>
        <w:jc w:val="start"/>
      </w:pPr>
      <w:r>
        <w:rPr>
          <w:sz w:val="24"/>
          <w:szCs w:val="24"/>
          <w:rtl/>
        </w:rPr>
        <w:t xml:space="preserve">تربط الحجج السابقة فكرة كلّية: إنّ المجتمع المعاصر هو مجتمع تعدّدي، يتعايش فيه أصحاب قيم مختلفة، ولا حقّ لطائفة منه أن تفرض قيمها على الآخرين. والديمقراطية الحديثة قائمة على هذا المبدأ. والتسامح مع الاختلاف ليس تنازلًا عن القيم، بل هو قيمة في حدّ ذاته.</w:t>
      </w:r>
    </w:p>
    <w:p>
      <w:pPr>
        <w:bidi/>
        <w:spacing w:after="160"/>
        <w:jc w:val="start"/>
      </w:pPr>
      <w:r>
        <w:rPr>
          <w:sz w:val="24"/>
          <w:szCs w:val="24"/>
          <w:rtl/>
        </w:rPr>
        <w:t xml:space="preserve">## خلاصة الفصل</w:t>
      </w:r>
    </w:p>
    <w:p>
      <w:pPr>
        <w:bidi/>
        <w:spacing w:after="160"/>
        <w:jc w:val="start"/>
      </w:pPr>
      <w:r>
        <w:rPr>
          <w:sz w:val="24"/>
          <w:szCs w:val="24"/>
          <w:rtl/>
        </w:rPr>
        <w:t xml:space="preserve">عرضنا في هذا الفصل ستّ حجج رئيسية يقدّمها مؤيّدو الحركة المثلية المعاصرة: الكرامة والمساواة، والولادة على الميل، ومبدأ الضرر، والقراءات الدينية المنقّحة، والصحّة النفسية، والحماية من العنف. وأضفنا حججًا خاصّة بقضية الزواج. وقد عرضناها كما يعرضها أصحابها، بأقوى صورة، وبدون تشويه.</w:t>
      </w:r>
    </w:p>
    <w:p>
      <w:pPr>
        <w:bidi/>
        <w:spacing w:after="160"/>
        <w:jc w:val="start"/>
      </w:pPr>
      <w:r>
        <w:rPr>
          <w:sz w:val="24"/>
          <w:szCs w:val="24"/>
          <w:rtl/>
        </w:rPr>
        <w:t xml:space="preserve">والقارئ الذي يفهم هذه الحجج فهمًا داخليًا يكون قد وضع قدمه على أوّل الطريق نحو نقاش جدّي. أمّا الذي يحاول الردّ على «كاريكاتير» للموقف الآخر، فإنّه يجادل في فراغ. وفي الفصل التالي، سنناقش هذه الحجج بالتفصيل، ونعرض الإشكالات التي تواجهها — من منظور علمي ومنطقي وفلسفي وديني. والله أعلم.</w:t>
      </w:r>
    </w:p>
    <w:p>
      <w:r>
        <w:br w:type="page"/>
      </w:r>
    </w:p>
    <w:p>
      <w:pPr>
        <w:bidi/>
        <w:spacing w:after="360" w:before="600"/>
        <w:jc w:val="center"/>
      </w:pPr>
      <w:r>
        <w:rPr>
          <w:b/>
          <w:bCs/>
          <w:color w:val="1B3A5C"/>
          <w:sz w:val="36"/>
          <w:szCs w:val="36"/>
          <w:rtl/>
        </w:rPr>
        <w:t xml:space="preserve">الفصل الحادي عشر: الحجج المضادّة</w:t>
      </w:r>
    </w:p>
    <w:p>
      <w:pPr>
        <w:bidi/>
        <w:spacing w:after="160"/>
        <w:jc w:val="start"/>
      </w:pPr>
      <w:r>
        <w:rPr>
          <w:sz w:val="24"/>
          <w:szCs w:val="24"/>
          <w:rtl/>
        </w:rPr>
        <w:t xml:space="preserve">﴿وَالَّذِينَ هُمْ لِفُرُوجِهِمْ حَافِظُونَ﴾ (المؤمنون: 5)</w:t>
      </w:r>
    </w:p>
    <w:p>
      <w:pPr>
        <w:bidi/>
        <w:spacing w:after="160"/>
        <w:jc w:val="start"/>
      </w:pPr>
      <w:r>
        <w:rPr>
          <w:sz w:val="24"/>
          <w:szCs w:val="24"/>
          <w:rtl/>
        </w:rPr>
        <w:t xml:space="preserve">## مقدّمة</w:t>
      </w:r>
    </w:p>
    <w:p>
      <w:pPr>
        <w:bidi/>
        <w:spacing w:after="160"/>
        <w:jc w:val="start"/>
      </w:pPr>
      <w:r>
        <w:rPr>
          <w:sz w:val="24"/>
          <w:szCs w:val="24"/>
          <w:rtl/>
        </w:rPr>
        <w:t xml:space="preserve">بعد أن عرضنا في الفصل السابق أقوى ما يقدّمه مؤيّدو الحركة، نناقش في هذا الفصل الإشكالات التي تواجه هذه الحجج، من جوانب متعدّدة. ومنهجنا أن نقرّ بما هو صحيح في الحجّة المخالفة، ثمّ نُبيّن مواضع الإشكال فيها بأمانة. وهذا أعدل من الردّ الكاسح الذي يرفض كلّ شيء.</w:t>
      </w:r>
    </w:p>
    <w:p>
      <w:pPr>
        <w:bidi/>
        <w:spacing w:after="160"/>
        <w:jc w:val="start"/>
      </w:pPr>
      <w:r>
        <w:rPr>
          <w:sz w:val="24"/>
          <w:szCs w:val="24"/>
          <w:rtl/>
        </w:rPr>
        <w:t xml:space="preserve">## الحجج القانون-الطبيعية والغائية</w:t>
      </w:r>
    </w:p>
    <w:p>
      <w:pPr>
        <w:bidi/>
        <w:spacing w:after="160"/>
        <w:jc w:val="start"/>
      </w:pPr>
      <w:r>
        <w:rPr>
          <w:sz w:val="24"/>
          <w:szCs w:val="24"/>
          <w:rtl/>
        </w:rPr>
        <w:t xml:space="preserve">تستند الحجّة الأقدم في الفلسفة الغربية إلى ما يُعرف بـ«القانون الطبيعي» (Natural Law)، وهي تقول إنّ لكلّ عضو في الجسم وظيفة طبيعية يهدف إليها الخلق. وأعضاء الإنجاب البشرية مصمّمة على نحو واضح بحيث يكون الذكر والأنثى متكاملين، وأنّ من غاياتها الإنجاب واستمرار النوع. وتذهب الحجّة إلى أنّ السلوك المثلي ينافي هذه الغاية الطبيعية، إذ يستخدم الأعضاء بطريقة لا تتلاءم مع تصميمها. وهذه الحجّة قائمة عند توما الأكويني وفي الفقه الكاثوليكي، وكذلك في الفلسفة الإسلامية الكلاسيكية.</w:t>
      </w:r>
    </w:p>
    <w:p>
      <w:pPr>
        <w:bidi/>
        <w:spacing w:after="160"/>
        <w:jc w:val="start"/>
      </w:pPr>
      <w:r>
        <w:rPr>
          <w:sz w:val="24"/>
          <w:szCs w:val="24"/>
          <w:rtl/>
        </w:rPr>
        <w:t xml:space="preserve">والاعتراض المعاصر على هذه الحجّة هو أنّها تخلط بين «الوظيفة» و«الواجب»، وأنّ كثيرًا من السلوكيات البشرية تتجاوز الوظيفة الطبيعية (مثل تناول الطعام لذّةً لا فقط لأجل التغذية). والردّ المعاصر على هذا الاعتراض هو أنّ ثمّة فرقًا بين التجاوز المباح للوظيفة (تناول الطعام للذّة لا ينافي وظيفة التغذية) والتجاوز الذي يُعطّلها بالكلّية (الفعل المثلي يُعطّل وظيفة الإنجاب أصلًا). والقرآن الكريم يستخدم تعبير «أَتَأْتُونَ الذُّكْرَانَ مِنَ الْعَالَمِينَ * وَتَذَرُونَ مَا خَلَقَ لَكُمْ رَبُّكُم مِّنْ أَزْوَاجِكُم» (الشعراء: 165–166)، وهو تعبير غائي بوضوح: ترك الأزواج الذي خلق الله إلى الذكور.</w:t>
      </w:r>
    </w:p>
    <w:p>
      <w:pPr>
        <w:bidi/>
        <w:spacing w:after="160"/>
        <w:jc w:val="start"/>
      </w:pPr>
      <w:r>
        <w:rPr>
          <w:sz w:val="24"/>
          <w:szCs w:val="24"/>
          <w:rtl/>
        </w:rPr>
        <w:t xml:space="preserve">## بنية الأسرة ومصلحة الطفل</w:t>
      </w:r>
    </w:p>
    <w:p>
      <w:pPr>
        <w:bidi/>
        <w:spacing w:after="160"/>
        <w:jc w:val="start"/>
      </w:pPr>
      <w:r>
        <w:rPr>
          <w:sz w:val="24"/>
          <w:szCs w:val="24"/>
          <w:rtl/>
        </w:rPr>
        <w:t xml:space="preserve">من أهمّ الحجج المضادّة، حجّة بنية الأسرة. تقول الحجّة إنّ الزواج التقليدي بين رجل وامرأة ليس مجرّد عقد بين راشدين، بل هو مؤسّسة اجتماعية تربّي الأبناء وتنقل القيم والثقافة عبر الأجيال. وأنّ الطفل له حقّ — يقدّم على مصلحة الراشدين — في أن يربّى تحت رعاية أمّ وأبّ متى أمكن.</w:t>
      </w:r>
    </w:p>
    <w:p>
      <w:pPr>
        <w:bidi/>
        <w:spacing w:after="160"/>
        <w:jc w:val="start"/>
      </w:pPr>
      <w:r>
        <w:rPr>
          <w:sz w:val="24"/>
          <w:szCs w:val="24"/>
          <w:rtl/>
        </w:rPr>
        <w:t xml:space="preserve">وقد أثيرت قضية مصلحة الطفل في الأبحاث المعاصرة. ومن أبرز الدراسات المثيرة للجدل: دراسة مارك ريغنرس (Mark Regnerus) المنشورة في مجلّة «Social Science Research» سنة 2012، التي قارنت بالغين شبّوا في أنواع مختلفة من العائلات، ووجدت فروقات تشير إلى أنّ من نشأ في عائلة بأمّ وأبّ بيولوجيين أنجزوا أكاديميًا واقتصاديًا واجتماعيًا أفضل من غيرهم في كثير من المؤشّرات.</w:t>
      </w:r>
    </w:p>
    <w:p>
      <w:pPr>
        <w:bidi/>
        <w:spacing w:after="160"/>
        <w:jc w:val="start"/>
      </w:pPr>
      <w:r>
        <w:rPr>
          <w:sz w:val="24"/>
          <w:szCs w:val="24"/>
          <w:rtl/>
        </w:rPr>
        <w:t xml:space="preserve">وقد تعرّضت الدراسة لانتقادات منهجية شديدة من قبل ناشطين، وحملات لإسقاطها أو شطبها. ومن جهة أخرى، فإنّ بعض الدراسات الأخرى التي ادّعت «عدم الفرق» بين أنماط الأسر تعرّضت بدورها لنقد منهجي مماثل (عيّنات صغيرة، تحيّز انتقائي، فترة متابعة قصيرة). والمؤرّخ الأكاديمي لورين ماركس (Loren Marks) من جامعة ولاية لويزيانا نشر سنة 2012 مراجعة لهذه الأدبيات بيّن فيها ضعف الأدلّة على «عدم الفرق».</w:t>
      </w:r>
    </w:p>
    <w:p>
      <w:pPr>
        <w:bidi/>
        <w:spacing w:after="160"/>
        <w:jc w:val="start"/>
      </w:pPr>
      <w:r>
        <w:rPr>
          <w:sz w:val="24"/>
          <w:szCs w:val="24"/>
          <w:rtl/>
        </w:rPr>
        <w:t xml:space="preserve">والخلاصة الأمانية: الأدلّة العلمية في هذا الموضوع لا تحسم القضية لصالح أيّ من الطرفين، وأيّ ادّعاء قاطع («لا فرق على الإطلاق» أو «الفرق هائل ومدمّر») تجاوز للأدلّة الفعلية.</w:t>
      </w:r>
    </w:p>
    <w:p>
      <w:pPr>
        <w:bidi/>
        <w:spacing w:after="160"/>
        <w:jc w:val="start"/>
      </w:pPr>
      <w:r>
        <w:rPr>
          <w:sz w:val="24"/>
          <w:szCs w:val="24"/>
          <w:rtl/>
        </w:rPr>
        <w:t xml:space="preserve">## نقد حجّة «وُلدوا هكذا»</w:t>
      </w:r>
    </w:p>
    <w:p>
      <w:pPr>
        <w:bidi/>
        <w:spacing w:after="160"/>
        <w:jc w:val="start"/>
      </w:pPr>
      <w:r>
        <w:rPr>
          <w:sz w:val="24"/>
          <w:szCs w:val="24"/>
          <w:rtl/>
        </w:rPr>
        <w:t xml:space="preserve">كانت هذه الحجّة الأكثر تأثيرًا شعبيًا، وهي اليوم الأضعف علميًا. ولها إشكالات عدّة:</w:t>
      </w:r>
    </w:p>
    <w:p>
      <w:pPr>
        <w:bidi/>
        <w:spacing w:after="160"/>
        <w:jc w:val="start"/>
      </w:pPr>
      <w:r>
        <w:rPr>
          <w:sz w:val="24"/>
          <w:szCs w:val="24"/>
          <w:rtl/>
        </w:rPr>
        <w:t xml:space="preserve">**أوّلًا، دراسة Ganna وزملائه 2019:** أكبر دراسة جينية شاملة (GWAS) أُجريت على هذا الموضوع، نُشرت في مجلّة Science (أعرق مجلّة علمية في العالم)، شملت بيانات أكثر من 470.000 شخص. والاستنتاج الواضح للدراسة: «لا يوجد جين واحد للمثلية، والوراثة تُسهم بنسبة ضئيلة (8%–25%) في الميل، وعوامل أخرى — بيئية وتجريبية — تساهم في النسبة الأكبر». والباحثون أنفسهم خلصوا إلى أنّ نتائجهم لا تدعم نموذج «الجين الجنسي»، ولا حتّى التنبّؤ بالميل الجنسي من الجينات.</w:t>
      </w:r>
    </w:p>
    <w:p>
      <w:pPr>
        <w:bidi/>
        <w:spacing w:after="160"/>
        <w:jc w:val="start"/>
      </w:pPr>
      <w:r>
        <w:rPr>
          <w:sz w:val="24"/>
          <w:szCs w:val="24"/>
          <w:rtl/>
        </w:rPr>
        <w:t xml:space="preserve">**ثانيًا، دراسات التوائم:** وجدت أنّ التوائم المتطابقة لها معدّل توافق في الميل الجنسي بحوالي 20%–40% فقط، رغم أنّها متطابقة جينيًا 100%. لو كان الميل جينيًا بحتًا، لكان معدّل التوافق قريبًا من 100%. هذا ينفي التحديد الجيني المطلق.</w:t>
      </w:r>
    </w:p>
    <w:p>
      <w:pPr>
        <w:bidi/>
        <w:spacing w:after="160"/>
        <w:jc w:val="start"/>
      </w:pPr>
      <w:r>
        <w:rPr>
          <w:sz w:val="24"/>
          <w:szCs w:val="24"/>
          <w:rtl/>
        </w:rPr>
        <w:t xml:space="preserve">**ثالثًا، الأبحاث الدماغية لـ LeVay:** بحث LeVay الأصلي (1991) كان عيّنته صغيرة جدًا (41 شخصًا)، ودراسات لاحقة أوسع لم تستطع تكرار نتائجه بشكل واضح. كما أنّ الفروقات الدماغية قد تكون نتيجة للسلوك لا سببًا له.</w:t>
      </w:r>
    </w:p>
    <w:p>
      <w:pPr>
        <w:bidi/>
        <w:spacing w:after="160"/>
        <w:jc w:val="start"/>
      </w:pPr>
      <w:r>
        <w:rPr>
          <w:sz w:val="24"/>
          <w:szCs w:val="24"/>
          <w:rtl/>
        </w:rPr>
        <w:t xml:space="preserve">**رابعًا، حجّة فوكو الذاتية:** كما ذكرنا في الفصل الخامس، فإنّ الفيلسوف ميشيل فوكو نفسه — وهو من أبرز المتعاطفين مع الحركة — جادل بأنّ المثلية كهوية بناء اجتماعي حديث. فإذا كان هذا الفيلسوف الذي يُعدّ من «روّاد» الحركة يرفض فكرة الهوية الفطرية، فكيف يستدعي المؤيّدون اليوم هذه الفكرة كحجّة شعبية؟</w:t>
      </w:r>
    </w:p>
    <w:p>
      <w:pPr>
        <w:bidi/>
        <w:spacing w:after="160"/>
        <w:jc w:val="start"/>
      </w:pPr>
      <w:r>
        <w:rPr>
          <w:sz w:val="24"/>
          <w:szCs w:val="24"/>
          <w:rtl/>
        </w:rPr>
        <w:t xml:space="preserve">**خامسًا، التقلّب الجنسي:** أبحاث ليزا دياموند (Lisa Diamond) من جامعة يوتا، ولا سيما في كتابها «Sexual Fluidity» (2008)، وجدت أنّ الميل الجنسي — خصوصًا عند النساء — أكثر تقلّبًا ممّا كان يُظنّ. وقد قدّرت الباحثة أنّ نحو 60% من النساء «المثليات» اللواتي تابعتهنّ غيّرن تعريف ميلهنّ خلال عشر سنوات. هذا ينافي «الثبات الفطري».</w:t>
      </w:r>
    </w:p>
    <w:p>
      <w:pPr>
        <w:bidi/>
        <w:spacing w:after="160"/>
        <w:jc w:val="start"/>
      </w:pPr>
      <w:r>
        <w:rPr>
          <w:sz w:val="24"/>
          <w:szCs w:val="24"/>
          <w:rtl/>
        </w:rPr>
        <w:t xml:space="preserve">والخلاصة: العلم المعاصر — حتّى من باحثين متعاطفين مع الحركة — لا يدعم نموذج «وُلدوا هكذا» بالقوّة التي يُروّج لها شعبيًا.</w:t>
      </w:r>
    </w:p>
    <w:p>
      <w:pPr>
        <w:bidi/>
        <w:spacing w:after="160"/>
        <w:jc w:val="start"/>
      </w:pPr>
      <w:r>
        <w:rPr>
          <w:sz w:val="24"/>
          <w:szCs w:val="24"/>
          <w:rtl/>
        </w:rPr>
        <w:t xml:space="preserve">## نقد إعادة قراءة النصوص الدينية</w:t>
      </w:r>
    </w:p>
    <w:p>
      <w:pPr>
        <w:bidi/>
        <w:spacing w:after="160"/>
        <w:jc w:val="start"/>
      </w:pPr>
      <w:r>
        <w:rPr>
          <w:sz w:val="24"/>
          <w:szCs w:val="24"/>
          <w:rtl/>
        </w:rPr>
        <w:t xml:space="preserve">للقراءات الدينية «المنقّحة» التي عرضناها في الفصل السابق، إشكالات تفسيرية حقيقية:</w:t>
      </w:r>
    </w:p>
    <w:p>
      <w:pPr>
        <w:bidi/>
        <w:spacing w:after="160"/>
        <w:jc w:val="start"/>
      </w:pPr>
      <w:r>
        <w:rPr>
          <w:sz w:val="24"/>
          <w:szCs w:val="24"/>
          <w:rtl/>
        </w:rPr>
        <w:t xml:space="preserve">**1. قصّة سدوم:** صحيح أنّ الاعتداء على الضيوف كان جزءًا من ذنب أهل سدوم، لكنّ النصّ القرآني واضح في أنّ الفاحشة الجنسية كانت جوهر الذنب: «إِنَّكُمْ لَتَأْتُونَ الرِّجَالَ شَهْوَةً مِّن دُونِ النِّسَاءِ» (الأعراف: 81). والقرآن لا يدع مجالًا للتأويل المنحرف. وكذلك في العهد القديم، رغم أنّ حزقيال 16 يذكر الكبر، فإنّ سفر التكوين 19 يصف الفعل بصراحة، ورسالة يهوذا 1: 7 تربط الذنب بـ«الزنا والمضي وراء جسد آخر».</w:t>
      </w:r>
    </w:p>
    <w:p>
      <w:pPr>
        <w:bidi/>
        <w:spacing w:after="160"/>
        <w:jc w:val="start"/>
      </w:pPr>
      <w:r>
        <w:rPr>
          <w:sz w:val="24"/>
          <w:szCs w:val="24"/>
          <w:rtl/>
        </w:rPr>
        <w:t xml:space="preserve">**2. النصوص اللاوية:** من غير الصحيح أنّ المسيحية ألغت كلّ القوانين اللاوية — فإنّ الأخلاقيات (مثل تحريم القتل والسرقة والزنا) ظلّت ملزمة. والتحريمات الجنسية في سفر اللاويين 18 و20 تأتي ضمن إطار أخلاقي لا طقسي، ولها سياق يربطها بالكنعانيين الذين أهلكهم الله.</w:t>
      </w:r>
    </w:p>
    <w:p>
      <w:pPr>
        <w:bidi/>
        <w:spacing w:after="160"/>
        <w:jc w:val="start"/>
      </w:pPr>
      <w:r>
        <w:rPr>
          <w:sz w:val="24"/>
          <w:szCs w:val="24"/>
          <w:rtl/>
        </w:rPr>
        <w:t xml:space="preserve">**3. كلمات بولس:** المصطلح الذي استعمله بولس (Arsenokoitai) في 1 كورنثوس 6: 9 وفي 1 تيموثاوس 1: 10 ليس مصطلحًا للاستغلال، بل هو مصطلح بولسي مشتقّ مباشرة من سفر اللاويين 18: 22 في الترجمة السبعينية اليونانية. أيّ أنّ بولس عمد إلى أن يصرّح بربط تحريمه بالقانون اليهودي، لا بأنماط رومانية محدّدة.</w:t>
      </w:r>
    </w:p>
    <w:p>
      <w:pPr>
        <w:bidi/>
        <w:spacing w:after="160"/>
        <w:jc w:val="start"/>
      </w:pPr>
      <w:r>
        <w:rPr>
          <w:sz w:val="24"/>
          <w:szCs w:val="24"/>
          <w:rtl/>
        </w:rPr>
        <w:t xml:space="preserve">**4. القراءات الإسلامية المنقّحة:** قراءة سكوت كيغل في كتابه «Homosexuality in Islam» (2010) قابلتها ردود علمية متعدّدة من علماء أسلاميّن (مثل الشيخ ياسر قاضي والدكتور جوناثان براون)، أبرزوا فيها أنّ كيغل يخلط بين علم اللغة والتفسير، وأنّ موقف الجمهور التاريخي للأمّة قاطع. كما أنّ الحديث «من وجدتموه يعمل عمل قوم لوط...» يحدّد الفعل، لا الاعتداء فقط.</w:t>
      </w:r>
    </w:p>
    <w:p>
      <w:pPr>
        <w:bidi/>
        <w:spacing w:after="160"/>
        <w:jc w:val="start"/>
      </w:pPr>
      <w:r>
        <w:rPr>
          <w:sz w:val="24"/>
          <w:szCs w:val="24"/>
          <w:rtl/>
        </w:rPr>
        <w:t xml:space="preserve">والإشكال المنهجي العامّ في القراءات «المنقّحة» أنّها تأتي بعد القناعة لا قبلها: شخص اقتنع بالموقف، ثمّ يعود إلى النصوص ليستخرج منها ما يدعم قناعته. وهذا ينقلب التفسير من اكتشاف للمعنى إلى تبرير للقناعة.</w:t>
      </w:r>
    </w:p>
    <w:p>
      <w:pPr>
        <w:bidi/>
        <w:spacing w:after="160"/>
        <w:jc w:val="start"/>
      </w:pPr>
      <w:r>
        <w:rPr>
          <w:sz w:val="24"/>
          <w:szCs w:val="24"/>
          <w:rtl/>
        </w:rPr>
        <w:t xml:space="preserve">## نقد حجّة «الضرر»</w:t>
      </w:r>
    </w:p>
    <w:p>
      <w:pPr>
        <w:bidi/>
        <w:spacing w:after="160"/>
        <w:jc w:val="start"/>
      </w:pPr>
      <w:r>
        <w:rPr>
          <w:sz w:val="24"/>
          <w:szCs w:val="24"/>
          <w:rtl/>
        </w:rPr>
        <w:t xml:space="preserve">حجّة جون ستيوارت ميل في «الضرر» تعاني من إشكالات فلسفية عميقة:</w:t>
      </w:r>
    </w:p>
    <w:p>
      <w:pPr>
        <w:bidi/>
        <w:spacing w:after="160"/>
        <w:jc w:val="start"/>
      </w:pPr>
      <w:r>
        <w:rPr>
          <w:sz w:val="24"/>
          <w:szCs w:val="24"/>
          <w:rtl/>
        </w:rPr>
        <w:t xml:space="preserve">**أوّلًا، تعريف الضرر:** ما هو الضرر؟ هل هو فقط الضرر المباشر، أم يشمل الضرر غير المباشر للبنية الاجتماعية؟ المؤسّسة الاجتماعية للزواج لها أثار اجتماعية واسعة على الأطفال والأسر والثقافة. تغيير تعريفها ليس فعلًا «خاصًّا» بحتًا.</w:t>
      </w:r>
    </w:p>
    <w:p>
      <w:pPr>
        <w:bidi/>
        <w:spacing w:after="160"/>
        <w:jc w:val="start"/>
      </w:pPr>
      <w:r>
        <w:rPr>
          <w:sz w:val="24"/>
          <w:szCs w:val="24"/>
          <w:rtl/>
        </w:rPr>
        <w:t xml:space="preserve">**ثانيًا، الضرر على الأطفال:** الزواج المثلي بطبيعته يضمن أنّ الطفل المتبنّى يُحرم إمّا من أمّ إمّا من أبّ. والأبحاث المتاحة، كما ذكرنا، لا تحسم القضية، لكنّ مبدأ الحيطة يقتضي عدم الجزم بأنّ هذا «لا ضرر فيه».</w:t>
      </w:r>
    </w:p>
    <w:p>
      <w:pPr>
        <w:bidi/>
        <w:spacing w:after="160"/>
        <w:jc w:val="start"/>
      </w:pPr>
      <w:r>
        <w:rPr>
          <w:sz w:val="24"/>
          <w:szCs w:val="24"/>
          <w:rtl/>
        </w:rPr>
        <w:t xml:space="preserve">**ثالثًا، الضرر الصحّي:** أبحاث وبائية متعدّدة تشير إلى نسب مخاطر أعلى في الأمراض المنقولة جنسيًا في فئات معيّنة من السلوك، خصوصًا الاتّصال الشرجي. وهذا ضرر صحّي حقيقي، لا مجرّد «وصمة».</w:t>
      </w:r>
    </w:p>
    <w:p>
      <w:pPr>
        <w:bidi/>
        <w:spacing w:after="160"/>
        <w:jc w:val="start"/>
      </w:pPr>
      <w:r>
        <w:rPr>
          <w:sz w:val="24"/>
          <w:szCs w:val="24"/>
          <w:rtl/>
        </w:rPr>
        <w:t xml:space="preserve">**رابعًا، حجّة ميل نفسها لها حدود:** ميل لم يكن يدعو إلى المساواة المطلقة بين كلّ السلوكيات، بل كان يضع حدودًا حتّى في إطار الحرّية. وقد كتب ميل نفسه عن «حدود السلطة الاجتماعية على الفرد» وعن مسؤوليات الفرد تجاه المجتمع.</w:t>
      </w:r>
    </w:p>
    <w:p>
      <w:pPr>
        <w:bidi/>
        <w:spacing w:after="160"/>
        <w:jc w:val="start"/>
      </w:pPr>
      <w:r>
        <w:rPr>
          <w:sz w:val="24"/>
          <w:szCs w:val="24"/>
          <w:rtl/>
        </w:rPr>
        <w:t xml:space="preserve">## القلق على القاصرين</w:t>
      </w:r>
    </w:p>
    <w:p>
      <w:pPr>
        <w:bidi/>
        <w:spacing w:after="160"/>
        <w:jc w:val="start"/>
      </w:pPr>
      <w:r>
        <w:rPr>
          <w:sz w:val="24"/>
          <w:szCs w:val="24"/>
          <w:rtl/>
        </w:rPr>
        <w:t xml:space="preserve">من أهمّ المخاوف المعاصرة، خصوصًا بعد التحوّل الكبير نحو قضايا الجندر، هو حماية القاصرين. وقد عبّرت تقارير علمية بريطانية وأوروبية عن قلق متزايد:</w:t>
      </w:r>
    </w:p>
    <w:p>
      <w:pPr>
        <w:bidi/>
        <w:spacing w:after="160"/>
        <w:jc w:val="start"/>
      </w:pPr>
      <w:r>
        <w:rPr>
          <w:sz w:val="24"/>
          <w:szCs w:val="24"/>
          <w:rtl/>
        </w:rPr>
        <w:t xml:space="preserve">**1. تقرير كاس ريفيو (Cass Review, 2024):** كما ذكرنا، خلص هذا التقرير الرسمي البريطاني إلى أنّ الأدلّة العلمية على فاعلية حاصرات البلوغ والعلاج الهرموني عند الأطفال «ضعيفة بشكل لافت»، وأوصى بإبطاء التعامل العلاجي مع الأطفال.</w:t>
      </w:r>
    </w:p>
    <w:p>
      <w:pPr>
        <w:bidi/>
        <w:spacing w:after="160"/>
        <w:jc w:val="start"/>
      </w:pPr>
      <w:r>
        <w:rPr>
          <w:sz w:val="24"/>
          <w:szCs w:val="24"/>
          <w:rtl/>
        </w:rPr>
        <w:t xml:space="preserve">**2. السويد (2022):** قرّرت السويد تقييد العلاج الهرموني للقاصرين.</w:t>
      </w:r>
    </w:p>
    <w:p>
      <w:pPr>
        <w:bidi/>
        <w:spacing w:after="160"/>
        <w:jc w:val="start"/>
      </w:pPr>
      <w:r>
        <w:rPr>
          <w:sz w:val="24"/>
          <w:szCs w:val="24"/>
          <w:rtl/>
        </w:rPr>
        <w:t xml:space="preserve">**3. فنلندا (2020):** اتّخذت موقفًا أكثر تحفّظًا، ووضعت بروتوكولات صارمة.</w:t>
      </w:r>
    </w:p>
    <w:p>
      <w:pPr>
        <w:bidi/>
        <w:spacing w:after="160"/>
        <w:jc w:val="start"/>
      </w:pPr>
      <w:r>
        <w:rPr>
          <w:sz w:val="24"/>
          <w:szCs w:val="24"/>
          <w:rtl/>
        </w:rPr>
        <w:t xml:space="preserve">**4. فرنسا (2022):** أوصت الأكاديمية الفرنسية للطبّ بمزيد من الحذر.</w:t>
      </w:r>
    </w:p>
    <w:p>
      <w:pPr>
        <w:bidi/>
        <w:spacing w:after="160"/>
        <w:jc w:val="start"/>
      </w:pPr>
      <w:r>
        <w:rPr>
          <w:sz w:val="24"/>
          <w:szCs w:val="24"/>
          <w:rtl/>
        </w:rPr>
        <w:t xml:space="preserve">والملاحظ أنّ هذه القرارات صدرت من دول لم تكن «معادية» للحركة، بل من دول داعمة، لكنّ الأدلّة الطبّية دفعتها إلى إعادة النظر. وهذا يُضعف الادّعاء بأنّ كلّ من يقلق على القاصرين هو «متطرّف ديني».</w:t>
      </w:r>
    </w:p>
    <w:p>
      <w:pPr>
        <w:bidi/>
        <w:spacing w:after="160"/>
        <w:jc w:val="start"/>
      </w:pPr>
      <w:r>
        <w:rPr>
          <w:sz w:val="24"/>
          <w:szCs w:val="24"/>
          <w:rtl/>
        </w:rPr>
        <w:t xml:space="preserve">## حرّية الدين والضمير</w:t>
      </w:r>
    </w:p>
    <w:p>
      <w:pPr>
        <w:bidi/>
        <w:spacing w:after="160"/>
        <w:jc w:val="start"/>
      </w:pPr>
      <w:r>
        <w:rPr>
          <w:sz w:val="24"/>
          <w:szCs w:val="24"/>
          <w:rtl/>
        </w:rPr>
        <w:t xml:space="preserve">الإشكال الذي بدأ يبرز بقوّة في السنوات الأخيرة هو الصراع بين «حقوق LGBTQ» و«حرّية الدين والضمير». وقد ظهرت قضايا متعدّدة:</w:t>
      </w:r>
    </w:p>
    <w:p>
      <w:pPr>
        <w:bidi/>
        <w:spacing w:after="160"/>
        <w:jc w:val="start"/>
      </w:pPr>
      <w:r>
        <w:rPr>
          <w:sz w:val="24"/>
          <w:szCs w:val="24"/>
          <w:rtl/>
        </w:rPr>
        <w:t xml:space="preserve">- الخبّاز جاك فيليبس وصاحب محلّ الزهور باروني ستيتزمان في الولايات المتّحدة، الذين رفضوا تقديم خدماتهم لأعراس مثلية لأسباب دينية، وتعرّضوا لمتابعات قانونية. - المعلّمون والممرّضون في بريطانيا الذين فصلوا من العمل لرفضهم استخدام الضمائر الجديدة المنادية بالهوية الجندرية. - المدارس الدينية في كندا وأستراليا التي هُدّدت بسحب التمويل العامّ بسبب تمسّكها بمناهج تقليدية. - العاملون في الجامعات والشركات الذين أُجبروا على المشاركة في تدريبات «التنوّع» التي تتعارض مع قناعاتهم.</w:t>
      </w:r>
    </w:p>
    <w:p>
      <w:pPr>
        <w:bidi/>
        <w:spacing w:after="160"/>
        <w:jc w:val="start"/>
      </w:pPr>
      <w:r>
        <w:rPr>
          <w:sz w:val="24"/>
          <w:szCs w:val="24"/>
          <w:rtl/>
        </w:rPr>
        <w:t xml:space="preserve">والقضية هنا ليست في وجود حقوق للمثليين، بل في أن هذه الحقوق تتمدّد بطريقة تنتهك حقوق آخرين. والمساحة الأخلاقية لـ«التعايش مع الاختلاف» — التي يدعو إليها المؤيّدون أحيانًا — تنكمش حين يُجبر المخالف على التعاون الفعلي، لا مجرّد التسامح السلبي.</w:t>
      </w:r>
    </w:p>
    <w:p>
      <w:pPr>
        <w:bidi/>
        <w:spacing w:after="160"/>
        <w:jc w:val="start"/>
      </w:pPr>
      <w:r>
        <w:rPr>
          <w:sz w:val="24"/>
          <w:szCs w:val="24"/>
          <w:rtl/>
        </w:rPr>
        <w:t xml:space="preserve">## نقد حجّة «الانزلاق نحو العنف»</w:t>
      </w:r>
    </w:p>
    <w:p>
      <w:pPr>
        <w:bidi/>
        <w:spacing w:after="160"/>
        <w:jc w:val="start"/>
      </w:pPr>
      <w:r>
        <w:rPr>
          <w:sz w:val="24"/>
          <w:szCs w:val="24"/>
          <w:rtl/>
        </w:rPr>
        <w:t xml:space="preserve">من المهمّ التمييز بين رفض السلوك من الناحية الأخلاقية، وبين الدعوة إلى العنف ضدّ الأشخاص. الإسلام يحرّم الفعل لكنّه يأمر بالرحمة بالعباد. والمسلم الذي يلتزم بالموقف الفقهي ولا يأذى أحدًا لا يمكن وصفه بـ«التحريض» إلا تعسّفًا. إنّ خلط الموقف الأخلاقي بالعنف هو محاولة إسكات للنقد بقلب التهمة، وليس حجّة فلسفية.</w:t>
      </w:r>
    </w:p>
    <w:p>
      <w:pPr>
        <w:bidi/>
        <w:spacing w:after="160"/>
        <w:jc w:val="start"/>
      </w:pPr>
      <w:r>
        <w:rPr>
          <w:sz w:val="24"/>
          <w:szCs w:val="24"/>
          <w:rtl/>
        </w:rPr>
        <w:t xml:space="preserve">## خلاصة الفصل</w:t>
      </w:r>
    </w:p>
    <w:p>
      <w:pPr>
        <w:bidi/>
        <w:spacing w:after="160"/>
        <w:jc w:val="start"/>
      </w:pPr>
      <w:r>
        <w:rPr>
          <w:sz w:val="24"/>
          <w:szCs w:val="24"/>
          <w:rtl/>
        </w:rPr>
        <w:t xml:space="preserve">الحجج المؤيّدة للحركة المثلية المعاصرة — رغم قوّتها العاطفية والسياسية — تواجه إشكالات حقيقية على المستوى العلمي والفلسفي والديني. ومن العدل أن نقرّ بأنّ بعضها يستحقّ التأمّل (مثل القلق على كرامة الأشخاص ومنع العنف ضدّهم)، لكنّ كثيرًا منها — خصوصًا حجّة «وُلدوا هكذا» وحجّة «الضرر» وقراءات النصوص — يتداعى تحت التدقيق. والقارئ المنصف يستطيع أن يحتفظ بالتعاطف الإنساني مع الأشخاص دون أن يُسلّم بكلّ الحجج المرفقة بالقضية. والله أعلم.</w:t>
      </w:r>
    </w:p>
    <w:p>
      <w:r>
        <w:br w:type="page"/>
      </w:r>
    </w:p>
    <w:p>
      <w:pPr>
        <w:bidi/>
        <w:spacing w:after="360" w:before="600"/>
        <w:jc w:val="center"/>
      </w:pPr>
      <w:r>
        <w:rPr>
          <w:b/>
          <w:bCs/>
          <w:color w:val="1B3A5C"/>
          <w:sz w:val="36"/>
          <w:szCs w:val="36"/>
          <w:rtl/>
        </w:rPr>
        <w:t xml:space="preserve">الفصل الثاني عشر: موقف الإسلام</w:t>
      </w:r>
    </w:p>
    <w:p>
      <w:pPr>
        <w:bidi/>
        <w:spacing w:after="160"/>
        <w:jc w:val="start"/>
      </w:pPr>
      <w:r>
        <w:rPr>
          <w:sz w:val="24"/>
          <w:szCs w:val="24"/>
          <w:rtl/>
        </w:rPr>
        <w:t xml:space="preserve">﴿إِنَّكُمْ لَتَأْتُونَ الرِّجَالَ شَهْوَةً مِّن دُونِ النِّسَاءِ ۚ بَلْ أَنتُمْ قَوْمٌ مُّسْرِفُونَ﴾ (الأعراف: 81)</w:t>
      </w:r>
    </w:p>
    <w:p>
      <w:pPr>
        <w:bidi/>
        <w:spacing w:after="160"/>
        <w:jc w:val="start"/>
      </w:pPr>
      <w:r>
        <w:rPr>
          <w:sz w:val="24"/>
          <w:szCs w:val="24"/>
          <w:rtl/>
        </w:rPr>
        <w:t xml:space="preserve">## مقدّمة: مكانة الموضوع في الإسلام</w:t>
      </w:r>
    </w:p>
    <w:p>
      <w:pPr>
        <w:bidi/>
        <w:spacing w:after="160"/>
        <w:jc w:val="start"/>
      </w:pPr>
      <w:r>
        <w:rPr>
          <w:sz w:val="24"/>
          <w:szCs w:val="24"/>
          <w:rtl/>
        </w:rPr>
        <w:t xml:space="preserve">ليس موضوع اللواط في الإسلام مجرّد فرع فقهي صغير، بل هو موضوع تكرّر ذكره في القرآن الكريم في أكثر من اثنتي عشرة سورة، وفُصِّل في السنّة النبوية، واستقرّ عليه الإجماع الفقهي عبر القرون. وموقف الإسلام ليس موقفًا اجتهاديًا قابلًا للتغيير بحسب الأهواء أو الضغوط، بل هو موقف نصّي قطعي، تتطابق فيه المصادر الأصلية الأربعة: القرآن، والسنّة، والإجماع، والقياس.</w:t>
      </w:r>
    </w:p>
    <w:p>
      <w:pPr>
        <w:bidi/>
        <w:spacing w:after="160"/>
        <w:jc w:val="start"/>
      </w:pPr>
      <w:r>
        <w:rPr>
          <w:sz w:val="24"/>
          <w:szCs w:val="24"/>
          <w:rtl/>
        </w:rPr>
        <w:t xml:space="preserve">## الأدلّة من القرآن الكريم</w:t>
      </w:r>
    </w:p>
    <w:p>
      <w:pPr>
        <w:bidi/>
        <w:spacing w:after="160"/>
        <w:jc w:val="start"/>
      </w:pPr>
      <w:r>
        <w:rPr>
          <w:sz w:val="24"/>
          <w:szCs w:val="24"/>
          <w:rtl/>
        </w:rPr>
        <w:t xml:space="preserve">أوّلًا، النصوص القرآنية لا تدع مجالًا للتأويل المنحرف. سنستعرض أبرزها:</w:t>
      </w:r>
    </w:p>
    <w:p>
      <w:pPr>
        <w:bidi/>
        <w:spacing w:after="160"/>
        <w:jc w:val="start"/>
      </w:pPr>
      <w:r>
        <w:rPr>
          <w:sz w:val="24"/>
          <w:szCs w:val="24"/>
          <w:rtl/>
        </w:rPr>
        <w:t xml:space="preserve">**سورة الأعراف:** ﴿وَلُوطًا إِذْ قَالَ لِقَوْمِهِ أَتَأْتُونَ الْفَاحِشَةَ مَا سَبَقَكُم بِهَا مِنْ أَحَدٍ مِّنَ الْعَالَمِينَ * إِنَّكُمْ لَتَأْتُونَ الرِّجَالَ شَهْوَةً مِّن دُونِ النِّسَاءِ ۚ بَلْ أَنتُمْ قَوْمٌ مُّسْرِفُونَ﴾ (الأعراف: 80–81). الآية واضحة في أنّ الفاحشة المعنية هي «إتيان الرجال»، أي السلوك الجنسي معهم، لا مجرّد الميل أو الإيذاء.</w:t>
      </w:r>
    </w:p>
    <w:p>
      <w:pPr>
        <w:bidi/>
        <w:spacing w:after="160"/>
        <w:jc w:val="start"/>
      </w:pPr>
      <w:r>
        <w:rPr>
          <w:sz w:val="24"/>
          <w:szCs w:val="24"/>
          <w:rtl/>
        </w:rPr>
        <w:t xml:space="preserve">**سورة هود:** ﴿وَجَاءَهُ قَوْمُهُ يُهْرَعُونَ إِلَيْهِ وَمِن قَبْلُ كَانُوا يَعْمَلُونَ السَّيِّئَاتِ ۚ قَالَ يَا قَوْمِ هَؤُلاءِ بَنَاتِي هُنَّ أَطْهَرُ لَكُمْ ۖ فَاتَّقُوا اللَّهَ وَلَا تُخْزُونِ فِي ضَيْفِي﴾ (هود: 78). فعرض البنات للزواج من قِبَل لوط دليل واضح أنّ الفاحشة المرفوضة كانت في الجنس مع الرجال، لا في الاعتداء على الضيوف فقط.</w:t>
      </w:r>
    </w:p>
    <w:p>
      <w:pPr>
        <w:bidi/>
        <w:spacing w:after="160"/>
        <w:jc w:val="start"/>
      </w:pPr>
      <w:r>
        <w:rPr>
          <w:sz w:val="24"/>
          <w:szCs w:val="24"/>
          <w:rtl/>
        </w:rPr>
        <w:t xml:space="preserve">**سورة الشعراء:** ﴿أَتَأْتُونَ الذُّكْرَانَ مِنَ الْعَالَمِينَ * وَتَذَرُونَ مَا خَلَقَ لَكُمْ رَبُّكُم مِّنْ أَزْوَاجِكُم ۚ بَلْ أَنتُمْ قَوْمٌ عَادُونَ﴾ (الشعراء: 165–166). الآية تجمع: فعل الذكور، وترك الزوجات، والوصف بالعدوان (أيّ التجاوز).</w:t>
      </w:r>
    </w:p>
    <w:p>
      <w:pPr>
        <w:bidi/>
        <w:spacing w:after="160"/>
        <w:jc w:val="start"/>
      </w:pPr>
      <w:r>
        <w:rPr>
          <w:sz w:val="24"/>
          <w:szCs w:val="24"/>
          <w:rtl/>
        </w:rPr>
        <w:t xml:space="preserve">**سورة العنكبوت:** ﴿أَئِنَّكُمْ لَتَأْتُونَ الرِّجَالَ وَتَقْطَعُونَ السَّبِيلَ وَتَأْتُونَ فِي نَادِيكُمُ الْمُنكَرَ﴾ (العنكبوت: 29). الآية تعدّ ثلاث جرائم متمايزة، فالأولى منها (إتيان الرجال) مستقلّة عن الثانية (قطع السبيل) وعن الثالثة (الفعل العلني). أيّ أنّ الفاحشة الجنسية هي ذنب مستقلّ، لا اختزال للذنوب الأخرى.</w:t>
      </w:r>
    </w:p>
    <w:p>
      <w:pPr>
        <w:bidi/>
        <w:spacing w:after="160"/>
        <w:jc w:val="start"/>
      </w:pPr>
      <w:r>
        <w:rPr>
          <w:sz w:val="24"/>
          <w:szCs w:val="24"/>
          <w:rtl/>
        </w:rPr>
        <w:t xml:space="preserve">**سورة النمل:** ﴿أَتَأْتُونَ الْفَاحِشَةَ وَأَنتُمْ تُبْصِرُونَ * أَئِنَّكُمْ لَتَأْتُونَ الرِّجَالَ شَهْوَةً مِّن دُونِ النِّسَاءِ ۚ بَلْ أَنتُمْ قَوْمٌ تَجْهَلُونَ﴾ (النمل: 54–55). نرى هنا التكرار البلاغي: «الفاحشة» معنى عامّ، يفصّله: «إتيان الرجال شهوة».</w:t>
      </w:r>
    </w:p>
    <w:p>
      <w:pPr>
        <w:bidi/>
        <w:spacing w:after="160"/>
        <w:jc w:val="start"/>
      </w:pPr>
      <w:r>
        <w:rPr>
          <w:sz w:val="24"/>
          <w:szCs w:val="24"/>
          <w:rtl/>
        </w:rPr>
        <w:t xml:space="preserve">ولا يستطيع أيّ تأويل علمي جادّ أن ينفي ما هو واضح في النصوص. والقرآن، حين أراد الإشارة إلى «الاعتداء على الضيوف» في موضع آخر (أصحاب الكهف، يوسف عليه السلام)، استخدم تعبيرات مختلفة. أمّا هنا، فالتعبير الجنسي صريح.</w:t>
      </w:r>
    </w:p>
    <w:p>
      <w:pPr>
        <w:bidi/>
        <w:spacing w:after="160"/>
        <w:jc w:val="start"/>
      </w:pPr>
      <w:r>
        <w:rPr>
          <w:sz w:val="24"/>
          <w:szCs w:val="24"/>
          <w:rtl/>
        </w:rPr>
        <w:t xml:space="preserve">## الأدلّة من السنّة النبوية</w:t>
      </w:r>
    </w:p>
    <w:p>
      <w:pPr>
        <w:bidi/>
        <w:spacing w:after="160"/>
        <w:jc w:val="start"/>
      </w:pPr>
      <w:r>
        <w:rPr>
          <w:sz w:val="24"/>
          <w:szCs w:val="24"/>
          <w:rtl/>
        </w:rPr>
        <w:t xml:space="preserve">السنّة شارحة للقرآن، وقد جاءت أحاديث متعدّدة في الموضوع:</w:t>
      </w:r>
    </w:p>
    <w:p>
      <w:pPr>
        <w:bidi/>
        <w:spacing w:after="160"/>
        <w:jc w:val="start"/>
      </w:pPr>
      <w:r>
        <w:rPr>
          <w:sz w:val="24"/>
          <w:szCs w:val="24"/>
          <w:rtl/>
        </w:rPr>
        <w:t xml:space="preserve">**الحديث الأوّل:** رواه أحمد وأبو داود والترمذي وابن ماجه عن ابن عبّاس رضي الله عنهما أنّ النبيّ ﷺ قال: «من وجدتموه يعمل عمل قوم لوط فاقتلوا الفاعل والمفعول به». وهذا الحديث صحّحه بعض المحدّثين (مثل الألباني)، وضعّفه آخرون من حيث الإسناد، لكنّ معناه شاهد بأحاديث أخرى وبالأدلّة القرآنية.</w:t>
      </w:r>
    </w:p>
    <w:p>
      <w:pPr>
        <w:bidi/>
        <w:spacing w:after="160"/>
        <w:jc w:val="start"/>
      </w:pPr>
      <w:r>
        <w:rPr>
          <w:sz w:val="24"/>
          <w:szCs w:val="24"/>
          <w:rtl/>
        </w:rPr>
        <w:t xml:space="preserve">**الحديث الثاني:** «أربع لا ينظر الله إليهم يوم القيامة: العاقّ لوالديه، والمنّان، والمكذّب بالقدر، ومدمن الخمر» (في بعض الروايات تذكر «العامل عمل قوم لوط»).</w:t>
      </w:r>
    </w:p>
    <w:p>
      <w:pPr>
        <w:bidi/>
        <w:spacing w:after="160"/>
        <w:jc w:val="start"/>
      </w:pPr>
      <w:r>
        <w:rPr>
          <w:sz w:val="24"/>
          <w:szCs w:val="24"/>
          <w:rtl/>
        </w:rPr>
        <w:t xml:space="preserve">**الحديث الثالث:** «لعن الله من عمل عمل قوم لوط، لعن الله من عمل عمل قوم لوط، لعن الله من عمل عمل قوم لوط» (روي بأسانيد متعدّدة، كرّر النبيّ ﷺ اللعن ثلاثًا).</w:t>
      </w:r>
    </w:p>
    <w:p>
      <w:pPr>
        <w:bidi/>
        <w:spacing w:after="160"/>
        <w:jc w:val="start"/>
      </w:pPr>
      <w:r>
        <w:rPr>
          <w:sz w:val="24"/>
          <w:szCs w:val="24"/>
          <w:rtl/>
        </w:rPr>
        <w:t xml:space="preserve">ومجموع هذه الأحاديث، حتّى مع النظر في إسنادات بعضها، يفيد القطع في الموضوع.</w:t>
      </w:r>
    </w:p>
    <w:p>
      <w:pPr>
        <w:bidi/>
        <w:spacing w:after="160"/>
        <w:jc w:val="start"/>
      </w:pPr>
      <w:r>
        <w:rPr>
          <w:sz w:val="24"/>
          <w:szCs w:val="24"/>
          <w:rtl/>
        </w:rPr>
        <w:t xml:space="preserve">## إجماع الأمّة</w:t>
      </w:r>
    </w:p>
    <w:p>
      <w:pPr>
        <w:bidi/>
        <w:spacing w:after="160"/>
        <w:jc w:val="start"/>
      </w:pPr>
      <w:r>
        <w:rPr>
          <w:sz w:val="24"/>
          <w:szCs w:val="24"/>
          <w:rtl/>
        </w:rPr>
        <w:t xml:space="preserve">من أعظم الأدلّة في الفقه الإسلامي: الإجماع. وقد أجمع علماء الأمّة الإسلامية، منذ عصر الصحابة إلى يومنا، على تحريم اللواط تحريمًا قاطعًا. ولم يذكر أيّ من العلماء المعتبرين القول بإباحته. والإجماع في الإسلام دليل قطعي.</w:t>
      </w:r>
    </w:p>
    <w:p>
      <w:pPr>
        <w:bidi/>
        <w:spacing w:after="160"/>
        <w:jc w:val="start"/>
      </w:pPr>
      <w:r>
        <w:rPr>
          <w:sz w:val="24"/>
          <w:szCs w:val="24"/>
          <w:rtl/>
        </w:rPr>
        <w:t xml:space="preserve">ومن أبرز الأقوال:</w:t>
      </w:r>
    </w:p>
    <w:p>
      <w:pPr>
        <w:bidi/>
        <w:spacing w:after="160"/>
        <w:jc w:val="start"/>
      </w:pPr>
      <w:r>
        <w:rPr>
          <w:sz w:val="24"/>
          <w:szCs w:val="24"/>
          <w:rtl/>
        </w:rPr>
        <w:t xml:space="preserve">- **الإمام الشافعي (ت 204هـ):** نقل في كتاب «الأمّ» أنّ اللواط من الكبائر التي لا خلاف فيها. - **الإمام أحمد (ت 241هـ):** أكّد التحريم القاطع. - **ابن قدامة (ت 620هـ):** في كتاب «المغني» نقل الإجماع. - **النووي (ت 676هـ):** في «المجموع» وغيره نقل الإجماع. - **ابن تيمية (ت 728هـ):** في فتاويه كتب نقلًا عن الإجماع، وسمّى المسألة من «المعلومات من الدين بالضرورة». - **ابن قيّم الجوزية (ت 751هـ):** كتب فصلًا كاملًا في الموضوع في كتابه «الجواب الكافي» و«روضة المحبّين».</w:t>
      </w:r>
    </w:p>
    <w:p>
      <w:pPr>
        <w:bidi/>
        <w:spacing w:after="160"/>
        <w:jc w:val="start"/>
      </w:pPr>
      <w:r>
        <w:rPr>
          <w:sz w:val="24"/>
          <w:szCs w:val="24"/>
          <w:rtl/>
        </w:rPr>
        <w:t xml:space="preserve">ومن المهمّ ملاحظة أنّ هذا الإجماع لم يكن نظريًا فحسب، بل مارسته الأمّة في تشريعاتها وفتاواها وعرفها لأكثر من 1400 سنة. وأيّ قول بنسف هذا الإجماع — كما يحاول بعض الكتّاب المعاصرين — يصطدم بأصول الفقه الإسلامي.</w:t>
      </w:r>
    </w:p>
    <w:p>
      <w:pPr>
        <w:bidi/>
        <w:spacing w:after="160"/>
        <w:jc w:val="start"/>
      </w:pPr>
      <w:r>
        <w:rPr>
          <w:sz w:val="24"/>
          <w:szCs w:val="24"/>
          <w:rtl/>
        </w:rPr>
        <w:t xml:space="preserve">## التمييز بين الميل والفعل</w:t>
      </w:r>
    </w:p>
    <w:p>
      <w:pPr>
        <w:bidi/>
        <w:spacing w:after="160"/>
        <w:jc w:val="start"/>
      </w:pPr>
      <w:r>
        <w:rPr>
          <w:sz w:val="24"/>
          <w:szCs w:val="24"/>
          <w:rtl/>
        </w:rPr>
        <w:t xml:space="preserve">من أهمّ ما ينبغي إبرازه — ولا يفتأ بعض المتطرّفين من اتجاهين متضادّين يطمسانه — هو التمييز الفقهي بين ثلاثة:</w:t>
      </w:r>
    </w:p>
    <w:p>
      <w:pPr>
        <w:bidi/>
        <w:spacing w:after="160"/>
        <w:jc w:val="start"/>
      </w:pPr>
      <w:r>
        <w:rPr>
          <w:sz w:val="24"/>
          <w:szCs w:val="24"/>
          <w:rtl/>
        </w:rPr>
        <w:t xml:space="preserve">**الأوّل: الخواطر والوساوس.** قد تطرأ على المسلم ميول غير سويّة دون قصد، وهو ليس مكلّفًا بمنعها ابتداءً، إذ ليس له على ذلك سيطرة مباشرة. والحديث الشريف: «إنّ الله تجاوز عن أمّتي ما حدّثت به أنفسها ما لم تتكلّم أو تعمل».</w:t>
      </w:r>
    </w:p>
    <w:p>
      <w:pPr>
        <w:bidi/>
        <w:spacing w:after="160"/>
        <w:jc w:val="start"/>
      </w:pPr>
      <w:r>
        <w:rPr>
          <w:sz w:val="24"/>
          <w:szCs w:val="24"/>
          <w:rtl/>
        </w:rPr>
        <w:t xml:space="preserve">**الثاني: الميل الراسخ.** إذا استقرّ الميل في النفس واستمرّ، وكان المسلم يجاهد نفسه في عدم الاستجابة له، فهو في موقع المجاهد لا الفاسق. ويُؤجر على جهاده. ولا يدخل في الإثم ما لم يُقدِم على الفعل.</w:t>
      </w:r>
    </w:p>
    <w:p>
      <w:pPr>
        <w:bidi/>
        <w:spacing w:after="160"/>
        <w:jc w:val="start"/>
      </w:pPr>
      <w:r>
        <w:rPr>
          <w:sz w:val="24"/>
          <w:szCs w:val="24"/>
          <w:rtl/>
        </w:rPr>
        <w:t xml:space="preserve">**الثالث: الفعل.** هو محلّ التحريم القاطع، وهو موضوع الحدّ والتعزير في الفقه.</w:t>
      </w:r>
    </w:p>
    <w:p>
      <w:pPr>
        <w:bidi/>
        <w:spacing w:after="160"/>
        <w:jc w:val="start"/>
      </w:pPr>
      <w:r>
        <w:rPr>
          <w:sz w:val="24"/>
          <w:szCs w:val="24"/>
          <w:rtl/>
        </w:rPr>
        <w:t xml:space="preserve">وهذا التمييز ليس تنازلًا، بل هو تطبيق دقيق للنصوص. القرآن والسنّة يحرّمان «الإتيان» و«الفعل»، لا «الشعور». وقد كتب الشيخ يوسف القرضاوي والشيخ عبد الله بن بيّه والمجمع الفقهي الإسلامي عدّة فتاوى تؤكّد هذا التمييز.</w:t>
      </w:r>
    </w:p>
    <w:p>
      <w:pPr>
        <w:bidi/>
        <w:spacing w:after="160"/>
        <w:jc w:val="start"/>
      </w:pPr>
      <w:r>
        <w:rPr>
          <w:sz w:val="24"/>
          <w:szCs w:val="24"/>
          <w:rtl/>
        </w:rPr>
        <w:t xml:space="preserve">والأثر العملي لهذا التمييز كبير:</w:t>
      </w:r>
    </w:p>
    <w:p>
      <w:pPr>
        <w:bidi/>
        <w:spacing w:after="160"/>
        <w:jc w:val="start"/>
      </w:pPr>
      <w:r>
        <w:rPr>
          <w:sz w:val="24"/>
          <w:szCs w:val="24"/>
          <w:rtl/>
        </w:rPr>
        <w:t xml:space="preserve">- المسلم الذي يجد في نفسه ميلًا غير سوي ويستعيذ بالله منه ويجاهد نفسه ليس كافرًا ولا فاسقًا، بل هو مجاهد مأجور. - لا يجوز التشهير به أو تخوينه أو إقصاؤه من المساجد والمجتمعات الإسلامية. - يجب توفير السرّية والمشورة والدعم النفسي الإسلامي له.</w:t>
      </w:r>
    </w:p>
    <w:p>
      <w:pPr>
        <w:bidi/>
        <w:spacing w:after="160"/>
        <w:jc w:val="start"/>
      </w:pPr>
      <w:r>
        <w:rPr>
          <w:sz w:val="24"/>
          <w:szCs w:val="24"/>
          <w:rtl/>
        </w:rPr>
        <w:t xml:space="preserve">## الرعاية التربوية والدعوية</w:t>
      </w:r>
    </w:p>
    <w:p>
      <w:pPr>
        <w:bidi/>
        <w:spacing w:after="160"/>
        <w:jc w:val="start"/>
      </w:pPr>
      <w:r>
        <w:rPr>
          <w:sz w:val="24"/>
          <w:szCs w:val="24"/>
          <w:rtl/>
        </w:rPr>
        <w:t xml:space="preserve">كيف يتعامل العلماء مع المسلم الذي يجد في نفسه هذا الميل؟ المنهج الإسلامي يجمع بين الصرامة في الحكم والرحمة في التعامل:</w:t>
      </w:r>
    </w:p>
    <w:p>
      <w:pPr>
        <w:bidi/>
        <w:spacing w:after="160"/>
        <w:jc w:val="start"/>
      </w:pPr>
      <w:r>
        <w:rPr>
          <w:sz w:val="24"/>
          <w:szCs w:val="24"/>
          <w:rtl/>
        </w:rPr>
        <w:t xml:space="preserve">**1. السرّية:** الستر مأمور به في الإسلام. روى الحاكم وغيره: «من أتى من هذه القاذورات شيئًا فليستتر بستر الله». والاعتراف العلني والتشهير ليس من المنهج الإسلامي.</w:t>
      </w:r>
    </w:p>
    <w:p>
      <w:pPr>
        <w:bidi/>
        <w:spacing w:after="160"/>
        <w:jc w:val="start"/>
      </w:pPr>
      <w:r>
        <w:rPr>
          <w:sz w:val="24"/>
          <w:szCs w:val="24"/>
          <w:rtl/>
        </w:rPr>
        <w:t xml:space="preserve">**2. التوبة:** باب التوبة مفتوح لكلّ ذنب. والقرآن يبشّر التائبين: ﴿وَتُوبُوا إِلَى اللَّهِ جَمِيعًا أَيُّهَا الْمُؤْمِنُونَ لَعَلَّكُمْ تُفْلِحُونَ﴾ (النور: 31). والتوبة من الفعل تكون بالندم والإقلاع والعزم على عدم العودة.</w:t>
      </w:r>
    </w:p>
    <w:p>
      <w:pPr>
        <w:bidi/>
        <w:spacing w:after="160"/>
        <w:jc w:val="start"/>
      </w:pPr>
      <w:r>
        <w:rPr>
          <w:sz w:val="24"/>
          <w:szCs w:val="24"/>
          <w:rtl/>
        </w:rPr>
        <w:t xml:space="preserve">**3. الصبر والمجاهدة:** للذي يجد في نفسه الميل ولا يفعل: عليه الصبر، وذلك بمنزلة جهاد النفس الذي ورد فيه النصّ النبوي: «المجاهد من جاهد نفسه في الله».</w:t>
      </w:r>
    </w:p>
    <w:p>
      <w:pPr>
        <w:bidi/>
        <w:spacing w:after="160"/>
        <w:jc w:val="start"/>
      </w:pPr>
      <w:r>
        <w:rPr>
          <w:sz w:val="24"/>
          <w:szCs w:val="24"/>
          <w:rtl/>
        </w:rPr>
        <w:t xml:space="preserve">**4. تجنّب المثيرات:** بُعد عن المواقف والأشخاص الذين يثيرون الميل، ومتابعة العلاجات النفسية والروحية المناسبة.</w:t>
      </w:r>
    </w:p>
    <w:p>
      <w:pPr>
        <w:bidi/>
        <w:spacing w:after="160"/>
        <w:jc w:val="start"/>
      </w:pPr>
      <w:r>
        <w:rPr>
          <w:sz w:val="24"/>
          <w:szCs w:val="24"/>
          <w:rtl/>
        </w:rPr>
        <w:t xml:space="preserve">**5. الزواج:** للبعض، الزواج بالطرف الآخر قد يكون حلًّا، خصوصًا للذين لديهم ميل ثنائي أو خفيف. وهو ما يُعرف بـ«الزواج المختلط الميل». لكنّ هذا يحتاج دراسة فردية وصراحة مع الطرف الآخر.</w:t>
      </w:r>
    </w:p>
    <w:p>
      <w:pPr>
        <w:bidi/>
        <w:spacing w:after="160"/>
        <w:jc w:val="start"/>
      </w:pPr>
      <w:r>
        <w:rPr>
          <w:sz w:val="24"/>
          <w:szCs w:val="24"/>
          <w:rtl/>
        </w:rPr>
        <w:t xml:space="preserve">## الفتاوى المعاصرة الكبرى</w:t>
      </w:r>
    </w:p>
    <w:p>
      <w:pPr>
        <w:bidi/>
        <w:spacing w:after="160"/>
        <w:jc w:val="start"/>
      </w:pPr>
      <w:r>
        <w:rPr>
          <w:sz w:val="24"/>
          <w:szCs w:val="24"/>
          <w:rtl/>
        </w:rPr>
        <w:t xml:space="preserve">اتّفقت كبرى المؤسّسات الإسلامية المعاصرة على ثبات الموقف الفقهي:</w:t>
      </w:r>
    </w:p>
    <w:p>
      <w:pPr>
        <w:bidi/>
        <w:spacing w:after="160"/>
        <w:jc w:val="start"/>
      </w:pPr>
      <w:r>
        <w:rPr>
          <w:sz w:val="24"/>
          <w:szCs w:val="24"/>
          <w:rtl/>
        </w:rPr>
        <w:t xml:space="preserve">- **هيئة كبار العلماء بالمملكة العربية السعودية:** أصدرت فتاوى متعدّدة تؤكّد التحريم. - **مجمع الفقه الإسلامي الدولي (جدّة):** قراره رقم 175 (19/1) في دورته السادسة عشرة (2005) أكّد التحريم. - **الأزهر الشريف:** أصدر بيانات متتالية تؤكّد الموقف. - **الجمعيات العلمائية في الهند وباكستان وإندونيسيا وماليزيا:** كلّها على الموقف نفسه.</w:t>
      </w:r>
    </w:p>
    <w:p>
      <w:pPr>
        <w:bidi/>
        <w:spacing w:after="160"/>
        <w:jc w:val="start"/>
      </w:pPr>
      <w:r>
        <w:rPr>
          <w:sz w:val="24"/>
          <w:szCs w:val="24"/>
          <w:rtl/>
        </w:rPr>
        <w:t xml:space="preserve">ولم يُسجّل خروج علمائي معتبر عن هذا الإجماع. وأقلّ مَن يُذكر من «الباحثين المسلمين» الذين يدعون إلى المراجعة، هم أكاديميون غربيون أكثر منهم علماء بالمعنى التقليدي، ومنهم: سكوت كيغل (Scott Kugle)، وأمينة ودود (Amina Wadud)، وفاطمة ميرنيسي. وقد رُدّ على طروحاتهم من قبل علماء معاصرين كالشيخ ياسر قاضي والدكتور جوناثان براون والشيخ حمزة يوسف.</w:t>
      </w:r>
    </w:p>
    <w:p>
      <w:pPr>
        <w:bidi/>
        <w:spacing w:after="160"/>
        <w:jc w:val="start"/>
      </w:pPr>
      <w:r>
        <w:rPr>
          <w:sz w:val="24"/>
          <w:szCs w:val="24"/>
          <w:rtl/>
        </w:rPr>
        <w:t xml:space="preserve">## الواقع المعاصر: ضغوط على الجاليات الإسلامية</w:t>
      </w:r>
    </w:p>
    <w:p>
      <w:pPr>
        <w:bidi/>
        <w:spacing w:after="160"/>
        <w:jc w:val="start"/>
      </w:pPr>
      <w:r>
        <w:rPr>
          <w:sz w:val="24"/>
          <w:szCs w:val="24"/>
          <w:rtl/>
        </w:rPr>
        <w:t xml:space="preserve">تواجه الجاليات الإسلامية في الغرب اليوم ضغوطًا غير مسبوقة:</w:t>
      </w:r>
    </w:p>
    <w:p>
      <w:pPr>
        <w:bidi/>
        <w:spacing w:after="160"/>
        <w:jc w:val="start"/>
      </w:pPr>
      <w:r>
        <w:rPr>
          <w:sz w:val="24"/>
          <w:szCs w:val="24"/>
          <w:rtl/>
        </w:rPr>
        <w:t xml:space="preserve">**1. مدارس الجاليات الإسلامية:** يُطلب منها تعديل مناهجها لتتوافق مع المعايير «الإدماجية»، وقد رفعت قضايا ضد بعضها.</w:t>
      </w:r>
    </w:p>
    <w:p>
      <w:pPr>
        <w:bidi/>
        <w:spacing w:after="160"/>
        <w:jc w:val="start"/>
      </w:pPr>
      <w:r>
        <w:rPr>
          <w:sz w:val="24"/>
          <w:szCs w:val="24"/>
          <w:rtl/>
        </w:rPr>
        <w:t xml:space="preserve">**2. الجمعيات الإسلامية:** يُضيّق على بعضها أو تُحرم من تمويل أو فرص بسبب موقفها.</w:t>
      </w:r>
    </w:p>
    <w:p>
      <w:pPr>
        <w:bidi/>
        <w:spacing w:after="160"/>
        <w:jc w:val="start"/>
      </w:pPr>
      <w:r>
        <w:rPr>
          <w:sz w:val="24"/>
          <w:szCs w:val="24"/>
          <w:rtl/>
        </w:rPr>
        <w:t xml:space="preserve">**3. الأئمّة:** بعض الخطب التي تتناول الموضوع تعرّضت لرقابة، وأحيانًا فُتحت تحقيقات قضائية ضدّ أئمّة في أوروبا.</w:t>
      </w:r>
    </w:p>
    <w:p>
      <w:pPr>
        <w:bidi/>
        <w:spacing w:after="160"/>
        <w:jc w:val="start"/>
      </w:pPr>
      <w:r>
        <w:rPr>
          <w:sz w:val="24"/>
          <w:szCs w:val="24"/>
          <w:rtl/>
        </w:rPr>
        <w:t xml:space="preserve">**4. الأطفال:** المناهج المدرسية في كثير من الدول الغربية تُدخل مفاهيم LGBTQ في الصفوف الابتدائية، ممّا يضع أولياء الأمور المسلمين في موقف صعب.</w:t>
      </w:r>
    </w:p>
    <w:p>
      <w:pPr>
        <w:bidi/>
        <w:spacing w:after="160"/>
        <w:jc w:val="start"/>
      </w:pPr>
      <w:r>
        <w:rPr>
          <w:sz w:val="24"/>
          <w:szCs w:val="24"/>
          <w:rtl/>
        </w:rPr>
        <w:t xml:space="preserve">**5. الزواج المدني:** كثير من المسلمين الموظّفين في وظائف رسمية (موظّفو الحالة المدنية مثلًا) يُلزمون بتسجيل عقود زواج مثلية.</w:t>
      </w:r>
    </w:p>
    <w:p>
      <w:pPr>
        <w:bidi/>
        <w:spacing w:after="160"/>
        <w:jc w:val="start"/>
      </w:pPr>
      <w:r>
        <w:rPr>
          <w:sz w:val="24"/>
          <w:szCs w:val="24"/>
          <w:rtl/>
        </w:rPr>
        <w:t xml:space="preserve">والمسلم في هذه الظروف مدعوّ إلى الصبر، والحكمة، والتمسّك بالموقف الشرعي مع مراعاة المصالح والمفاسد، والاستعانة بالعلماء والمشورة الفقهية المعاصرة.</w:t>
      </w:r>
    </w:p>
    <w:p>
      <w:pPr>
        <w:bidi/>
        <w:spacing w:after="160"/>
        <w:jc w:val="start"/>
      </w:pPr>
      <w:r>
        <w:rPr>
          <w:sz w:val="24"/>
          <w:szCs w:val="24"/>
          <w:rtl/>
        </w:rPr>
        <w:t xml:space="preserve">## خلاصة الفصل</w:t>
      </w:r>
    </w:p>
    <w:p>
      <w:pPr>
        <w:bidi/>
        <w:spacing w:after="160"/>
        <w:jc w:val="start"/>
      </w:pPr>
      <w:r>
        <w:rPr>
          <w:sz w:val="24"/>
          <w:szCs w:val="24"/>
          <w:rtl/>
        </w:rPr>
        <w:t xml:space="preserve">موقف الإسلام من اللواط واضح وقطعي: تحريم الفعل بإجماع، مع التمييز بين الميل والفعل، ومع دعوة إلى الرحمة بالمسلم الذي يجاهد نفسه. والمسلم اليوم في عصر الضغوط مدعوّ إلى المعرفة الدقيقة بمذهبه قبل أن يدافع عنه، وإلى الجمع بين الصلابة العقيدية والرحمة الإنسانية. والدعوة إلى الله في هذه القضية لا تكون بالاحتقار والاستهزاء، بل بالحكمة والموعظة الحسنة، وعلى منهج الأنبياء الذين قال الله عنهم: ﴿وَمَا أَرْسَلْنَاكَ إِلَّا رَحْمَةً لِّلْعَالَمِينَ﴾ (الأنبياء: 107). والله أعلم.</w:t>
      </w:r>
    </w:p>
    <w:p>
      <w:r>
        <w:br w:type="page"/>
      </w:r>
    </w:p>
    <w:p>
      <w:pPr>
        <w:bidi/>
        <w:spacing w:after="360" w:before="600"/>
        <w:jc w:val="center"/>
      </w:pPr>
      <w:r>
        <w:rPr>
          <w:b/>
          <w:bCs/>
          <w:color w:val="1B3A5C"/>
          <w:sz w:val="36"/>
          <w:szCs w:val="36"/>
          <w:rtl/>
        </w:rPr>
        <w:t xml:space="preserve">الفصل الثالث عشر: موقف اليهودية والمسيحية والأديان الشرقية</w:t>
      </w:r>
    </w:p>
    <w:p>
      <w:pPr>
        <w:bidi/>
        <w:spacing w:after="160"/>
        <w:jc w:val="start"/>
      </w:pPr>
      <w:r>
        <w:rPr>
          <w:sz w:val="24"/>
          <w:szCs w:val="24"/>
          <w:rtl/>
        </w:rPr>
        <w:t xml:space="preserve">﴿لِكُلٍّ جَعَلْنَا مِنكُمْ شِرْعَةً وَمِنْهَاجًا﴾ (المائدة: 48)</w:t>
      </w:r>
    </w:p>
    <w:p>
      <w:pPr>
        <w:bidi/>
        <w:spacing w:after="160"/>
        <w:jc w:val="start"/>
      </w:pPr>
      <w:r>
        <w:rPr>
          <w:sz w:val="24"/>
          <w:szCs w:val="24"/>
          <w:rtl/>
        </w:rPr>
        <w:t xml:space="preserve">## مقدّمة</w:t>
      </w:r>
    </w:p>
    <w:p>
      <w:pPr>
        <w:bidi/>
        <w:spacing w:after="160"/>
        <w:jc w:val="start"/>
      </w:pPr>
      <w:r>
        <w:rPr>
          <w:sz w:val="24"/>
          <w:szCs w:val="24"/>
          <w:rtl/>
        </w:rPr>
        <w:t xml:space="preserve">يستحقّ موضوعنا أن نتأمّل فيه مواقف الأديان الكبرى الأخرى، لأمرين: أوّلًا، لمعرفة مدى توافق التراث الديني العالمي مع الموقف الإسلامي؛ وثانيًا، لفهم التحوّلات الجارية في بعض الأديان والكنائس، وما يكشفه ذلك عن طبيعة الصراع المعاصر. ومن الإنصاف أن نلاحظ أنّ الانقسامات الجارية في المسيحية واليهودية الغربية اليوم ليست انقسامات عشوائية، بل تعكس صراعًا أوسع بين «الحداثة» وأشكال الالتزام الديني التقليدي.</w:t>
      </w:r>
    </w:p>
    <w:p>
      <w:pPr>
        <w:bidi/>
        <w:spacing w:after="160"/>
        <w:jc w:val="start"/>
      </w:pPr>
      <w:r>
        <w:rPr>
          <w:sz w:val="24"/>
          <w:szCs w:val="24"/>
          <w:rtl/>
        </w:rPr>
        <w:t xml:space="preserve">## أوّلًا: اليهودية</w:t>
      </w:r>
    </w:p>
    <w:p>
      <w:pPr>
        <w:bidi/>
        <w:spacing w:after="160"/>
        <w:jc w:val="start"/>
      </w:pPr>
      <w:r>
        <w:rPr>
          <w:sz w:val="24"/>
          <w:szCs w:val="24"/>
          <w:rtl/>
        </w:rPr>
        <w:t xml:space="preserve">النصوص الأساسية في اليهودية واضحة. يقول سفر اللاويين: «وَلاَ تُضَاجِعْ ذَكَرًا مُضَاجَعَةَ امْرَأَةٍ. إِنَّهُ رِجْسٌ» (لاويين 18: 22). ويقول في موضع آخر: «إِذَا اضْطَجَعَ رَجُلٌ مَعَ ذَكَرٍ اضْطِجَاعَ امْرَأَةٍ، فَقَدْ فَعَلاَ كِلاَهُمَا رِجْسًا. إِنَّهُمَا يُقْتَلاَنِ. دَمُهُمَا عَلَيْهِمَا» (لاويين 20: 13). والكلمة العبرية «תּוֹעֵבָה» (toevah) المترجمة «رِجْس» تستخدم للإشارة إلى أعمال محرّمة بشدّة.</w:t>
      </w:r>
    </w:p>
    <w:p>
      <w:pPr>
        <w:bidi/>
        <w:spacing w:after="160"/>
        <w:jc w:val="start"/>
      </w:pPr>
      <w:r>
        <w:rPr>
          <w:sz w:val="24"/>
          <w:szCs w:val="24"/>
          <w:rtl/>
        </w:rPr>
        <w:t xml:space="preserve">وفي التراث اليهودي التقليدي، استمرّ الموقف ثابتًا في كلّ مدارس الشريعة (الهالاخا) عبر العصور، من المشناة والتلمود إلى مايمونيدس (موسى بن ميمون، 1138–1204) في كتابه «المشناة توراة»، إلى الفقهاء الحاخامين المعاصرين. وهذا الموقف لا يزال هو الموقف الرسمي للأرثوذكسية اليهودية اليوم.</w:t>
      </w:r>
    </w:p>
    <w:p>
      <w:pPr>
        <w:bidi/>
        <w:spacing w:after="160"/>
        <w:jc w:val="start"/>
      </w:pPr>
      <w:r>
        <w:rPr>
          <w:sz w:val="24"/>
          <w:szCs w:val="24"/>
          <w:rtl/>
        </w:rPr>
        <w:t xml:space="preserve">**اليهودية الأرثوذكسية:** تحتفظ بالموقف التقليدي. وقد أصدرت منظّمات أرثوذكسية رئيسية (مثل «اتّحاد الأرثوذكس») بيانات تؤكّد التحريم. ومع ذلك، فإنّ بعض الحاخامين الأرثوذكس المعاصرين (مثل الحاخام شموئيل بوتيتش) دعوا إلى ما يسمّونه «التعاطف الفقهي» مع الأشخاص ذوي الميل، دون تنازل عن النصّ.</w:t>
      </w:r>
    </w:p>
    <w:p>
      <w:pPr>
        <w:bidi/>
        <w:spacing w:after="160"/>
        <w:jc w:val="start"/>
      </w:pPr>
      <w:r>
        <w:rPr>
          <w:sz w:val="24"/>
          <w:szCs w:val="24"/>
          <w:rtl/>
        </w:rPr>
        <w:t xml:space="preserve">**اليهودية المحافظة (Conservative):** وقع فيها انقسام. فحتّى 2006، حافظت على الموقف التقليدي. ثمّ في ديسمبر من تلك السنة، اتّخذت «لجنة القانون والمعايير» (Committee on Jewish Law and Standards) قرارًا أتاح موقفين متناقضين: أحدهما تقليدي، والآخر يسمح بترسيم رجال دين مثليين والمشاركة في زواجهم. وقد أحدث هذا القرار شرخًا داخل التيّار.</w:t>
      </w:r>
    </w:p>
    <w:p>
      <w:pPr>
        <w:bidi/>
        <w:spacing w:after="160"/>
        <w:jc w:val="start"/>
      </w:pPr>
      <w:r>
        <w:rPr>
          <w:sz w:val="24"/>
          <w:szCs w:val="24"/>
          <w:rtl/>
        </w:rPr>
        <w:t xml:space="preserve">**اليهودية الإصلاحية (Reform):** تخلّت عن الموقف التقليدي بشكل كامل منذ 1990. تشرعن الزواج المثلي، وترسّم رجال الدين المثليين، وتجادل بأنّ النصوص اللاوية «تاريخية» لا «أخلاقية مطلقة».</w:t>
      </w:r>
    </w:p>
    <w:p>
      <w:pPr>
        <w:bidi/>
        <w:spacing w:after="160"/>
        <w:jc w:val="start"/>
      </w:pPr>
      <w:r>
        <w:rPr>
          <w:sz w:val="24"/>
          <w:szCs w:val="24"/>
          <w:rtl/>
        </w:rPr>
        <w:t xml:space="preserve">والملاحظ أنّ الانقسام داخل اليهودية يتبع تقريبًا الانقسام الجغرافي والسياسي: فالأرثوذكس في إسرائيل وفي المجتمعات المحافظة يتمسّكون بالنصّ، بينما اليهود الأمريكيون الإصلاحيون يتفاعلون مع المتغيّرات الثقافية.</w:t>
      </w:r>
    </w:p>
    <w:p>
      <w:pPr>
        <w:bidi/>
        <w:spacing w:after="160"/>
        <w:jc w:val="start"/>
      </w:pPr>
      <w:r>
        <w:rPr>
          <w:sz w:val="24"/>
          <w:szCs w:val="24"/>
          <w:rtl/>
        </w:rPr>
        <w:t xml:space="preserve">## ثانيًا: المسيحية</w:t>
      </w:r>
    </w:p>
    <w:p>
      <w:pPr>
        <w:bidi/>
        <w:spacing w:after="160"/>
        <w:jc w:val="start"/>
      </w:pPr>
      <w:r>
        <w:rPr>
          <w:sz w:val="24"/>
          <w:szCs w:val="24"/>
          <w:rtl/>
        </w:rPr>
        <w:t xml:space="preserve">تنوّع الموقف في المسيحية تنوّعًا لافتًا، ويعكس مدى تأثير الحداثة الغربية على فهم النصوص.</w:t>
      </w:r>
    </w:p>
    <w:p>
      <w:pPr>
        <w:bidi/>
        <w:spacing w:after="160"/>
        <w:jc w:val="start"/>
      </w:pPr>
      <w:r>
        <w:rPr>
          <w:sz w:val="24"/>
          <w:szCs w:val="24"/>
          <w:rtl/>
        </w:rPr>
        <w:t xml:space="preserve">### الكنيسة الكاثوليكية الرومانية</w:t>
      </w:r>
    </w:p>
    <w:p>
      <w:pPr>
        <w:bidi/>
        <w:spacing w:after="160"/>
        <w:jc w:val="start"/>
      </w:pPr>
      <w:r>
        <w:rPr>
          <w:sz w:val="24"/>
          <w:szCs w:val="24"/>
          <w:rtl/>
        </w:rPr>
        <w:t xml:space="preserve">تحتفظ الكنيسة الكاثوليكية بالموقف التقليدي، لكنّها صاغته بطريقة دقيقة في «التعليم الكنسي» (Catechism of the Catholic Church)، الفقرات 2357–2359. تقول الكنيسة:</w:t>
      </w:r>
    </w:p>
    <w:p>
      <w:pPr>
        <w:bidi/>
        <w:spacing w:after="160"/>
        <w:jc w:val="start"/>
      </w:pPr>
      <w:r>
        <w:rPr>
          <w:sz w:val="24"/>
          <w:szCs w:val="24"/>
          <w:rtl/>
        </w:rPr>
        <w:t xml:space="preserve">- الميل المثلي ليس خيارًا في معظم الحالات، وأصحابه ليسوا «مذنبين» على وجود الميل. - الميل المثلي «مضطرب» (objectively disordered) من حيث طبيعته، لأنّه لا يتوجّه نحو الغاية الطبيعية للنشاط الجنسي. - الفعل المثلي (Homosexual acts) «غير ممكن أن يحظى بالموافقة في أيّ ظرف من الظروف». - يجب «استقبال هؤلاء الأشخاص بالاحترام والتعاطف والإحسان»، وتجنّب «أيّ علامة تمييز لا أساس لها». - يُدعى الأشخاص ذوو الميل المثلي إلى «العفاف»، وهذا واجب موضوع على كلّ المسيحيين بحسب أحوالهم.</w:t>
      </w:r>
    </w:p>
    <w:p>
      <w:pPr>
        <w:bidi/>
        <w:spacing w:after="160"/>
        <w:jc w:val="start"/>
      </w:pPr>
      <w:r>
        <w:rPr>
          <w:sz w:val="24"/>
          <w:szCs w:val="24"/>
          <w:rtl/>
        </w:rPr>
        <w:t xml:space="preserve">والصياغة الكاثوليكية تشبه إلى حدّ بعيد الموقف الإسلامي في تمييزها بين الميل والفعل، وفي دعوتها إلى الرحمة بالأشخاص دون التنازل عن المبدأ.</w:t>
      </w:r>
    </w:p>
    <w:p>
      <w:pPr>
        <w:bidi/>
        <w:spacing w:after="160"/>
        <w:jc w:val="start"/>
      </w:pPr>
      <w:r>
        <w:rPr>
          <w:sz w:val="24"/>
          <w:szCs w:val="24"/>
          <w:rtl/>
        </w:rPr>
        <w:t xml:space="preserve">والبابا بنديكتوس السادس عشر (2005–2013) أكّد هذا الموقف بصرامة. والبابا فرنسيس (منذ 2013) أكّده أيضًا، وإن استخدم لغة رحيمة أكثر، وقد أحدثت بعض تصريحاته (مثل «من أنا لأحكم؟» سنة 2013) جدلًا، لكنّ الموقف الرسمي للكنيسة لم يتغيّر. وفي ديسمبر 2023، أصدر الفاتيكان وثيقة «Fiducia Supplicans» سمحت بـ«مباركة» غير طقسية للأزواج في «أوضاع شاذّة»، وقد فُسّر هذا تفسيرات متعدّدة، بعضها رفضه أساقفة أفارقة وأرثوذكس بشدّة.</w:t>
      </w:r>
    </w:p>
    <w:p>
      <w:pPr>
        <w:bidi/>
        <w:spacing w:after="160"/>
        <w:jc w:val="start"/>
      </w:pPr>
      <w:r>
        <w:rPr>
          <w:sz w:val="24"/>
          <w:szCs w:val="24"/>
          <w:rtl/>
        </w:rPr>
        <w:t xml:space="preserve">### الأرثوذكسية الشرقية</w:t>
      </w:r>
    </w:p>
    <w:p>
      <w:pPr>
        <w:bidi/>
        <w:spacing w:after="160"/>
        <w:jc w:val="start"/>
      </w:pPr>
      <w:r>
        <w:rPr>
          <w:sz w:val="24"/>
          <w:szCs w:val="24"/>
          <w:rtl/>
        </w:rPr>
        <w:t xml:space="preserve">الكنائس الأرثوذكسية (الروسية، اليونانية، السريانية، القبطية، إلخ) تحتفظ بالموقف التقليدي بصرامة. لم تتأثّر بالتيّار الإصلاحي الغربي بنفس الدرجة، وبيانات بطاركتها واضحة في رفض المثلية.</w:t>
      </w:r>
    </w:p>
    <w:p>
      <w:pPr>
        <w:bidi/>
        <w:spacing w:after="160"/>
        <w:jc w:val="start"/>
      </w:pPr>
      <w:r>
        <w:rPr>
          <w:sz w:val="24"/>
          <w:szCs w:val="24"/>
          <w:rtl/>
        </w:rPr>
        <w:t xml:space="preserve">البطريرك بارثولوميوس (القسطنطينية)، والبطريرك كيرل (موسكو)، والبابا تواضروس (الأقباط)، وغيرهم: كلّهم على الموقف التقليدي. ومن الجدير بالملاحظة أنّ الكنائس الأرثوذكسية الأفريقية بقيادة الكنيسة القبطية تشكّل اليوم قوّة محافظة كبيرة داخل المسيحية العالمية.</w:t>
      </w:r>
    </w:p>
    <w:p>
      <w:pPr>
        <w:bidi/>
        <w:spacing w:after="160"/>
        <w:jc w:val="start"/>
      </w:pPr>
      <w:r>
        <w:rPr>
          <w:sz w:val="24"/>
          <w:szCs w:val="24"/>
          <w:rtl/>
        </w:rPr>
        <w:t xml:space="preserve">### البروتستانتية الرئيسية (Mainline Protestant)</w:t>
      </w:r>
    </w:p>
    <w:p>
      <w:pPr>
        <w:bidi/>
        <w:spacing w:after="160"/>
        <w:jc w:val="start"/>
      </w:pPr>
      <w:r>
        <w:rPr>
          <w:sz w:val="24"/>
          <w:szCs w:val="24"/>
          <w:rtl/>
        </w:rPr>
        <w:t xml:space="preserve">هذه هي الطوائف التي شهدت أكبر تحوّل. الكنيسة الميثودية المتّحدة (United Methodist Church) في الولايات المتّحدة شهدت انقسامًا تاريخيًا في 2024 بسبب هذه القضية. الكنيسة الإنجيلية اللوثرية في أمريكا (ELCA) شرعنت ترسيم القساوسة المثليين منذ 2009. الكنيسة الأسقفية (Episcopal) أسقفت أوّل أسقف مثلي علني سنة 2003. والكنيسة المشيخية الأمريكية (PCUSA) ترسّم القساوسة المثليين.</w:t>
      </w:r>
    </w:p>
    <w:p>
      <w:pPr>
        <w:bidi/>
        <w:spacing w:after="160"/>
        <w:jc w:val="start"/>
      </w:pPr>
      <w:r>
        <w:rPr>
          <w:sz w:val="24"/>
          <w:szCs w:val="24"/>
          <w:rtl/>
        </w:rPr>
        <w:t xml:space="preserve">في المقابل، انفصلت تيّارات محافظة عن هذه الطوائف لتشكّل كنائس بديلة. وهذا الانقسام داخل البروتستانتية الرئيسية يعكس ما حدث في اليهودية الإصلاحية: التحوّل الكبير في أمريكا الشمالية، مع التمسّك التقليدي في الجنوب العالمي.</w:t>
      </w:r>
    </w:p>
    <w:p>
      <w:pPr>
        <w:bidi/>
        <w:spacing w:after="160"/>
        <w:jc w:val="start"/>
      </w:pPr>
      <w:r>
        <w:rPr>
          <w:sz w:val="24"/>
          <w:szCs w:val="24"/>
          <w:rtl/>
        </w:rPr>
        <w:t xml:space="preserve">### البروتستانتية الإنجيلية (Evangelical)</w:t>
      </w:r>
    </w:p>
    <w:p>
      <w:pPr>
        <w:bidi/>
        <w:spacing w:after="160"/>
        <w:jc w:val="start"/>
      </w:pPr>
      <w:r>
        <w:rPr>
          <w:sz w:val="24"/>
          <w:szCs w:val="24"/>
          <w:rtl/>
        </w:rPr>
        <w:t xml:space="preserve">تحتفظ بالموقف التقليدي بشكل عامّ. الجمعية المعمدانية الجنوبية (Southern Baptist Convention)، وهي أكبر طائفة بروتستانتية أمريكية، أكّدت موقفها التقليدي مرارًا. وهكذا الكنائس الإنجيلية في أفريقيا وأمريكا اللاتينية وآسيا.</w:t>
      </w:r>
    </w:p>
    <w:p>
      <w:pPr>
        <w:bidi/>
        <w:spacing w:after="160"/>
        <w:jc w:val="start"/>
      </w:pPr>
      <w:r>
        <w:rPr>
          <w:sz w:val="24"/>
          <w:szCs w:val="24"/>
          <w:rtl/>
        </w:rPr>
        <w:t xml:space="preserve">### النصوص المسيحية المتعلّقة</w:t>
      </w:r>
    </w:p>
    <w:p>
      <w:pPr>
        <w:bidi/>
        <w:spacing w:after="160"/>
        <w:jc w:val="start"/>
      </w:pPr>
      <w:r>
        <w:rPr>
          <w:sz w:val="24"/>
          <w:szCs w:val="24"/>
          <w:rtl/>
        </w:rPr>
        <w:t xml:space="preserve">النصوص الأساسية:</w:t>
      </w:r>
    </w:p>
    <w:p>
      <w:pPr>
        <w:bidi/>
        <w:spacing w:after="160"/>
        <w:jc w:val="start"/>
      </w:pPr>
      <w:r>
        <w:rPr>
          <w:sz w:val="24"/>
          <w:szCs w:val="24"/>
          <w:rtl/>
        </w:rPr>
        <w:t xml:space="preserve">- **التكوين 19:** قصّة سدوم. - **اللاويين 18: 22 و20: 13:** تحريم العلاقة بين رجلين. - **رومية 1: 26–27:** يصف بولس الانحراف الجنسي بين النساء وبين الرجال بصراحة. - **1 كورنثوس 6: 9–10:** يذكر «المضاجعون للذكور» (Arsenokoitai) ضمن من «لا يرثون ملكوت الله». - **1 تيموثاوس 1: 10:** يكرّر التحذير.</w:t>
      </w:r>
    </w:p>
    <w:p>
      <w:pPr>
        <w:bidi/>
        <w:spacing w:after="160"/>
        <w:jc w:val="start"/>
      </w:pPr>
      <w:r>
        <w:rPr>
          <w:sz w:val="24"/>
          <w:szCs w:val="24"/>
          <w:rtl/>
        </w:rPr>
        <w:t xml:space="preserve">والقراءات الإصلاحية تحاول أن تفسّر هذه النصوص بطرق مختلفة، لكنّ القراءة التاريخية للكنيسة عبر 2000 سنة تتطابق مع الفهم التقليدي.</w:t>
      </w:r>
    </w:p>
    <w:p>
      <w:pPr>
        <w:bidi/>
        <w:spacing w:after="160"/>
        <w:jc w:val="start"/>
      </w:pPr>
      <w:r>
        <w:rPr>
          <w:sz w:val="24"/>
          <w:szCs w:val="24"/>
          <w:rtl/>
        </w:rPr>
        <w:t xml:space="preserve">## ثالثًا: الأديان الشرقية</w:t>
      </w:r>
    </w:p>
    <w:p>
      <w:pPr>
        <w:bidi/>
        <w:spacing w:after="160"/>
        <w:jc w:val="start"/>
      </w:pPr>
      <w:r>
        <w:rPr>
          <w:sz w:val="24"/>
          <w:szCs w:val="24"/>
          <w:rtl/>
        </w:rPr>
        <w:t xml:space="preserve">### الهندوسية</w:t>
      </w:r>
    </w:p>
    <w:p>
      <w:pPr>
        <w:bidi/>
        <w:spacing w:after="160"/>
        <w:jc w:val="start"/>
      </w:pPr>
      <w:r>
        <w:rPr>
          <w:sz w:val="24"/>
          <w:szCs w:val="24"/>
          <w:rtl/>
        </w:rPr>
        <w:t xml:space="preserve">النظام الأخلاقي الهندوسي معقّد، إذ يقوم على نصوص متعدّدة الأزمنة والمصادر. النصوص الكلاسيكية (الفيدا، الأوبنيشاد، البهاغافاد غيتا) تركّز على الواجب (دارما) الفردي، الذي يشمل الزواج وإنجاب الأبناء كواجب اجتماعي.</w:t>
      </w:r>
    </w:p>
    <w:p>
      <w:pPr>
        <w:bidi/>
        <w:spacing w:after="160"/>
        <w:jc w:val="start"/>
      </w:pPr>
      <w:r>
        <w:rPr>
          <w:sz w:val="24"/>
          <w:szCs w:val="24"/>
          <w:rtl/>
        </w:rPr>
        <w:t xml:space="preserve">ثمّة نصوص تذكر العلاقات بين أبناء الجنس الواحد بصورة هامشية، أبرزها «كاما سوترا»، لكنّ هذه النصوص لم تكن «شرعية» بالمعنى الذي تُقدّم به اليوم. والقانون الديني الهندوسي (الدارماشاسترا) يمنع العلاقات خارج الزواج التقليدي.</w:t>
      </w:r>
    </w:p>
    <w:p>
      <w:pPr>
        <w:bidi/>
        <w:spacing w:after="160"/>
        <w:jc w:val="start"/>
      </w:pPr>
      <w:r>
        <w:rPr>
          <w:sz w:val="24"/>
          <w:szCs w:val="24"/>
          <w:rtl/>
        </w:rPr>
        <w:t xml:space="preserve">في الهندوسية المعاصرة، انقسم المؤمنون: بعضهم يستشهد بالنصوص الهامشية لإثبات «التسامح»، وبعضهم يتمسّك بالقواعد الكلاسيكية. وقد اتّخذت المحكمة العليا الهندية قرارًا بإلغاء المادّة 377 (الميراث البريطاني) سنة 2018، وكان هذا قرارًا قانونيًا أكثر منه دينيًا. لكنّ الهندوسية الرسمية (مثل المنظّمات السنغية) لم تتبنَّ الزواج المثلي.</w:t>
      </w:r>
    </w:p>
    <w:p>
      <w:pPr>
        <w:bidi/>
        <w:spacing w:after="160"/>
        <w:jc w:val="start"/>
      </w:pPr>
      <w:r>
        <w:rPr>
          <w:sz w:val="24"/>
          <w:szCs w:val="24"/>
          <w:rtl/>
        </w:rPr>
        <w:t xml:space="preserve">### البوذية</w:t>
      </w:r>
    </w:p>
    <w:p>
      <w:pPr>
        <w:bidi/>
        <w:spacing w:after="160"/>
        <w:jc w:val="start"/>
      </w:pPr>
      <w:r>
        <w:rPr>
          <w:sz w:val="24"/>
          <w:szCs w:val="24"/>
          <w:rtl/>
        </w:rPr>
        <w:t xml:space="preserve">تقوم الأخلاق البوذية على «التدريبات الخمس» (Five Precepts)، ومنها الامتناع عن «السلوك الجنسي السيّئ» (kāmesu micchā-cāra). والمدارس البوذية المختلفة فسّرت هذا تفسيرات متعدّدة. التعاليم الكلاسيكية تشير إلى الزنا والاعتداء، وقد أضاف بعض المعلّقين اللاحقين تحريمات أخرى.</w:t>
      </w:r>
    </w:p>
    <w:p>
      <w:pPr>
        <w:bidi/>
        <w:spacing w:after="160"/>
        <w:jc w:val="start"/>
      </w:pPr>
      <w:r>
        <w:rPr>
          <w:sz w:val="24"/>
          <w:szCs w:val="24"/>
          <w:rtl/>
        </w:rPr>
        <w:t xml:space="preserve">البوذية التبتية، وعلى رأسها الدالاي لاما، تحتفظ بموقف تقليدي. الدالاي لاما الحالي قال في 1997 إنّ السلوك المثلي «سلوك جنسي سيء» من منظور بوذي، رغم أنّه دعا إلى احترام كرامة الأشخاص.</w:t>
      </w:r>
    </w:p>
    <w:p>
      <w:pPr>
        <w:bidi/>
        <w:spacing w:after="160"/>
        <w:jc w:val="start"/>
      </w:pPr>
      <w:r>
        <w:rPr>
          <w:sz w:val="24"/>
          <w:szCs w:val="24"/>
          <w:rtl/>
        </w:rPr>
        <w:t xml:space="preserve">البوذية الزِن في الغرب، خصوصًا في الولايات المتّحدة، تأثّرت بالقيم الغربية، وكثير من معلّميها يشرّعون الزواج المثلي. لكنّ البوذية الآسيوية الرئيسية (التايلاندية، اليابانية، الكورية) أكثر تحفّظًا.</w:t>
      </w:r>
    </w:p>
    <w:p>
      <w:pPr>
        <w:bidi/>
        <w:spacing w:after="160"/>
        <w:jc w:val="start"/>
      </w:pPr>
      <w:r>
        <w:rPr>
          <w:sz w:val="24"/>
          <w:szCs w:val="24"/>
          <w:rtl/>
        </w:rPr>
        <w:t xml:space="preserve">### الكونفوشيوسية والداوية</w:t>
      </w:r>
    </w:p>
    <w:p>
      <w:pPr>
        <w:bidi/>
        <w:spacing w:after="160"/>
        <w:jc w:val="start"/>
      </w:pPr>
      <w:r>
        <w:rPr>
          <w:sz w:val="24"/>
          <w:szCs w:val="24"/>
          <w:rtl/>
        </w:rPr>
        <w:t xml:space="preserve">النظام الأخلاقي الصيني الكلاسيكي (الكونفوشيوسي) يركّز على الأسرة، والتراتب الاجتماعي، واستمرار النسل. الواجب الأخلاقي الأكبر هو شرف الأبوين وإنجاب الأبناء لاستمرار خطّ الأجداد. ولذلك، فالزواج التقليدي وإنجاب الأبناء واجب لا خيار. والميل المثلي، حتّى لو وُجد، لم يكن يُعدّ هويةً يُبنى عليها حياة، بل ميلًا يُتجاوز لأجل الواجب الأكبر.</w:t>
      </w:r>
    </w:p>
    <w:p>
      <w:pPr>
        <w:bidi/>
        <w:spacing w:after="160"/>
        <w:jc w:val="start"/>
      </w:pPr>
      <w:r>
        <w:rPr>
          <w:sz w:val="24"/>
          <w:szCs w:val="24"/>
          <w:rtl/>
        </w:rPr>
        <w:t xml:space="preserve">في الصين المعاصرة، الموقف الرسمي للحزب الشيوعي يميل إلى التحفّظ. وفي الجامعات وفي الأدب، يوجد جدل، لكنّه محصور. وفي تايوان (التي شرّعت الزواج المثلي 2019)، يبدو الموقف مختلفًا، ممّا يعكس تأثّرها الأكبر بالحداثة الغربية.</w:t>
      </w:r>
    </w:p>
    <w:p>
      <w:pPr>
        <w:bidi/>
        <w:spacing w:after="160"/>
        <w:jc w:val="start"/>
      </w:pPr>
      <w:r>
        <w:rPr>
          <w:sz w:val="24"/>
          <w:szCs w:val="24"/>
          <w:rtl/>
        </w:rPr>
        <w:t xml:space="preserve">## ملاحظة عامّة: التحوّلات تعكس قوى الحداثة</w:t>
      </w:r>
    </w:p>
    <w:p>
      <w:pPr>
        <w:bidi/>
        <w:spacing w:after="160"/>
        <w:jc w:val="start"/>
      </w:pPr>
      <w:r>
        <w:rPr>
          <w:sz w:val="24"/>
          <w:szCs w:val="24"/>
          <w:rtl/>
        </w:rPr>
        <w:t xml:space="preserve">الملاحظة الجامعة من هذه الجولة: الأديان والمذاهب التي تأثّرت بالحداثة الغربية تأثّرًا أعمق هي التي شهدت أكبر تحوّل (اليهودية الإصلاحية، البروتستانتية الرئيسية، البوذية الغربية). أمّا الأديان والتيّارات التي حافظت على «جذرها التقليدي» (الكاثوليكية، الأرثوذكسية، الإنجيلية، الأرثوذكسية اليهودية، الإسلام، البوذية الآسيوية، الهندوسية المحافظة) فبقيت على الموقف التقليدي.</w:t>
      </w:r>
    </w:p>
    <w:p>
      <w:pPr>
        <w:bidi/>
        <w:spacing w:after="160"/>
        <w:jc w:val="start"/>
      </w:pPr>
      <w:r>
        <w:rPr>
          <w:sz w:val="24"/>
          <w:szCs w:val="24"/>
          <w:rtl/>
        </w:rPr>
        <w:t xml:space="preserve">وهذا يدلّ على أنّ ما يُقدّم باعتباره «تطوّرًا أخلاقيًا» في الأديان الغربية ليس بالضرورة «تطوّر معرفي» أو «اكتشاف للحقيقة»، بل هو في كثير من الأحيان استسلام للضغط الثقافي الحداثي. والأديان التي قاومت هذا الضغط هي التي حافظت على هويتها.</w:t>
      </w:r>
    </w:p>
    <w:p>
      <w:pPr>
        <w:bidi/>
        <w:spacing w:after="160"/>
        <w:jc w:val="start"/>
      </w:pPr>
      <w:r>
        <w:rPr>
          <w:sz w:val="24"/>
          <w:szCs w:val="24"/>
          <w:rtl/>
        </w:rPr>
        <w:t xml:space="preserve">## خلاصة الفصل</w:t>
      </w:r>
    </w:p>
    <w:p>
      <w:pPr>
        <w:bidi/>
        <w:spacing w:after="160"/>
        <w:jc w:val="start"/>
      </w:pPr>
      <w:r>
        <w:rPr>
          <w:sz w:val="24"/>
          <w:szCs w:val="24"/>
          <w:rtl/>
        </w:rPr>
        <w:t xml:space="preserve">ما يتّضح من هذا المسح: الموقف التقليدي للأديان الكبرى — الإسلام، الكاثوليكية، الأرثوذكسية، الإنجيلية، الأرثوذكسية اليهودية، البوذية التبتية، الكونفوشيوسية، الهندوسية الكلاسيكية — موقف شبه موحّد في رفض السلوك المثلي. والتحوّلات التي شهدتها بعض الكنائس والطوائف اليهودية في الغرب هي تحوّلات حديثة جدًا، تعكس ضغوطًا ثقافية أكثر منها فهمًا جديدًا للنصوص.</w:t>
      </w:r>
    </w:p>
    <w:p>
      <w:pPr>
        <w:bidi/>
        <w:spacing w:after="160"/>
        <w:jc w:val="start"/>
      </w:pPr>
      <w:r>
        <w:rPr>
          <w:sz w:val="24"/>
          <w:szCs w:val="24"/>
          <w:rtl/>
        </w:rPr>
        <w:t xml:space="preserve">والحوار بين الأديان في هذا الموضوع يجب أن يبدأ من الإقرار بهذا الإجماع التاريخي شبه الكامل، قبل التطرّق إلى الفروقات. والله أعلم.</w:t>
      </w:r>
    </w:p>
    <w:p>
      <w:r>
        <w:br w:type="page"/>
      </w:r>
    </w:p>
    <w:p>
      <w:pPr>
        <w:bidi/>
        <w:spacing w:after="360" w:before="600"/>
        <w:jc w:val="center"/>
      </w:pPr>
      <w:r>
        <w:rPr>
          <w:b/>
          <w:bCs/>
          <w:color w:val="1B3A5C"/>
          <w:sz w:val="36"/>
          <w:szCs w:val="36"/>
          <w:rtl/>
        </w:rPr>
        <w:t xml:space="preserve">الفصل الرابع عشر: موقف العلم المعاصر</w:t>
      </w:r>
    </w:p>
    <w:p>
      <w:pPr>
        <w:bidi/>
        <w:spacing w:after="160"/>
        <w:jc w:val="start"/>
      </w:pPr>
      <w:r>
        <w:rPr>
          <w:sz w:val="24"/>
          <w:szCs w:val="24"/>
          <w:rtl/>
        </w:rPr>
        <w:t xml:space="preserve">﴿وَيَتَفَكَّرُونَ فِي خَلْقِ السَّمَاوَاتِ وَالْأَرْضِ﴾ (آل عمران: 191)</w:t>
      </w:r>
    </w:p>
    <w:p>
      <w:pPr>
        <w:bidi/>
        <w:spacing w:after="160"/>
        <w:jc w:val="start"/>
      </w:pPr>
      <w:r>
        <w:rPr>
          <w:sz w:val="24"/>
          <w:szCs w:val="24"/>
          <w:rtl/>
        </w:rPr>
        <w:t xml:space="preserve">## مقدّمة: حدود العلم في هذه المسألة</w:t>
      </w:r>
    </w:p>
    <w:p>
      <w:pPr>
        <w:bidi/>
        <w:spacing w:after="160"/>
        <w:jc w:val="start"/>
      </w:pPr>
      <w:r>
        <w:rPr>
          <w:sz w:val="24"/>
          <w:szCs w:val="24"/>
          <w:rtl/>
        </w:rPr>
        <w:t xml:space="preserve">قبل أن نستعرض ما يقوله العلم الحديث، من الضروري الإقرار بحدود العلم في هذا الموضوع تحديدًا. العلم يستطيع أن يدرس «ما هو كائن» — أيّ آليات السلوك وآثاره وأسبابه — لكنّه لا يستطيع أن يحكم على «ما ينبغي أن يكون». فالحكم القيمي خارج نطاق العلم التجريبي. ومن هنا، فإنّ الزعم بأنّ «العلم يقول إنّ المثلية طبيعية» أو «العلم يقول إنّ المثلية مَرَض» — كلاهما زعمان متجاوزان لما يستطيع العلم أن يقوله فعلًا.</w:t>
      </w:r>
    </w:p>
    <w:p>
      <w:pPr>
        <w:bidi/>
        <w:spacing w:after="160"/>
        <w:jc w:val="start"/>
      </w:pPr>
      <w:r>
        <w:rPr>
          <w:sz w:val="24"/>
          <w:szCs w:val="24"/>
          <w:rtl/>
        </w:rPr>
        <w:t xml:space="preserve">ما يستطيع العلم أن يقوله: ما الذي تكشفه الأدلّة عن طبيعة الميل وعن أسبابه. وفي هذا الموضوع تحديدًا، الأدلّة العلمية أكثر تواضعًا بكثير ممّا يُسوَّق له شعبيًا.</w:t>
      </w:r>
    </w:p>
    <w:p>
      <w:pPr>
        <w:bidi/>
        <w:spacing w:after="160"/>
        <w:jc w:val="start"/>
      </w:pPr>
      <w:r>
        <w:rPr>
          <w:sz w:val="24"/>
          <w:szCs w:val="24"/>
          <w:rtl/>
        </w:rPr>
        <w:t xml:space="preserve">## أكبر دراسة جينية على الموضوع: Ganna وزملاؤه (2019)</w:t>
      </w:r>
    </w:p>
    <w:p>
      <w:pPr>
        <w:bidi/>
        <w:spacing w:after="160"/>
        <w:jc w:val="start"/>
      </w:pPr>
      <w:r>
        <w:rPr>
          <w:sz w:val="24"/>
          <w:szCs w:val="24"/>
          <w:rtl/>
        </w:rPr>
        <w:t xml:space="preserve">في أغسطس 2019، نُشرت في مجلّة Science (أعرق مجلّة علمية في العالم) أكبر دراسة جينية في الموضوع: «Genome-wide association study finds eight genetic variants associated with same-sex sexual behavior». قاد الدراسة Andrea Ganna من معهد برود (Broad Institute) بجامعة هارفارد، وشارك فيها فريق دولي. واعتمدت على بيانات أكثر من 470.000 شخص من Biobank البريطاني وغيره.</w:t>
      </w:r>
    </w:p>
    <w:p>
      <w:pPr>
        <w:bidi/>
        <w:spacing w:after="160"/>
        <w:jc w:val="start"/>
      </w:pPr>
      <w:r>
        <w:rPr>
          <w:sz w:val="24"/>
          <w:szCs w:val="24"/>
          <w:rtl/>
        </w:rPr>
        <w:t xml:space="preserve">نتائج الدراسة المهمّة:</w:t>
      </w:r>
    </w:p>
    <w:p>
      <w:pPr>
        <w:bidi/>
        <w:spacing w:after="160"/>
        <w:jc w:val="start"/>
      </w:pPr>
      <w:r>
        <w:rPr>
          <w:sz w:val="24"/>
          <w:szCs w:val="24"/>
          <w:rtl/>
        </w:rPr>
        <w:t xml:space="preserve">**1. لا يوجد «جين للمثلية»:** الدراسة لم تجد أيّ جين واحد يحدّد الميل الجنسي. وجدت ثمانية مواقع جينية لها ارتباط ضعيف، لكن لا يوجد منها أيّ موقع له أثر أكبر من 1%. وأكّد الباحثون أنّه «لا يمكن التنبّؤ بسلوك الشخص الجنسي من جيناته».</w:t>
      </w:r>
    </w:p>
    <w:p>
      <w:pPr>
        <w:bidi/>
        <w:spacing w:after="160"/>
        <w:jc w:val="start"/>
      </w:pPr>
      <w:r>
        <w:rPr>
          <w:sz w:val="24"/>
          <w:szCs w:val="24"/>
          <w:rtl/>
        </w:rPr>
        <w:t xml:space="preserve">**2. الوراثة تساهم بنسبة محدودة:** الدراسة قدّرت المساهمة الوراثية الكلّية بـ8%–25% من تباين السلوك. هذا يعني أنّ 75%–92% من التباين يعود إلى عوامل غير جينية: بيئة، تجارب، تأثيرات اجتماعية، اختيارات.</w:t>
      </w:r>
    </w:p>
    <w:p>
      <w:pPr>
        <w:bidi/>
        <w:spacing w:after="160"/>
        <w:jc w:val="start"/>
      </w:pPr>
      <w:r>
        <w:rPr>
          <w:sz w:val="24"/>
          <w:szCs w:val="24"/>
          <w:rtl/>
        </w:rPr>
        <w:t xml:space="preserve">**3. ادّعاءات دراسات سابقة:** أبطلت الدراسة الادّعاءات القديمة (مثل دراسة Hamer 1993) عن «جين Xq28» للمثلية. لم تستطع الدراسة الحديثة تكرار هذا الارتباط.</w:t>
      </w:r>
    </w:p>
    <w:p>
      <w:pPr>
        <w:bidi/>
        <w:spacing w:after="160"/>
        <w:jc w:val="start"/>
      </w:pPr>
      <w:r>
        <w:rPr>
          <w:sz w:val="24"/>
          <w:szCs w:val="24"/>
          <w:rtl/>
        </w:rPr>
        <w:t xml:space="preserve">**4. ملاحظة لافتة من الباحثين:** أصدر فريق البحث بيانًا يقول فيه إنّ نتائجهم «لا تدعم ولا تعارض» أيّ موقف اجتماعي أو سياسي تجاه المثلية، وأنّ على الناشطين من جميع الأطراف التوقّف عن استخدام العلم الجيني لدعم مواقفهم.</w:t>
      </w:r>
    </w:p>
    <w:p>
      <w:pPr>
        <w:bidi/>
        <w:spacing w:after="160"/>
        <w:jc w:val="start"/>
      </w:pPr>
      <w:r>
        <w:rPr>
          <w:sz w:val="24"/>
          <w:szCs w:val="24"/>
          <w:rtl/>
        </w:rPr>
        <w:t xml:space="preserve">والاستنتاج العام: «وُلدوا هكذا» بمعناه الجينيّ القاطع لا تدعمه الأدلّة الجينيّة الحالية.</w:t>
      </w:r>
    </w:p>
    <w:p>
      <w:pPr>
        <w:bidi/>
        <w:spacing w:after="160"/>
        <w:jc w:val="start"/>
      </w:pPr>
      <w:r>
        <w:rPr>
          <w:sz w:val="24"/>
          <w:szCs w:val="24"/>
          <w:rtl/>
        </w:rPr>
        <w:t xml:space="preserve">## دراسات التوائم</w:t>
      </w:r>
    </w:p>
    <w:p>
      <w:pPr>
        <w:bidi/>
        <w:spacing w:after="160"/>
        <w:jc w:val="start"/>
      </w:pPr>
      <w:r>
        <w:rPr>
          <w:sz w:val="24"/>
          <w:szCs w:val="24"/>
          <w:rtl/>
        </w:rPr>
        <w:t xml:space="preserve">دراسات التوائم — وهي من أقوى أدوات الوراثة — قدّمت نتائج تنفي التحديد الجيني المطلق:</w:t>
      </w:r>
    </w:p>
    <w:p>
      <w:pPr>
        <w:bidi/>
        <w:spacing w:after="160"/>
        <w:jc w:val="start"/>
      </w:pPr>
      <w:r>
        <w:rPr>
          <w:sz w:val="24"/>
          <w:szCs w:val="24"/>
          <w:rtl/>
        </w:rPr>
        <w:t xml:space="preserve">**1. دراسة Bailey وزملائه (2000):** وجدت أنّ التوائم المتطابقة لها معدّل توافق نحو 24% في الذكور و30% في الإناث. وهذا يعني أنّ معظم التوائم المتطابقة (الذين يشتركون في 100% من الجينات) يختلفون في الميل الجنسي.</w:t>
      </w:r>
    </w:p>
    <w:p>
      <w:pPr>
        <w:bidi/>
        <w:spacing w:after="160"/>
        <w:jc w:val="start"/>
      </w:pPr>
      <w:r>
        <w:rPr>
          <w:sz w:val="24"/>
          <w:szCs w:val="24"/>
          <w:rtl/>
        </w:rPr>
        <w:t xml:space="preserve">**2. دراسة Långström السويدية (2010):** على مستوى السكان السويدي، وجدت أنّ معدّل التوافق في التوائم المتطابقة 18%–39%، وأنّ الوراثة تشرح حوالي 34%–39% من التباين عند الذكور و18%–19% عند الإناث.</w:t>
      </w:r>
    </w:p>
    <w:p>
      <w:pPr>
        <w:bidi/>
        <w:spacing w:after="160"/>
        <w:jc w:val="start"/>
      </w:pPr>
      <w:r>
        <w:rPr>
          <w:sz w:val="24"/>
          <w:szCs w:val="24"/>
          <w:rtl/>
        </w:rPr>
        <w:t xml:space="preserve">**3. الاستنتاج العامّ:** الميل الجنسي ليس حتميًا جينيًا. لو كان كذلك، لكان معدّل التوافق في التوائم المتطابقة قريبًا من 100%، وهو ليس كذلك. ولا بدّ من عوامل أخرى: بيئية ونفسية وتجريبية.</w:t>
      </w:r>
    </w:p>
    <w:p>
      <w:pPr>
        <w:bidi/>
        <w:spacing w:after="160"/>
        <w:jc w:val="start"/>
      </w:pPr>
      <w:r>
        <w:rPr>
          <w:sz w:val="24"/>
          <w:szCs w:val="24"/>
          <w:rtl/>
        </w:rPr>
        <w:t xml:space="preserve">## أبحاث الدماغ</w:t>
      </w:r>
    </w:p>
    <w:p>
      <w:pPr>
        <w:bidi/>
        <w:spacing w:after="160"/>
        <w:jc w:val="start"/>
      </w:pPr>
      <w:r>
        <w:rPr>
          <w:sz w:val="24"/>
          <w:szCs w:val="24"/>
          <w:rtl/>
        </w:rPr>
        <w:t xml:space="preserve">محاولات إيجاد فروقات دماغية بين المثليين والمغايرين كانت طموحة، لكنّ نتائجها مخيّبة:</w:t>
      </w:r>
    </w:p>
    <w:p>
      <w:pPr>
        <w:bidi/>
        <w:spacing w:after="160"/>
        <w:jc w:val="start"/>
      </w:pPr>
      <w:r>
        <w:rPr>
          <w:sz w:val="24"/>
          <w:szCs w:val="24"/>
          <w:rtl/>
        </w:rPr>
        <w:t xml:space="preserve">**1. دراسة LeVay (1991):** ادّعت اختلافًا في حجم منطقة INAH3 من تحت المهاد بين الذكور المثليين والمغايرين. لكنّ الدراسة كانت على عيّنة صغيرة (41 شخصًا من المرضى بالإيدز)، وفروقاتها كانت ضمن الخطأ الإحصائي.</w:t>
      </w:r>
    </w:p>
    <w:p>
      <w:pPr>
        <w:bidi/>
        <w:spacing w:after="160"/>
        <w:jc w:val="start"/>
      </w:pPr>
      <w:r>
        <w:rPr>
          <w:sz w:val="24"/>
          <w:szCs w:val="24"/>
          <w:rtl/>
        </w:rPr>
        <w:t xml:space="preserve">**2. دراسات لاحقة:** بعضها أكّد جزئيًا، وبعضها نفى. ولم يستقرّ في الأدبيات على نتيجة قاطعة.</w:t>
      </w:r>
    </w:p>
    <w:p>
      <w:pPr>
        <w:bidi/>
        <w:spacing w:after="160"/>
        <w:jc w:val="start"/>
      </w:pPr>
      <w:r>
        <w:rPr>
          <w:sz w:val="24"/>
          <w:szCs w:val="24"/>
          <w:rtl/>
        </w:rPr>
        <w:t xml:space="preserve">**3. التحدّي المنهجي:** حتّى لو وُجدت فروقات دماغية، فمن الصعب جدًا تحديد ما إذا كانت سببًا للميل أم نتيجة له (الدماغ يتشكّل بالتجارب المعاشة).</w:t>
      </w:r>
    </w:p>
    <w:p>
      <w:pPr>
        <w:bidi/>
        <w:spacing w:after="160"/>
        <w:jc w:val="start"/>
      </w:pPr>
      <w:r>
        <w:rPr>
          <w:sz w:val="24"/>
          <w:szCs w:val="24"/>
          <w:rtl/>
        </w:rPr>
        <w:t xml:space="preserve">والمعاهد العصبية الكبرى اليوم لا تستطيع التنبّؤ بميل شخص من فحص دماغه.</w:t>
      </w:r>
    </w:p>
    <w:p>
      <w:pPr>
        <w:bidi/>
        <w:spacing w:after="160"/>
        <w:jc w:val="start"/>
      </w:pPr>
      <w:r>
        <w:rPr>
          <w:sz w:val="24"/>
          <w:szCs w:val="24"/>
          <w:rtl/>
        </w:rPr>
        <w:t xml:space="preserve">## فرضيات هرمونية</w:t>
      </w:r>
    </w:p>
    <w:p>
      <w:pPr>
        <w:bidi/>
        <w:spacing w:after="160"/>
        <w:jc w:val="start"/>
      </w:pPr>
      <w:r>
        <w:rPr>
          <w:sz w:val="24"/>
          <w:szCs w:val="24"/>
          <w:rtl/>
        </w:rPr>
        <w:t xml:space="preserve">ثمّة فرضيات تربط الميل الجنسي بمستويات الهرمونات قبل الولادة (التعرّض للتيستوستيرون أو الإستروجين أثناء الحمل). الأبحاث في هذا المجال محدودة وغير قاطعة. مؤشّرات «النسبة بين الإصبع الثاني والرابع» (2D:4D Ratio) كانت موضوع نقاش، لكنّها قدّمت نتائج متناقضة.</w:t>
      </w:r>
    </w:p>
    <w:p>
      <w:pPr>
        <w:bidi/>
        <w:spacing w:after="160"/>
        <w:jc w:val="start"/>
      </w:pPr>
      <w:r>
        <w:rPr>
          <w:sz w:val="24"/>
          <w:szCs w:val="24"/>
          <w:rtl/>
        </w:rPr>
        <w:t xml:space="preserve">## ظاهرة التقلّب الجنسي</w:t>
      </w:r>
    </w:p>
    <w:p>
      <w:pPr>
        <w:bidi/>
        <w:spacing w:after="160"/>
        <w:jc w:val="start"/>
      </w:pPr>
      <w:r>
        <w:rPr>
          <w:sz w:val="24"/>
          <w:szCs w:val="24"/>
          <w:rtl/>
        </w:rPr>
        <w:t xml:space="preserve">من أهمّ ما اكتشفته الأبحاث الحديثة: أنّ الميل الجنسي ليس بالضرورة ثابتًا. الباحثة ليزا دياموند (Lisa Diamond) من جامعة يوتا، في كتابها «Sexual Fluidity» (2008) وفي أبحاثها اللاحقة، تابعت مجموعة من النساء على مدى أكثر من عقد، ووجدت أنّ نسبة كبيرة منهنّ غيّرن تعريف ميلهنّ. هذا يدلّ على أنّ مفهوم «الهوية الثابتة» ليس دائمًا صحيحًا.</w:t>
      </w:r>
    </w:p>
    <w:p>
      <w:pPr>
        <w:bidi/>
        <w:spacing w:after="160"/>
        <w:jc w:val="start"/>
      </w:pPr>
      <w:r>
        <w:rPr>
          <w:sz w:val="24"/>
          <w:szCs w:val="24"/>
          <w:rtl/>
        </w:rPr>
        <w:t xml:space="preserve">وفي الذكور، التقلّب أقلّ، لكنّه ليس معدومًا. الدراسات الطولية تظهر أنّ بعض الرجال الذين عرّفوا أنفسهم بـ«ثنائيي الميل» في الشباب يستقرّون لاحقًا على ميل واحد، مغاير أو مثلي.</w:t>
      </w:r>
    </w:p>
    <w:p>
      <w:pPr>
        <w:bidi/>
        <w:spacing w:after="160"/>
        <w:jc w:val="start"/>
      </w:pPr>
      <w:r>
        <w:rPr>
          <w:sz w:val="24"/>
          <w:szCs w:val="24"/>
          <w:rtl/>
        </w:rPr>
        <w:t xml:space="preserve">والأكاديميون الذين يشتغلون في هذا المجال يميلون اليوم إلى وصف الميل بأنّه «ثابت نسبيًا» (relatively stable) بدلًا من «ثابت تمامًا» (fixed).</w:t>
      </w:r>
    </w:p>
    <w:p>
      <w:pPr>
        <w:bidi/>
        <w:spacing w:after="160"/>
        <w:jc w:val="start"/>
      </w:pPr>
      <w:r>
        <w:rPr>
          <w:sz w:val="24"/>
          <w:szCs w:val="24"/>
          <w:rtl/>
        </w:rPr>
        <w:t xml:space="preserve">## العلاج التحويلي (Conversion Therapy)</w:t>
      </w:r>
    </w:p>
    <w:p>
      <w:pPr>
        <w:bidi/>
        <w:spacing w:after="160"/>
        <w:jc w:val="start"/>
      </w:pPr>
      <w:r>
        <w:rPr>
          <w:sz w:val="24"/>
          <w:szCs w:val="24"/>
          <w:rtl/>
        </w:rPr>
        <w:t xml:space="preserve">من القضايا الجدلية: هل يمكن تغيير الميل الجنسي بالعلاج؟ الموقف الرسمي للجمعيات المهنية الكبرى (APA الأمريكية، AMA، منظّمات بريطانية وكندية) هو أنّ «العلاج التحويلي» غير فعّال وضارّ نفسيًا، وقد دعت إلى حظره.</w:t>
      </w:r>
    </w:p>
    <w:p>
      <w:pPr>
        <w:bidi/>
        <w:spacing w:after="160"/>
        <w:jc w:val="start"/>
      </w:pPr>
      <w:r>
        <w:rPr>
          <w:sz w:val="24"/>
          <w:szCs w:val="24"/>
          <w:rtl/>
        </w:rPr>
        <w:t xml:space="preserve">لكنّ هذه القضية معقّدة:</w:t>
      </w:r>
    </w:p>
    <w:p>
      <w:pPr>
        <w:bidi/>
        <w:spacing w:after="160"/>
        <w:jc w:val="start"/>
      </w:pPr>
      <w:r>
        <w:rPr>
          <w:sz w:val="24"/>
          <w:szCs w:val="24"/>
          <w:rtl/>
        </w:rPr>
        <w:t xml:space="preserve">**1. ما الذي يُحظر بالضبط؟** بعض القوانين تُعرّف «العلاج التحويلي» تعريفًا فضفاضًا بحيث يشمل حتّى الإرشاد الديني أو النفسي للأشخاص الذين يطلبون مساعدة لا للتصرّف بناءً على ميلهم.</w:t>
      </w:r>
    </w:p>
    <w:p>
      <w:pPr>
        <w:bidi/>
        <w:spacing w:after="160"/>
        <w:jc w:val="start"/>
      </w:pPr>
      <w:r>
        <w:rPr>
          <w:sz w:val="24"/>
          <w:szCs w:val="24"/>
          <w:rtl/>
        </w:rPr>
        <w:t xml:space="preserve">**2. ماذا عن الذين يريدون عدم الاستجابة لميلهم؟** أبحاث Mark Yarhouse (2011) وغيره تظهر أنّ الإرشاد النفسي والديني للأشخاص الذين يريدون «عدم التطبيق» لميلهم على أساس قيمي، لا «التغيير»، يمكن أن يكون مفيدًا. وحظره يحرم هؤلاء من حقّهم في الاستشارة.</w:t>
      </w:r>
    </w:p>
    <w:p>
      <w:pPr>
        <w:bidi/>
        <w:spacing w:after="160"/>
        <w:jc w:val="start"/>
      </w:pPr>
      <w:r>
        <w:rPr>
          <w:sz w:val="24"/>
          <w:szCs w:val="24"/>
          <w:rtl/>
        </w:rPr>
        <w:t xml:space="preserve">**3. الفرق بين التغيير القسري والمساعدة التطوّعية:** الإلزام والإكراه على العلاج (للأطفال خصوصًا) خطأ بكلّ المعايير. لكنّ المساعدة التطوّعية لشخص بالغ يطلبها لتقوية إرادته شيء آخر.</w:t>
      </w:r>
    </w:p>
    <w:p>
      <w:pPr>
        <w:bidi/>
        <w:spacing w:after="160"/>
        <w:jc w:val="start"/>
      </w:pPr>
      <w:r>
        <w:rPr>
          <w:sz w:val="24"/>
          <w:szCs w:val="24"/>
          <w:rtl/>
        </w:rPr>
        <w:t xml:space="preserve">والقوانين الأخيرة في بعض الدول قد بدأت تخلط بين الأمرين، ممّا أثار مخاوف لدى المعالجين النفسيين والأخصّائيين الدينيين.</w:t>
      </w:r>
    </w:p>
    <w:p>
      <w:pPr>
        <w:bidi/>
        <w:spacing w:after="160"/>
        <w:jc w:val="start"/>
      </w:pPr>
      <w:r>
        <w:rPr>
          <w:sz w:val="24"/>
          <w:szCs w:val="24"/>
          <w:rtl/>
        </w:rPr>
        <w:t xml:space="preserve">## الصحّة النفسية والإجهاد الأقلّي</w:t>
      </w:r>
    </w:p>
    <w:p>
      <w:pPr>
        <w:bidi/>
        <w:spacing w:after="160"/>
        <w:jc w:val="start"/>
      </w:pPr>
      <w:r>
        <w:rPr>
          <w:sz w:val="24"/>
          <w:szCs w:val="24"/>
          <w:rtl/>
        </w:rPr>
        <w:t xml:space="preserve">من أكثر الادّعاءات تكرارًا: أنّ الأشخاص المثليين يعانون من معدّلات أعلى من الاكتئاب والقلق والانتحار، وأنّ هذا بسبب «الإجهاد النفسي للأقلّيات» (Minority Stress) الذي تسبّبه الوصمة الاجتماعية.</w:t>
      </w:r>
    </w:p>
    <w:p>
      <w:pPr>
        <w:bidi/>
        <w:spacing w:after="160"/>
        <w:jc w:val="start"/>
      </w:pPr>
      <w:r>
        <w:rPr>
          <w:sz w:val="24"/>
          <w:szCs w:val="24"/>
          <w:rtl/>
        </w:rPr>
        <w:t xml:space="preserve">البحث في هذا الموضوع نظر فيه الدكتور Mayer وMcHugh من جامعة جونز هوبكنز في تقريرهما الموسّع «Sexuality and Gender» (New Atlantis, 2016). وخلصا إلى أنّ:</w:t>
      </w:r>
    </w:p>
    <w:p>
      <w:pPr>
        <w:bidi/>
        <w:spacing w:after="160"/>
        <w:jc w:val="start"/>
      </w:pPr>
      <w:r>
        <w:rPr>
          <w:sz w:val="24"/>
          <w:szCs w:val="24"/>
          <w:rtl/>
        </w:rPr>
        <w:t xml:space="preserve">**1. الفروقات في الصحّة النفسية حقيقية ومُثبتة:** المثليون فعلًا لديهم معدّلات أعلى من الاكتئاب والقلق ومحاولات الانتحار.</w:t>
      </w:r>
    </w:p>
    <w:p>
      <w:pPr>
        <w:bidi/>
        <w:spacing w:after="160"/>
        <w:jc w:val="start"/>
      </w:pPr>
      <w:r>
        <w:rPr>
          <w:sz w:val="24"/>
          <w:szCs w:val="24"/>
          <w:rtl/>
        </w:rPr>
        <w:t xml:space="preserve">**2. تفسير «الإجهاد الأقلّي» جزئيًا صحيح ولكنّه ليس كافيًا:** فالفروقات تظلّ مرتفعة حتّى في المجتمعات الأكثر قبولًا (الدول الإسكندنافية)، حيث يُفترض أن يقلّ «الإجهاد».</w:t>
      </w:r>
    </w:p>
    <w:p>
      <w:pPr>
        <w:bidi/>
        <w:spacing w:after="160"/>
        <w:jc w:val="start"/>
      </w:pPr>
      <w:r>
        <w:rPr>
          <w:sz w:val="24"/>
          <w:szCs w:val="24"/>
          <w:rtl/>
        </w:rPr>
        <w:t xml:space="preserve">**3. عوامل أخرى تساهم:** ممارسات سلوكية معيّنة (تعدّد الشركاء، استخدام مواد)، اضطرابات اقترانية، أحداث طفولة (الإيذاء، الاضطراب الأسري)، وغيرها.</w:t>
      </w:r>
    </w:p>
    <w:p>
      <w:pPr>
        <w:bidi/>
        <w:spacing w:after="160"/>
        <w:jc w:val="start"/>
      </w:pPr>
      <w:r>
        <w:rPr>
          <w:sz w:val="24"/>
          <w:szCs w:val="24"/>
          <w:rtl/>
        </w:rPr>
        <w:t xml:space="preserve">والتفسير الأحادي الذي يضع كلّ المسؤولية على المجتمع المحيط هو تفسير سياسي، لا علميّ بالكامل.</w:t>
      </w:r>
    </w:p>
    <w:p>
      <w:pPr>
        <w:bidi/>
        <w:spacing w:after="160"/>
        <w:jc w:val="start"/>
      </w:pPr>
      <w:r>
        <w:rPr>
          <w:sz w:val="24"/>
          <w:szCs w:val="24"/>
          <w:rtl/>
        </w:rPr>
        <w:t xml:space="preserve">## ما يقوله العلم بثقة وما يبقى غامضًا</w:t>
      </w:r>
    </w:p>
    <w:p>
      <w:pPr>
        <w:bidi/>
        <w:spacing w:after="160"/>
        <w:jc w:val="start"/>
      </w:pPr>
      <w:r>
        <w:rPr>
          <w:sz w:val="24"/>
          <w:szCs w:val="24"/>
          <w:rtl/>
        </w:rPr>
        <w:t xml:space="preserve">نستطيع الآن أن نلخّص ما يقوله العلم اليوم بثقة معقولة:</w:t>
      </w:r>
    </w:p>
    <w:p>
      <w:pPr>
        <w:bidi/>
        <w:spacing w:after="160"/>
        <w:jc w:val="start"/>
      </w:pPr>
      <w:r>
        <w:rPr>
          <w:sz w:val="24"/>
          <w:szCs w:val="24"/>
          <w:rtl/>
        </w:rPr>
        <w:t xml:space="preserve">**ما يمكن قوله بثقة:**</w:t>
      </w:r>
    </w:p>
    <w:p>
      <w:pPr>
        <w:bidi/>
        <w:spacing w:after="160"/>
        <w:jc w:val="start"/>
      </w:pPr>
      <w:r>
        <w:rPr>
          <w:sz w:val="24"/>
          <w:szCs w:val="24"/>
          <w:rtl/>
        </w:rPr>
        <w:t xml:space="preserve">1. الميل الجنسي ليس خيارًا واعيًا في معظم الحالات. 2. الميل الجنسي ليس حتميًا جينيًا — الجينات تساهم بنسبة محدودة. 3. لا يوجد «جين للمثلية»، وادّعاءات سابقة بإيجاده باطلة. 4. الميل الجنسي لا يكون ثابتًا تمامًا — هناك تقلّب يختلف من شخص لآخر. 5. العوامل البيئية والنفسية والاجتماعية تلعب دورًا في تشكيل الميل. 6. الفروقات الصحّية النفسية لها أسباب متعدّدة، ليست كلّها بسبب الوصمة الاجتماعية.</w:t>
      </w:r>
    </w:p>
    <w:p>
      <w:pPr>
        <w:bidi/>
        <w:spacing w:after="160"/>
        <w:jc w:val="start"/>
      </w:pPr>
      <w:r>
        <w:rPr>
          <w:sz w:val="24"/>
          <w:szCs w:val="24"/>
          <w:rtl/>
        </w:rPr>
        <w:t xml:space="preserve">**ما يبقى غامضًا:**</w:t>
      </w:r>
    </w:p>
    <w:p>
      <w:pPr>
        <w:bidi/>
        <w:spacing w:after="160"/>
        <w:jc w:val="start"/>
      </w:pPr>
      <w:r>
        <w:rPr>
          <w:sz w:val="24"/>
          <w:szCs w:val="24"/>
          <w:rtl/>
        </w:rPr>
        <w:t xml:space="preserve">1. لماذا يطوّر بعض الأفراد ميلًا مثليًا؟ — الإجابة الكاملة غير معروفة. 2. ما هي بالضبط العوامل البيئية المؤثّرة؟ — موضع جدل علمي. 3. ما مدى إمكانية «التعديل» الإرادي؟ — موضع جدل وحساسية سياسية.</w:t>
      </w:r>
    </w:p>
    <w:p>
      <w:pPr>
        <w:bidi/>
        <w:spacing w:after="160"/>
        <w:jc w:val="start"/>
      </w:pPr>
      <w:r>
        <w:rPr>
          <w:sz w:val="24"/>
          <w:szCs w:val="24"/>
          <w:rtl/>
        </w:rPr>
        <w:t xml:space="preserve">## دروس للمسلم العاقل</w:t>
      </w:r>
    </w:p>
    <w:p>
      <w:pPr>
        <w:bidi/>
        <w:spacing w:after="160"/>
        <w:jc w:val="start"/>
      </w:pPr>
      <w:r>
        <w:rPr>
          <w:sz w:val="24"/>
          <w:szCs w:val="24"/>
          <w:rtl/>
        </w:rPr>
        <w:t xml:space="preserve">ماذا يستفيد المسلم من هذا المسح العلمي؟ عدّة دروس:</w:t>
      </w:r>
    </w:p>
    <w:p>
      <w:pPr>
        <w:bidi/>
        <w:spacing w:after="160"/>
        <w:jc w:val="start"/>
      </w:pPr>
      <w:r>
        <w:rPr>
          <w:sz w:val="24"/>
          <w:szCs w:val="24"/>
          <w:rtl/>
        </w:rPr>
        <w:t xml:space="preserve">**أوّلًا، التواضع:** العلم لا يدعم بقوّة لا الموقف الكلاسيكي «هذا اختيار شيطاني» ولا الموقف المعاصر «وُلدوا هكذا». الواقع أكثر تعقيدًا.</w:t>
      </w:r>
    </w:p>
    <w:p>
      <w:pPr>
        <w:bidi/>
        <w:spacing w:after="160"/>
        <w:jc w:val="start"/>
      </w:pPr>
      <w:r>
        <w:rPr>
          <w:sz w:val="24"/>
          <w:szCs w:val="24"/>
          <w:rtl/>
        </w:rPr>
        <w:t xml:space="preserve">**ثانيًا، الإنصاف:** المسلم الذي يجد في نفسه ميلًا غير سويّ ليس «شيطانًا في صورة إنسان»، بل قد تكون ابتلاءً اجتمعت عليه عوامل بيولوجية ونفسية واجتماعية. وهذا لا يبيح الفعل، لكنّه يقتضي رحمةً ومعونةً.</w:t>
      </w:r>
    </w:p>
    <w:p>
      <w:pPr>
        <w:bidi/>
        <w:spacing w:after="160"/>
        <w:jc w:val="start"/>
      </w:pPr>
      <w:r>
        <w:rPr>
          <w:sz w:val="24"/>
          <w:szCs w:val="24"/>
          <w:rtl/>
        </w:rPr>
        <w:t xml:space="preserve">**ثالثًا، الصبر مع المجاهد:** العلم يقول إنّ بعض الناس يعانون فعلًا من ميل قويّ. وهؤلاء، إن جاهدوا أنفسهم بدوافع إيمانية، يستحقّون الدعم لا التشهير.</w:t>
      </w:r>
    </w:p>
    <w:p>
      <w:pPr>
        <w:bidi/>
        <w:spacing w:after="160"/>
        <w:jc w:val="start"/>
      </w:pPr>
      <w:r>
        <w:rPr>
          <w:sz w:val="24"/>
          <w:szCs w:val="24"/>
          <w:rtl/>
        </w:rPr>
        <w:t xml:space="preserve">**رابعًا، التمسّك بالنصّ:** ما يثبت من العلم لا ينفي ما يثبت من النصّ الشرعي. النصّ يحرّم الفعل بصرف النظر عن أصل الميل. والعلم في حدوده لا يحكم على القيم.</w:t>
      </w:r>
    </w:p>
    <w:p>
      <w:pPr>
        <w:bidi/>
        <w:spacing w:after="160"/>
        <w:jc w:val="start"/>
      </w:pPr>
      <w:r>
        <w:rPr>
          <w:sz w:val="24"/>
          <w:szCs w:val="24"/>
          <w:rtl/>
        </w:rPr>
        <w:t xml:space="preserve">**خامسًا، الحذر من «العلم الأيديولوجي»:** كلّما زاد الاستثمار السياسي في موضوع علمي، زادت احتمالية تحريف نتائجه. والقارئ يجب أن يفرّق بين الدراسات الأصلية وبين بيانات منظّمات المناصرة.</w:t>
      </w:r>
    </w:p>
    <w:p>
      <w:pPr>
        <w:bidi/>
        <w:spacing w:after="160"/>
        <w:jc w:val="start"/>
      </w:pPr>
      <w:r>
        <w:rPr>
          <w:sz w:val="24"/>
          <w:szCs w:val="24"/>
          <w:rtl/>
        </w:rPr>
        <w:t xml:space="preserve">## خلاصة الفصل</w:t>
      </w:r>
    </w:p>
    <w:p>
      <w:pPr>
        <w:bidi/>
        <w:spacing w:after="160"/>
        <w:jc w:val="start"/>
      </w:pPr>
      <w:r>
        <w:rPr>
          <w:sz w:val="24"/>
          <w:szCs w:val="24"/>
          <w:rtl/>
        </w:rPr>
        <w:t xml:space="preserve">العلم المعاصر يقدّم صورة معقّدة عن المثلية: ليست خيارًا محضًا، وليست محدّدًا جينيًا محضًا، بل ظاهرة مركّبة من عوامل متعدّدة. والادّعاءات القاطعة من جميع الجهات تتجاوز ما تدعمه الأدلّة. والإسلام، الذي حرّم الفعل دون أن يدخل في تفصيلات السبب، يبقى متّسقًا مع ما يكشفه العلم، إذ إنّ الحكم الشرعي لم يبنَ على فرضية أنّ الميل خيار واعٍ، بل على أنّ الفعل محرّم. ومسؤولية الإنسان عن أفعاله — لا عن خواطره — هي مبدأ إسلامي أصيل. والله أعلم.</w:t>
      </w:r>
    </w:p>
    <w:p>
      <w:pPr>
        <w:bidi/>
        <w:spacing w:after="160"/>
        <w:jc w:val="start"/>
      </w:pPr>
      <w:r>
        <w:rPr>
          <w:sz w:val="24"/>
          <w:szCs w:val="24"/>
          <w:rtl/>
        </w:rPr>
        <w:t xml:space="preserve">## الخاتمة: التعامل بالحكمة والرحمة</w:t>
      </w:r>
    </w:p>
    <w:p>
      <w:pPr>
        <w:bidi/>
        <w:spacing w:after="160"/>
        <w:jc w:val="start"/>
      </w:pPr>
      <w:r>
        <w:rPr>
          <w:sz w:val="24"/>
          <w:szCs w:val="24"/>
          <w:rtl/>
        </w:rPr>
        <w:t xml:space="preserve">بعد هذه الجولة الطويلة عبر التاريخ والفكر والأديان والعلوم، نرجع إلى نقطة البداية: كيف يتعامل المسلم مع هذه القضية اليوم؟</w:t>
      </w:r>
    </w:p>
    <w:p>
      <w:pPr>
        <w:bidi/>
        <w:spacing w:after="160"/>
        <w:jc w:val="start"/>
      </w:pPr>
      <w:r>
        <w:rPr>
          <w:sz w:val="24"/>
          <w:szCs w:val="24"/>
          <w:rtl/>
        </w:rPr>
        <w:t xml:space="preserve">**أوّلًا، نتذكّر التمييز:** بين السلوك والميل والهوية. تحريم الفعل لا يعني إدانة الإنسان الذي يجاهد نفسه. والإسلام رحمة كما هو حكم.</w:t>
      </w:r>
    </w:p>
    <w:p>
      <w:pPr>
        <w:bidi/>
        <w:spacing w:after="160"/>
        <w:jc w:val="start"/>
      </w:pPr>
      <w:r>
        <w:rPr>
          <w:sz w:val="24"/>
          <w:szCs w:val="24"/>
          <w:rtl/>
        </w:rPr>
        <w:t xml:space="preserve">**ثانيًا، الدعوة بالحكمة:** ليس كلّ نقاش يُكسب. الكثير من النقاشات على وسائل التواصل الاجتماعي تُسيء أكثر ممّا تنفع. الحكمة في اختيار المعركة، والوقت، والأسلوب.</w:t>
      </w:r>
    </w:p>
    <w:p>
      <w:pPr>
        <w:bidi/>
        <w:spacing w:after="160"/>
        <w:jc w:val="start"/>
      </w:pPr>
      <w:r>
        <w:rPr>
          <w:sz w:val="24"/>
          <w:szCs w:val="24"/>
          <w:rtl/>
        </w:rPr>
        <w:t xml:space="preserve">**ثالثًا، الرحمة بالأشخاص:** الإسلام لم يأمر باحتقار الناس. بل أمر بالقدوة الحسنة والكلمة الطيّبة. والرسول ﷺ الذي حرّم الفعل لم يكن فظًّا، بل كان «رحمة للعالمين».</w:t>
      </w:r>
    </w:p>
    <w:p>
      <w:pPr>
        <w:bidi/>
        <w:spacing w:after="160"/>
        <w:jc w:val="start"/>
      </w:pPr>
      <w:r>
        <w:rPr>
          <w:sz w:val="24"/>
          <w:szCs w:val="24"/>
          <w:rtl/>
        </w:rPr>
        <w:t xml:space="preserve">**رابعًا، صياغة بدائل:** بدلًا من الاكتفاء بالنقد، يجب على المجتمعات الإسلامية أن تقدّم بدائل: زواجًا تقليديًا داعمًا، رعاية نفسية إيمانية، مجتمعًا يعزّز الالتزام للجميع.</w:t>
      </w:r>
    </w:p>
    <w:p>
      <w:pPr>
        <w:bidi/>
        <w:spacing w:after="160"/>
        <w:jc w:val="start"/>
      </w:pPr>
      <w:r>
        <w:rPr>
          <w:sz w:val="24"/>
          <w:szCs w:val="24"/>
          <w:rtl/>
        </w:rPr>
        <w:t xml:space="preserve">**خامسًا، الدفاع عن المعتقد:** في عصر الضغوط، على المسلم ألا يخجل من معتقده. لكنّه يدافع عنه بالحجّة لا بالإهانة، وبالعلم لا بالعاطفة، وبالتفصيل لا بالإطلاق.</w:t>
      </w:r>
    </w:p>
    <w:p>
      <w:pPr>
        <w:bidi/>
        <w:spacing w:after="160"/>
        <w:jc w:val="start"/>
      </w:pPr>
      <w:r>
        <w:rPr>
          <w:sz w:val="24"/>
          <w:szCs w:val="24"/>
          <w:rtl/>
        </w:rPr>
        <w:t xml:space="preserve">**سادسًا، الثقة بالله:** الحقّ يبقى حقًّا حتّى لو خالفه الأكثرية. والقرآن قال: «وَإِن تُطِعْ أَكْثَرَ مَن فِي الْأَرْضِ يُضِلُّوكَ عَن سَبِيلِ اللَّهِ» (الأنعام: 116). الموقف الصحيح لا يُقاس بشعبيته، بل بصحّته.</w:t>
      </w:r>
    </w:p>
    <w:p>
      <w:pPr>
        <w:bidi/>
        <w:spacing w:after="160"/>
        <w:jc w:val="start"/>
      </w:pPr>
      <w:r>
        <w:rPr>
          <w:sz w:val="24"/>
          <w:szCs w:val="24"/>
          <w:rtl/>
        </w:rPr>
        <w:t xml:space="preserve">ولختام هذا الكتاب، نرجو من الله أن يثبّت قلوبنا على دينه، وأن يرزقنا الحكمة في الدعوة، والرحمة في التعامل، والصلابة في المبدأ، وأن يهدي ضالّ هذه الأمّة، ويثبّت قلوب أبنائها على الحقّ. والله أعلم، وإليه المرجع والمآب.</w:t>
      </w:r>
    </w:p>
    <w:p>
      <w:pPr>
        <w:bidi/>
        <w:spacing w:after="160"/>
        <w:jc w:val="start"/>
      </w:pPr>
      <w:r>
        <w:rPr>
          <w:sz w:val="24"/>
          <w:szCs w:val="24"/>
          <w:rtl/>
        </w:rPr>
        <w:t xml:space="preserve">والحمد لله ربّ العالمين.</w:t>
      </w:r>
    </w:p>
    <w:p>
      <w:r>
        <w:br w:type="page"/>
      </w:r>
    </w:p>
    <w:p>
      <w:pPr>
        <w:bidi/>
        <w:spacing w:after="360" w:before="600"/>
        <w:jc w:val="center"/>
      </w:pPr>
      <w:r>
        <w:rPr>
          <w:b/>
          <w:bCs/>
          <w:color w:val="1B3A5C"/>
          <w:sz w:val="36"/>
          <w:szCs w:val="36"/>
          <w:rtl/>
        </w:rPr>
        <w:t xml:space="preserve">المراجع والمصادر</w:t>
      </w:r>
    </w:p>
    <w:p>
      <w:pPr>
        <w:bidi/>
        <w:spacing w:after="160"/>
        <w:jc w:val="start"/>
      </w:pPr>
      <w:r>
        <w:rPr>
          <w:sz w:val="24"/>
          <w:szCs w:val="24"/>
          <w:rtl/>
        </w:rPr>
        <w:t xml:space="preserve">﴿وَفَوْقَ كُلِّ ذِي عِلْمٍ عَلِيمٌ﴾ (يوسف: 76)</w:t>
      </w:r>
    </w:p>
    <w:p>
      <w:pPr>
        <w:bidi/>
        <w:spacing w:after="160"/>
        <w:jc w:val="start"/>
      </w:pPr>
      <w:r>
        <w:rPr>
          <w:sz w:val="24"/>
          <w:szCs w:val="24"/>
          <w:rtl/>
        </w:rPr>
        <w:t xml:space="preserve">## المصادر الإسلامية الأساسية</w:t>
      </w:r>
    </w:p>
    <w:p>
      <w:pPr>
        <w:bidi/>
        <w:spacing w:after="160"/>
        <w:jc w:val="start"/>
      </w:pPr>
      <w:r>
        <w:rPr>
          <w:sz w:val="24"/>
          <w:szCs w:val="24"/>
          <w:rtl/>
        </w:rPr>
        <w:t xml:space="preserve">القرآن الكريم — رواية حفص عن عاصم.</w:t>
      </w:r>
    </w:p>
    <w:p>
      <w:pPr>
        <w:bidi/>
        <w:spacing w:after="160"/>
        <w:jc w:val="start"/>
      </w:pPr>
      <w:r>
        <w:rPr>
          <w:sz w:val="24"/>
          <w:szCs w:val="24"/>
          <w:rtl/>
        </w:rPr>
        <w:t xml:space="preserve">ابن كثير، إسماعيل بن عمر (ت 774هـ). تفسير القرآن العظيم. دار طيبة، الرياض.</w:t>
      </w:r>
    </w:p>
    <w:p>
      <w:pPr>
        <w:bidi/>
        <w:spacing w:after="160"/>
        <w:jc w:val="start"/>
      </w:pPr>
      <w:r>
        <w:rPr>
          <w:sz w:val="24"/>
          <w:szCs w:val="24"/>
          <w:rtl/>
        </w:rPr>
        <w:t xml:space="preserve">الطبري، محمد بن جرير (ت 310هـ). جامع البيان عن تأويل آي القرآن. دار هجر، القاهرة.</w:t>
      </w:r>
    </w:p>
    <w:p>
      <w:pPr>
        <w:bidi/>
        <w:spacing w:after="160"/>
        <w:jc w:val="start"/>
      </w:pPr>
      <w:r>
        <w:rPr>
          <w:sz w:val="24"/>
          <w:szCs w:val="24"/>
          <w:rtl/>
        </w:rPr>
        <w:t xml:space="preserve">القرطبي، محمد بن أحمد (ت 671هـ). الجامع لأحكام القرآن. مؤسّسة الرسالة، بيروت.</w:t>
      </w:r>
    </w:p>
    <w:p>
      <w:pPr>
        <w:bidi/>
        <w:spacing w:after="160"/>
        <w:jc w:val="start"/>
      </w:pPr>
      <w:r>
        <w:rPr>
          <w:sz w:val="24"/>
          <w:szCs w:val="24"/>
          <w:rtl/>
        </w:rPr>
        <w:t xml:space="preserve">ابن تيمية، تقي الدين (ت 728هـ). مجموع الفتاوى. مجمع الملك فهد، المدينة المنوّرة.</w:t>
      </w:r>
    </w:p>
    <w:p>
      <w:pPr>
        <w:bidi/>
        <w:spacing w:after="160"/>
        <w:jc w:val="start"/>
      </w:pPr>
      <w:r>
        <w:rPr>
          <w:sz w:val="24"/>
          <w:szCs w:val="24"/>
          <w:rtl/>
        </w:rPr>
        <w:t xml:space="preserve">ابن قيّم الجوزية (ت 751هـ). الجواب الكافي لمن سأل عن الدواء الشافي.</w:t>
      </w:r>
    </w:p>
    <w:p>
      <w:pPr>
        <w:bidi/>
        <w:spacing w:after="160"/>
        <w:jc w:val="start"/>
      </w:pPr>
      <w:r>
        <w:rPr>
          <w:sz w:val="24"/>
          <w:szCs w:val="24"/>
          <w:rtl/>
        </w:rPr>
        <w:t xml:space="preserve">ابن قيّم الجوزية. روضة المحبّين ونزهة المشتاقين.</w:t>
      </w:r>
    </w:p>
    <w:p>
      <w:pPr>
        <w:bidi/>
        <w:spacing w:after="160"/>
        <w:jc w:val="start"/>
      </w:pPr>
      <w:r>
        <w:rPr>
          <w:sz w:val="24"/>
          <w:szCs w:val="24"/>
          <w:rtl/>
        </w:rPr>
        <w:t xml:space="preserve">ابن قدامة، عبد الله بن أحمد (ت 620هـ). المغني. مكتبة القاهرة.</w:t>
      </w:r>
    </w:p>
    <w:p>
      <w:pPr>
        <w:bidi/>
        <w:spacing w:after="160"/>
        <w:jc w:val="start"/>
      </w:pPr>
      <w:r>
        <w:rPr>
          <w:sz w:val="24"/>
          <w:szCs w:val="24"/>
          <w:rtl/>
        </w:rPr>
        <w:t xml:space="preserve">النووي، يحيى بن شرف (ت 676هـ). المجموع شرح المهذّب.</w:t>
      </w:r>
    </w:p>
    <w:p>
      <w:pPr>
        <w:bidi/>
        <w:spacing w:after="160"/>
        <w:jc w:val="start"/>
      </w:pPr>
      <w:r>
        <w:rPr>
          <w:sz w:val="24"/>
          <w:szCs w:val="24"/>
          <w:rtl/>
        </w:rPr>
        <w:t xml:space="preserve">القرضاوي، يوسف. فتاوى معاصرة.</w:t>
      </w:r>
    </w:p>
    <w:p>
      <w:pPr>
        <w:bidi/>
        <w:spacing w:after="160"/>
        <w:jc w:val="start"/>
      </w:pPr>
      <w:r>
        <w:rPr>
          <w:sz w:val="24"/>
          <w:szCs w:val="24"/>
          <w:rtl/>
        </w:rPr>
        <w:t xml:space="preserve">مجمع الفقه الإسلامي الدولي. القرار رقم 175 (19/1)، الدورة السادسة عشرة، دبي 2005.</w:t>
      </w:r>
    </w:p>
    <w:p>
      <w:pPr>
        <w:bidi/>
        <w:spacing w:after="160"/>
        <w:jc w:val="start"/>
      </w:pPr>
      <w:r>
        <w:rPr>
          <w:sz w:val="24"/>
          <w:szCs w:val="24"/>
          <w:rtl/>
        </w:rPr>
        <w:t xml:space="preserve">## المراجع الأكاديمية الإسلامية المعاصرة</w:t>
      </w:r>
    </w:p>
    <w:p>
      <w:pPr>
        <w:bidi/>
        <w:spacing w:after="160"/>
        <w:jc w:val="start"/>
      </w:pPr>
      <w:r>
        <w:rPr>
          <w:sz w:val="24"/>
          <w:szCs w:val="24"/>
          <w:rtl/>
        </w:rPr>
        <w:t xml:space="preserve">Brown, Jonathan A. C. (2014). *Misquoting Muhammad*. Oneworld Publications.</w:t>
      </w:r>
    </w:p>
    <w:p>
      <w:pPr>
        <w:bidi/>
        <w:spacing w:after="160"/>
        <w:jc w:val="start"/>
      </w:pPr>
      <w:r>
        <w:rPr>
          <w:sz w:val="24"/>
          <w:szCs w:val="24"/>
          <w:rtl/>
        </w:rPr>
        <w:t xml:space="preserve">El-Rouayheb, Khaled (2005). *Before Homosexuality in the Arab-Islamic World, 1500–1800*. University of Chicago Press.</w:t>
      </w:r>
    </w:p>
    <w:p>
      <w:pPr>
        <w:bidi/>
        <w:spacing w:after="160"/>
        <w:jc w:val="start"/>
      </w:pPr>
      <w:r>
        <w:rPr>
          <w:sz w:val="24"/>
          <w:szCs w:val="24"/>
          <w:rtl/>
        </w:rPr>
        <w:t xml:space="preserve">Qadhi, Yasir. خطب وبحوث في موقف الإسلام من المثلية الجنسية (محاضرات منشورة).</w:t>
      </w:r>
    </w:p>
    <w:p>
      <w:pPr>
        <w:bidi/>
        <w:spacing w:after="160"/>
        <w:jc w:val="start"/>
      </w:pPr>
      <w:r>
        <w:rPr>
          <w:sz w:val="24"/>
          <w:szCs w:val="24"/>
          <w:rtl/>
        </w:rPr>
        <w:t xml:space="preserve">## المصادر التاريخية والفلسفية</w:t>
      </w:r>
    </w:p>
    <w:p>
      <w:pPr>
        <w:bidi/>
        <w:spacing w:after="160"/>
        <w:jc w:val="start"/>
      </w:pPr>
      <w:r>
        <w:rPr>
          <w:sz w:val="24"/>
          <w:szCs w:val="24"/>
          <w:rtl/>
        </w:rPr>
        <w:t xml:space="preserve">Aquinas, Thomas. *Summa Theologiae*. Benziger Bros, New York, 1947.</w:t>
      </w:r>
    </w:p>
    <w:p>
      <w:pPr>
        <w:bidi/>
        <w:spacing w:after="160"/>
        <w:jc w:val="start"/>
      </w:pPr>
      <w:r>
        <w:rPr>
          <w:sz w:val="24"/>
          <w:szCs w:val="24"/>
          <w:rtl/>
        </w:rPr>
        <w:t xml:space="preserve">Aristotle. *Nicomachean Ethics*. Trans. W. D. Ross.</w:t>
      </w:r>
    </w:p>
    <w:p>
      <w:pPr>
        <w:bidi/>
        <w:spacing w:after="160"/>
        <w:jc w:val="start"/>
      </w:pPr>
      <w:r>
        <w:rPr>
          <w:sz w:val="24"/>
          <w:szCs w:val="24"/>
          <w:rtl/>
        </w:rPr>
        <w:t xml:space="preserve">Dover, K. J. (1978). *Greek Homosexuality*. Harvard University Press.</w:t>
      </w:r>
    </w:p>
    <w:p>
      <w:pPr>
        <w:bidi/>
        <w:spacing w:after="160"/>
        <w:jc w:val="start"/>
      </w:pPr>
      <w:r>
        <w:rPr>
          <w:sz w:val="24"/>
          <w:szCs w:val="24"/>
          <w:rtl/>
        </w:rPr>
        <w:t xml:space="preserve">Foucault, Michel (1976). *Histoire de la sexualité, vol. 1: La volonté de savoir*. Gallimard, Paris.</w:t>
      </w:r>
    </w:p>
    <w:p>
      <w:pPr>
        <w:bidi/>
        <w:spacing w:after="160"/>
        <w:jc w:val="start"/>
      </w:pPr>
      <w:r>
        <w:rPr>
          <w:sz w:val="24"/>
          <w:szCs w:val="24"/>
          <w:rtl/>
        </w:rPr>
        <w:t xml:space="preserve">Foucault, Michel (1978). *The History of Sexuality, Volume 1: An Introduction*. Pantheon Books.</w:t>
      </w:r>
    </w:p>
    <w:p>
      <w:pPr>
        <w:bidi/>
        <w:spacing w:after="160"/>
        <w:jc w:val="start"/>
      </w:pPr>
      <w:r>
        <w:rPr>
          <w:sz w:val="24"/>
          <w:szCs w:val="24"/>
          <w:rtl/>
        </w:rPr>
        <w:t xml:space="preserve">Plato. *Symposium* and *Laws*. Various editions.</w:t>
      </w:r>
    </w:p>
    <w:p>
      <w:pPr>
        <w:bidi/>
        <w:spacing w:after="160"/>
        <w:jc w:val="start"/>
      </w:pPr>
      <w:r>
        <w:rPr>
          <w:sz w:val="24"/>
          <w:szCs w:val="24"/>
          <w:rtl/>
        </w:rPr>
        <w:t xml:space="preserve">## القرن التاسع عشر والعشرون</w:t>
      </w:r>
    </w:p>
    <w:p>
      <w:pPr>
        <w:bidi/>
        <w:spacing w:after="160"/>
        <w:jc w:val="start"/>
      </w:pPr>
      <w:r>
        <w:rPr>
          <w:sz w:val="24"/>
          <w:szCs w:val="24"/>
          <w:rtl/>
        </w:rPr>
        <w:t xml:space="preserve">Bayer, Ronald (1981). *Homosexuality and American Psychiatry: The Politics of Diagnosis*. Princeton University Press.</w:t>
      </w:r>
    </w:p>
    <w:p>
      <w:pPr>
        <w:bidi/>
        <w:spacing w:after="160"/>
        <w:jc w:val="start"/>
      </w:pPr>
      <w:r>
        <w:rPr>
          <w:sz w:val="24"/>
          <w:szCs w:val="24"/>
          <w:rtl/>
        </w:rPr>
        <w:t xml:space="preserve">Freud, Sigmund (1905). *Three Essays on the Theory of Sexuality*. Trans. James Strachey.</w:t>
      </w:r>
    </w:p>
    <w:p>
      <w:pPr>
        <w:bidi/>
        <w:spacing w:after="160"/>
        <w:jc w:val="start"/>
      </w:pPr>
      <w:r>
        <w:rPr>
          <w:sz w:val="24"/>
          <w:szCs w:val="24"/>
          <w:rtl/>
        </w:rPr>
        <w:t xml:space="preserve">Hirschfeld, Magnus (1914). *Die Homosexualität des Mannes und des Weibes*. Berlin.</w:t>
      </w:r>
    </w:p>
    <w:p>
      <w:pPr>
        <w:bidi/>
        <w:spacing w:after="160"/>
        <w:jc w:val="start"/>
      </w:pPr>
      <w:r>
        <w:rPr>
          <w:sz w:val="24"/>
          <w:szCs w:val="24"/>
          <w:rtl/>
        </w:rPr>
        <w:t xml:space="preserve">Kinsey, Alfred C. et al. (1948). *Sexual Behavior in the Human Male*. W. B. Saunders.</w:t>
      </w:r>
    </w:p>
    <w:p>
      <w:pPr>
        <w:bidi/>
        <w:spacing w:after="160"/>
        <w:jc w:val="start"/>
      </w:pPr>
      <w:r>
        <w:rPr>
          <w:sz w:val="24"/>
          <w:szCs w:val="24"/>
          <w:rtl/>
        </w:rPr>
        <w:t xml:space="preserve">Kinsey, Alfred C. et al. (1953). *Sexual Behavior in the Human Female*. W. B. Saunders.</w:t>
      </w:r>
    </w:p>
    <w:p>
      <w:pPr>
        <w:bidi/>
        <w:spacing w:after="160"/>
        <w:jc w:val="start"/>
      </w:pPr>
      <w:r>
        <w:rPr>
          <w:sz w:val="24"/>
          <w:szCs w:val="24"/>
          <w:rtl/>
        </w:rPr>
        <w:t xml:space="preserve">Krafft-Ebing, Richard von (1886). *Psychopathia Sexualis*. Stuttgart.</w:t>
      </w:r>
    </w:p>
    <w:p>
      <w:pPr>
        <w:bidi/>
        <w:spacing w:after="160"/>
        <w:jc w:val="start"/>
      </w:pPr>
      <w:r>
        <w:rPr>
          <w:sz w:val="24"/>
          <w:szCs w:val="24"/>
          <w:rtl/>
        </w:rPr>
        <w:t xml:space="preserve">Laumann, Edward et al. (1994). *The Social Organization of Sexuality: Sexual Practices in the United States*. University of Chicago Press.</w:t>
      </w:r>
    </w:p>
    <w:p>
      <w:pPr>
        <w:bidi/>
        <w:spacing w:after="160"/>
        <w:jc w:val="start"/>
      </w:pPr>
      <w:r>
        <w:rPr>
          <w:sz w:val="24"/>
          <w:szCs w:val="24"/>
          <w:rtl/>
        </w:rPr>
        <w:t xml:space="preserve">## الأبحاث العلمية الحديثة</w:t>
      </w:r>
    </w:p>
    <w:p>
      <w:pPr>
        <w:bidi/>
        <w:spacing w:after="160"/>
        <w:jc w:val="start"/>
      </w:pPr>
      <w:r>
        <w:rPr>
          <w:sz w:val="24"/>
          <w:szCs w:val="24"/>
          <w:rtl/>
        </w:rPr>
        <w:t xml:space="preserve">Bailey, J. M., Dunne, M. P., &amp; Martin, N. G. (2000). "Genetic and environmental influences on sexual orientation and its correlates in an Australian twin sample." *Journal of Personality and Social Psychology*, 78(3), 524–536.</w:t>
      </w:r>
    </w:p>
    <w:p>
      <w:pPr>
        <w:bidi/>
        <w:spacing w:after="160"/>
        <w:jc w:val="start"/>
      </w:pPr>
      <w:r>
        <w:rPr>
          <w:sz w:val="24"/>
          <w:szCs w:val="24"/>
          <w:rtl/>
        </w:rPr>
        <w:t xml:space="preserve">Cass, Hilary (2024). *The Cass Review: Independent Review of Gender Identity Services for Children and Young People*. UK NHS, April 2024.</w:t>
      </w:r>
    </w:p>
    <w:p>
      <w:pPr>
        <w:bidi/>
        <w:spacing w:after="160"/>
        <w:jc w:val="start"/>
      </w:pPr>
      <w:r>
        <w:rPr>
          <w:sz w:val="24"/>
          <w:szCs w:val="24"/>
          <w:rtl/>
        </w:rPr>
        <w:t xml:space="preserve">Diamond, Lisa M. (2008). *Sexual Fluidity: Understanding Women's Love and Desire*. Harvard University Press.</w:t>
      </w:r>
    </w:p>
    <w:p>
      <w:pPr>
        <w:bidi/>
        <w:spacing w:after="160"/>
        <w:jc w:val="start"/>
      </w:pPr>
      <w:r>
        <w:rPr>
          <w:sz w:val="24"/>
          <w:szCs w:val="24"/>
          <w:rtl/>
        </w:rPr>
        <w:t xml:space="preserve">Ganna, Andrea et al. (2019). "Large-scale GWAS reveals insights into the genetic architecture of same-sex sexual behavior." *Science*, 365(6456).</w:t>
      </w:r>
    </w:p>
    <w:p>
      <w:pPr>
        <w:bidi/>
        <w:spacing w:after="160"/>
        <w:jc w:val="start"/>
      </w:pPr>
      <w:r>
        <w:rPr>
          <w:sz w:val="24"/>
          <w:szCs w:val="24"/>
          <w:rtl/>
        </w:rPr>
        <w:t xml:space="preserve">Långström, Niklas et al. (2010). "Genetic and environmental effects on same-sex sexual behavior: A population study of twins in Sweden." *Archives of Sexual Behavior*, 39(1), 75–80.</w:t>
      </w:r>
    </w:p>
    <w:p>
      <w:pPr>
        <w:bidi/>
        <w:spacing w:after="160"/>
        <w:jc w:val="start"/>
      </w:pPr>
      <w:r>
        <w:rPr>
          <w:sz w:val="24"/>
          <w:szCs w:val="24"/>
          <w:rtl/>
        </w:rPr>
        <w:t xml:space="preserve">LeVay, Simon (1991). "A difference in hypothalamic structure between heterosexual and homosexual men." *Science*, 253(5023), 1034–1037.</w:t>
      </w:r>
    </w:p>
    <w:p>
      <w:pPr>
        <w:bidi/>
        <w:spacing w:after="160"/>
        <w:jc w:val="start"/>
      </w:pPr>
      <w:r>
        <w:rPr>
          <w:sz w:val="24"/>
          <w:szCs w:val="24"/>
          <w:rtl/>
        </w:rPr>
        <w:t xml:space="preserve">Mayer, Lawrence S. &amp; McHugh, Paul R. (2016). "Sexuality and Gender: Findings from the Biological, Psychological, and Social Sciences." *The New Atlantis*, No. 50.</w:t>
      </w:r>
    </w:p>
    <w:p>
      <w:pPr>
        <w:bidi/>
        <w:spacing w:after="160"/>
        <w:jc w:val="start"/>
      </w:pPr>
      <w:r>
        <w:rPr>
          <w:sz w:val="24"/>
          <w:szCs w:val="24"/>
          <w:rtl/>
        </w:rPr>
        <w:t xml:space="preserve">Marks, Loren (2012). "Same-sex parenting and children's outcomes: A closer examination of the American Psychological Association's brief on lesbian and gay parenting." *Social Science Research*, 41(4), 735–751.</w:t>
      </w:r>
    </w:p>
    <w:p>
      <w:pPr>
        <w:bidi/>
        <w:spacing w:after="160"/>
        <w:jc w:val="start"/>
      </w:pPr>
      <w:r>
        <w:rPr>
          <w:sz w:val="24"/>
          <w:szCs w:val="24"/>
          <w:rtl/>
        </w:rPr>
        <w:t xml:space="preserve">Regnerus, Mark (2012). "How different are the adult children of parents who have same-sex relationships? Findings from the New Family Structures Study." *Social Science Research*, 41(4), 752–770.</w:t>
      </w:r>
    </w:p>
    <w:p>
      <w:pPr>
        <w:bidi/>
        <w:spacing w:after="160"/>
        <w:jc w:val="start"/>
      </w:pPr>
      <w:r>
        <w:rPr>
          <w:sz w:val="24"/>
          <w:szCs w:val="24"/>
          <w:rtl/>
        </w:rPr>
        <w:t xml:space="preserve">Yarhouse, Mark A. &amp; Tan, Erica S. (2011). *Sexual Identity Synthesis: Attributions, Meaning-Making, and the Search for Congruence*. University Press of America.</w:t>
      </w:r>
    </w:p>
    <w:p>
      <w:pPr>
        <w:bidi/>
        <w:spacing w:after="160"/>
        <w:jc w:val="start"/>
      </w:pPr>
      <w:r>
        <w:rPr>
          <w:sz w:val="24"/>
          <w:szCs w:val="24"/>
          <w:rtl/>
        </w:rPr>
        <w:t xml:space="preserve">## الوثائق المؤسّسية والقانونية</w:t>
      </w:r>
    </w:p>
    <w:p>
      <w:pPr>
        <w:bidi/>
        <w:spacing w:after="160"/>
        <w:jc w:val="start"/>
      </w:pPr>
      <w:r>
        <w:rPr>
          <w:sz w:val="24"/>
          <w:szCs w:val="24"/>
          <w:rtl/>
        </w:rPr>
        <w:t xml:space="preserve">American Psychiatric Association (1973). Decision to remove homosexuality from DSM-II.</w:t>
      </w:r>
    </w:p>
    <w:p>
      <w:pPr>
        <w:bidi/>
        <w:spacing w:after="160"/>
        <w:jc w:val="start"/>
      </w:pPr>
      <w:r>
        <w:rPr>
          <w:sz w:val="24"/>
          <w:szCs w:val="24"/>
          <w:rtl/>
        </w:rPr>
        <w:t xml:space="preserve">Catholic Church. *Catechism of the Catholic Church*, paragraphs 2357–2359.</w:t>
      </w:r>
    </w:p>
    <w:p>
      <w:pPr>
        <w:bidi/>
        <w:spacing w:after="160"/>
        <w:jc w:val="start"/>
      </w:pPr>
      <w:r>
        <w:rPr>
          <w:sz w:val="24"/>
          <w:szCs w:val="24"/>
          <w:rtl/>
        </w:rPr>
        <w:t xml:space="preserve">Holy Bible. King James Version and other translations.</w:t>
      </w:r>
    </w:p>
    <w:p>
      <w:pPr>
        <w:bidi/>
        <w:spacing w:after="160"/>
        <w:jc w:val="start"/>
      </w:pPr>
      <w:r>
        <w:rPr>
          <w:sz w:val="24"/>
          <w:szCs w:val="24"/>
          <w:rtl/>
        </w:rPr>
        <w:t xml:space="preserve">Obergefell v. Hodges, 576 U.S. 644 (2015). U.S. Supreme Court.</w:t>
      </w:r>
    </w:p>
    <w:p>
      <w:pPr>
        <w:bidi/>
        <w:spacing w:after="160"/>
        <w:jc w:val="start"/>
      </w:pPr>
      <w:r>
        <w:rPr>
          <w:sz w:val="24"/>
          <w:szCs w:val="24"/>
          <w:rtl/>
        </w:rPr>
        <w:t xml:space="preserve">Lawrence v. Texas, 539 U.S. 558 (2003). U.S. Supreme Court.</w:t>
      </w:r>
    </w:p>
    <w:p>
      <w:pPr>
        <w:bidi/>
        <w:spacing w:after="160"/>
        <w:jc w:val="start"/>
      </w:pPr>
      <w:r>
        <w:rPr>
          <w:sz w:val="24"/>
          <w:szCs w:val="24"/>
          <w:rtl/>
        </w:rPr>
        <w:t xml:space="preserve">Universal Declaration of Human Rights (1948). United Nations General Assembly.</w:t>
      </w:r>
    </w:p>
    <w:p>
      <w:pPr>
        <w:bidi/>
        <w:spacing w:after="160"/>
        <w:jc w:val="start"/>
      </w:pPr>
      <w:r>
        <w:rPr>
          <w:sz w:val="24"/>
          <w:szCs w:val="24"/>
          <w:rtl/>
        </w:rPr>
        <w:t xml:space="preserve">## الأدبيات النقدية</w:t>
      </w:r>
    </w:p>
    <w:p>
      <w:pPr>
        <w:bidi/>
        <w:spacing w:after="160"/>
        <w:jc w:val="start"/>
      </w:pPr>
      <w:r>
        <w:rPr>
          <w:sz w:val="24"/>
          <w:szCs w:val="24"/>
          <w:rtl/>
        </w:rPr>
        <w:t xml:space="preserve">Anderson, Ryan T. (2018). *When Harry Became Sally: Responding to the Transgender Moment*. Encounter Books.</w:t>
      </w:r>
    </w:p>
    <w:p>
      <w:pPr>
        <w:bidi/>
        <w:spacing w:after="160"/>
        <w:jc w:val="start"/>
      </w:pPr>
      <w:r>
        <w:rPr>
          <w:sz w:val="24"/>
          <w:szCs w:val="24"/>
          <w:rtl/>
        </w:rPr>
        <w:t xml:space="preserve">George, Robert P. &amp; Girgis, Sherif &amp; Anderson, Ryan T. (2012). *What Is Marriage? Man and Woman: A Defense*. Encounter Books.</w:t>
      </w:r>
    </w:p>
    <w:p>
      <w:pPr>
        <w:bidi/>
        <w:spacing w:after="160"/>
        <w:jc w:val="start"/>
      </w:pPr>
      <w:r>
        <w:rPr>
          <w:sz w:val="24"/>
          <w:szCs w:val="24"/>
          <w:rtl/>
        </w:rPr>
        <w:t xml:space="preserve">Reilly, Robert R. (2014). *Making Gay Okay*. Ignatius Press.</w:t>
      </w:r>
    </w:p>
    <w:p>
      <w:pPr>
        <w:bidi/>
        <w:spacing w:after="160"/>
        <w:jc w:val="start"/>
      </w:pPr>
      <w:r>
        <w:rPr>
          <w:sz w:val="24"/>
          <w:szCs w:val="24"/>
          <w:rtl/>
        </w:rPr>
        <w:t xml:space="preserve">Sullivan, Andrew (1995). *Virtually Normal: An Argument About Homosexuality*. Knopf. (وجهة نظر داعمة من منظور محافظ)</w:t>
      </w:r>
    </w:p>
    <w:p>
      <w:pPr>
        <w:bidi/>
        <w:spacing w:after="160"/>
        <w:jc w:val="start"/>
      </w:pPr>
      <w:r>
        <w:rPr>
          <w:sz w:val="24"/>
          <w:szCs w:val="24"/>
          <w:rtl/>
        </w:rPr>
        <w:t xml:space="preserve">Kugle, Scott Siraj al-Haqq (2010). *Homosexuality in Islam*. Oneworld. (مرجع نقدي للموقف التقليدي)</w:t>
      </w:r>
    </w:p>
    <w:p>
      <w:pPr>
        <w:bidi/>
        <w:spacing w:after="160"/>
        <w:jc w:val="start"/>
      </w:pPr>
      <w:r>
        <w:rPr>
          <w:sz w:val="24"/>
          <w:szCs w:val="24"/>
          <w:rtl/>
        </w:rPr>
        <w:t xml:space="preserve">## مصادر إحصائية</w:t>
      </w:r>
    </w:p>
    <w:p>
      <w:pPr>
        <w:bidi/>
        <w:spacing w:after="160"/>
        <w:jc w:val="start"/>
      </w:pPr>
      <w:r>
        <w:rPr>
          <w:sz w:val="24"/>
          <w:szCs w:val="24"/>
          <w:rtl/>
        </w:rPr>
        <w:t xml:space="preserve">Funders for LGBTQ Issues. *Global Resources Report 2021*.</w:t>
      </w:r>
    </w:p>
    <w:p>
      <w:pPr>
        <w:bidi/>
        <w:spacing w:after="160"/>
        <w:jc w:val="start"/>
      </w:pPr>
      <w:r>
        <w:rPr>
          <w:sz w:val="24"/>
          <w:szCs w:val="24"/>
          <w:rtl/>
        </w:rPr>
        <w:t xml:space="preserve">Gallup Polls (2012–2024). LGBT Identification Surveys, USA.</w:t>
      </w:r>
    </w:p>
    <w:p>
      <w:pPr>
        <w:bidi/>
        <w:spacing w:after="160"/>
        <w:jc w:val="start"/>
      </w:pPr>
      <w:r>
        <w:rPr>
          <w:sz w:val="24"/>
          <w:szCs w:val="24"/>
          <w:rtl/>
        </w:rPr>
        <w:t xml:space="preserve">Human Rights Campaign. Annual Corporate Equality Index Reports.</w:t>
      </w:r>
    </w:p>
    <w:p>
      <w:pPr>
        <w:bidi/>
        <w:spacing w:after="160"/>
        <w:jc w:val="start"/>
      </w:pPr>
      <w:r>
        <w:rPr>
          <w:sz w:val="24"/>
          <w:szCs w:val="24"/>
          <w:rtl/>
        </w:rPr>
        <w:t xml:space="preserve">GLAAD. *Where We Are on TV* annual reports.</w:t>
      </w:r>
    </w:p>
    <w:p>
      <w:pPr>
        <w:bidi/>
        <w:spacing w:after="160"/>
        <w:jc w:val="start"/>
      </w:pPr>
      <w:r>
        <w:rPr>
          <w:sz w:val="24"/>
          <w:szCs w:val="24"/>
          <w:rtl/>
        </w:rPr>
        <w:t xml:space="preserve">National Survey of Family Growth, USA Centers for Disease Control.</w:t>
      </w:r>
    </w:p>
    <w:p>
      <w:pPr>
        <w:bidi/>
        <w:spacing w:after="160"/>
        <w:jc w:val="start"/>
      </w:pPr>
      <w:r>
        <w:rPr>
          <w:sz w:val="24"/>
          <w:szCs w:val="24"/>
          <w:rtl/>
        </w:rPr>
        <w:t xml:space="preserve">Pew Research Center, multiple reports on religious and demographic shifts.</w:t>
      </w:r>
    </w:p>
    <w:p>
      <w:pPr>
        <w:bidi/>
        <w:spacing w:after="160"/>
        <w:jc w:val="start"/>
      </w:pPr>
      <w:r>
        <w:rPr>
          <w:sz w:val="24"/>
          <w:szCs w:val="24"/>
          <w:rtl/>
        </w:rPr>
        <w:t xml:space="preserve">## ملاحظة ختامية</w:t>
      </w:r>
    </w:p>
    <w:p>
      <w:pPr>
        <w:bidi/>
        <w:spacing w:after="160"/>
        <w:jc w:val="start"/>
      </w:pPr>
      <w:r>
        <w:rPr>
          <w:sz w:val="24"/>
          <w:szCs w:val="24"/>
          <w:rtl/>
        </w:rPr>
        <w:t xml:space="preserve">اعتمد الكتاب على هذه المصادر بالاستفادة من نصوصها والاجتهاد في تركيب الفصول، دون نقل حرفي إلا في حالات الاقتباس القصيرة الموثّقة. والقارئ الراغب في التعمّق يستطيع الرجوع إلى أيّ من هذه المصادر مباشرة. وقد تعمّدنا تنوّع المصادر — بين مؤيّد ومعارض، إسلامي وغربي، علمي وفقهي — لنقدّم صورة كاملة، ونعطي القارئ أدوات الحكم بنفسه. والله الموفّق.</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Chapter One: Introduction to Terminology and Definitions</w:t>
      </w:r>
    </w:p>
    <w:p>
      <w:pPr>
        <w:spacing w:after="160"/>
        <w:jc w:val="left"/>
      </w:pPr>
      <w:r>
        <w:rPr>
          <w:sz w:val="22"/>
          <w:szCs w:val="22"/>
        </w:rPr>
        <w:t xml:space="preserve">"And He created the two mates, the male and the female." (Qur'an, al-Najm 53:45)</w:t>
      </w:r>
    </w:p>
    <w:p>
      <w:pPr>
        <w:spacing w:after="160"/>
        <w:jc w:val="left"/>
      </w:pPr>
      <w:r>
        <w:rPr>
          <w:sz w:val="22"/>
          <w:szCs w:val="22"/>
        </w:rPr>
        <w:t xml:space="preserve">## On the Importance of Terminological Precision</w:t>
      </w:r>
    </w:p>
    <w:p>
      <w:pPr>
        <w:spacing w:after="160"/>
        <w:jc w:val="left"/>
      </w:pPr>
      <w:r>
        <w:rPr>
          <w:sz w:val="22"/>
          <w:szCs w:val="22"/>
        </w:rPr>
        <w:t xml:space="preserve">It is no academic indulgence to begin a book on a controversial subject with a chapter on terminology. Most disagreement in contemporary intellectual debates arises from confusion between concepts and an overlap between words that the reader assumes to be synonymous when in fact they are distinct. Classical jurists used to say: "Judgment of a thing is a branch of conceiving it." Any serious discussion of homosexuality must therefore begin with a precise conception of the term and what it implies.</w:t>
      </w:r>
    </w:p>
    <w:p>
      <w:pPr>
        <w:spacing w:after="160"/>
        <w:jc w:val="left"/>
      </w:pPr>
      <w:r>
        <w:rPr>
          <w:sz w:val="22"/>
          <w:szCs w:val="22"/>
        </w:rPr>
        <w:t xml:space="preserve">Perhaps the first thing to alert the reader to is that the word "homosexuality" in contemporary English was not coined until the late nineteenth century. The meaning it carries today differs substantially from what classical writings referred to when they spoke of "sodomy" or "men approaching men." This distinction is not merely verbal; it is conceptual and has major consequences for understanding history, evaluating the present, and constructing legal and ethical positions.</w:t>
      </w:r>
    </w:p>
    <w:p>
      <w:pPr>
        <w:spacing w:after="160"/>
        <w:jc w:val="left"/>
      </w:pPr>
      <w:r>
        <w:rPr>
          <w:sz w:val="22"/>
          <w:szCs w:val="22"/>
        </w:rPr>
        <w:t xml:space="preserve">## Three Levels That Must Be Distinguished</w:t>
      </w:r>
    </w:p>
    <w:p>
      <w:pPr>
        <w:spacing w:after="160"/>
        <w:jc w:val="left"/>
      </w:pPr>
      <w:r>
        <w:rPr>
          <w:sz w:val="22"/>
          <w:szCs w:val="22"/>
        </w:rPr>
        <w:t xml:space="preserve">When approaching this subject, the researcher must carefully distinguish between three levels that many speakers conflate, leading to confused conclusions:</w:t>
      </w:r>
    </w:p>
    <w:p>
      <w:pPr>
        <w:spacing w:after="160"/>
        <w:jc w:val="left"/>
      </w:pPr>
      <w:r>
        <w:rPr>
          <w:sz w:val="22"/>
          <w:szCs w:val="22"/>
        </w:rPr>
        <w:t xml:space="preserve">**The first level: Same-sex behavior.** This is the sexual act that takes place between two persons of the same sex. It is a tangible behavioral matter, subject to clear historical and legal measurement, and can be studied across ancient, medieval, and modern civilizations. It is the subject of religious rulings in classical Islam, Judaism, and Christianity, since religious texts deal with the act rather than mere inclination.</w:t>
      </w:r>
    </w:p>
    <w:p>
      <w:pPr>
        <w:spacing w:after="160"/>
        <w:jc w:val="left"/>
      </w:pPr>
      <w:r>
        <w:rPr>
          <w:sz w:val="22"/>
          <w:szCs w:val="22"/>
        </w:rPr>
        <w:t xml:space="preserve">**The second level: Inclination or orientation (Homosexual orientation).** This is sexual and emotional attraction toward members of the same sex, considered as an internal disposition that may not be accompanied by visible behavior. This level is connected with modern psychology and the study of attractions; it was not the subject of independent theorization in antiquity but rather emerged as a concept in the nineteenth and twentieth centuries. In contemporary Islamic jurisprudence, many scholars distinguish between mere inclination — which may be a trial that does not entail accountability so long as one does not act on it — and the act, which falls under religious ruling.</w:t>
      </w:r>
    </w:p>
    <w:p>
      <w:pPr>
        <w:spacing w:after="160"/>
        <w:jc w:val="left"/>
      </w:pPr>
      <w:r>
        <w:rPr>
          <w:sz w:val="22"/>
          <w:szCs w:val="22"/>
        </w:rPr>
        <w:t xml:space="preserve">**The third level: Identity (Homosexual identity).** This is when a person defines himself — socially, psychologically, and legally — as "homosexual," such that this inclination becomes part of his self-definition rather than merely one of his traits. This third level is the most recent in human history. The French thinker Michel Foucault, in *The History of Sexuality* (1976), argued that "the homosexual" as a type of person is a Western invention dating to the nineteenth century, and that earlier civilizations knew the behaviors but not this identity in its modern sense.</w:t>
      </w:r>
    </w:p>
    <w:p>
      <w:pPr>
        <w:spacing w:after="160"/>
        <w:jc w:val="left"/>
      </w:pPr>
      <w:r>
        <w:rPr>
          <w:sz w:val="22"/>
          <w:szCs w:val="22"/>
        </w:rPr>
        <w:t xml:space="preserve">## Why Does This Distinction Matter?</w:t>
      </w:r>
    </w:p>
    <w:p>
      <w:pPr>
        <w:spacing w:after="160"/>
        <w:jc w:val="left"/>
      </w:pPr>
      <w:r>
        <w:rPr>
          <w:sz w:val="22"/>
          <w:szCs w:val="22"/>
        </w:rPr>
        <w:t xml:space="preserve">When it is said that homosexuality is "a phenomenon as old as humanity," this is true if behavior is meant, but misleading if identity is meant. Ancient civilizations knew same-sex behavior, but they did not know the idea of "the homosexual" as a class of human beings with their own identity, rights, and community. Many comparisons offered by supporters of the contemporary movement — when they cite ancient Greece or the Roman Empire — therefore involve a conceptual conflation that must be noticed.</w:t>
      </w:r>
    </w:p>
    <w:p>
      <w:pPr>
        <w:spacing w:after="160"/>
        <w:jc w:val="left"/>
      </w:pPr>
      <w:r>
        <w:rPr>
          <w:sz w:val="22"/>
          <w:szCs w:val="22"/>
        </w:rPr>
        <w:t xml:space="preserve">Likewise, when it is said that Islam "forbade homosexuality," what is precisely meant is the prohibition of the act (*liwāṭ*), not necessarily the criminalization of mere inclination, which may be a trial in which a person struggles within himself without falling into the act. This distinction is important because it opens a door for compassionate pastoral engagement with Muslims who find such inclinations within themselves but do not act upon them, rather than abandoning them to despair or extremism in either direction.</w:t>
      </w:r>
    </w:p>
    <w:p>
      <w:pPr>
        <w:spacing w:after="160"/>
        <w:jc w:val="left"/>
      </w:pPr>
      <w:r>
        <w:rPr>
          <w:sz w:val="22"/>
          <w:szCs w:val="22"/>
        </w:rPr>
        <w:t xml:space="preserve">## The Components of the Modern LGBTQ+ Acronym</w:t>
      </w:r>
    </w:p>
    <w:p>
      <w:pPr>
        <w:spacing w:after="160"/>
        <w:jc w:val="left"/>
      </w:pPr>
      <w:r>
        <w:rPr>
          <w:sz w:val="22"/>
          <w:szCs w:val="22"/>
        </w:rPr>
        <w:t xml:space="preserve">The terminology evolved in the West from "Gay" in the 1960s to "LGB" in the 1980s to "LGBT," then "LGBTQ," and today "LGBTQIA+." Each letter refers to a different category:</w:t>
      </w:r>
    </w:p>
    <w:p>
      <w:pPr>
        <w:spacing w:after="160"/>
        <w:jc w:val="left"/>
      </w:pPr>
      <w:r>
        <w:rPr>
          <w:sz w:val="22"/>
          <w:szCs w:val="22"/>
        </w:rPr>
        <w:t xml:space="preserve">- **L (Lesbian):** A woman attracted to women. - **G (Gay):** A man attracted to men (sometimes used for homosexuals generally). - **B (Bisexual):** Attracted to both sexes. - **T (Transgender):** A person who believes their gender identity differs from their biological sex. This category differs fundamentally from the previous three because it concerns gender identity rather than sexual orientation. - **Q (Queer or Questioning):** A loose term encompassing those who do not fit prior categories. - **+ (the plus):** Refers to newer categories such as "Intersex," "Asexual," "Pansexual," and others.</w:t>
      </w:r>
    </w:p>
    <w:p>
      <w:pPr>
        <w:spacing w:after="160"/>
        <w:jc w:val="left"/>
      </w:pPr>
      <w:r>
        <w:rPr>
          <w:sz w:val="22"/>
          <w:szCs w:val="22"/>
        </w:rPr>
        <w:t xml:space="preserve">It is highly important to note that grouping these categories under one umbrella is a contemporary political and organizational decision, not a settled scientific classification. The issues of transgender persons (T) differ greatly from the issues of homosexuals (G/L), and divisions have begun to appear within the movement itself between classical activists and newer activists over this combination.</w:t>
      </w:r>
    </w:p>
    <w:p>
      <w:pPr>
        <w:spacing w:after="160"/>
        <w:jc w:val="left"/>
      </w:pPr>
      <w:r>
        <w:rPr>
          <w:sz w:val="22"/>
          <w:szCs w:val="22"/>
        </w:rPr>
        <w:t xml:space="preserve">## The Approach of This Book</w:t>
      </w:r>
    </w:p>
    <w:p>
      <w:pPr>
        <w:spacing w:after="160"/>
        <w:jc w:val="left"/>
      </w:pPr>
      <w:r>
        <w:rPr>
          <w:sz w:val="22"/>
          <w:szCs w:val="22"/>
        </w:rPr>
        <w:t xml:space="preserve">This book proceeds from three guiding principles:</w:t>
      </w:r>
    </w:p>
    <w:p>
      <w:pPr>
        <w:spacing w:after="160"/>
        <w:jc w:val="left"/>
      </w:pPr>
      <w:r>
        <w:rPr>
          <w:sz w:val="22"/>
          <w:szCs w:val="22"/>
        </w:rPr>
        <w:t xml:space="preserve">**First, seriousness in engaging the subject.** This is not a marginal issue; it has become one of the largest cultural questions of the contemporary world, affecting law, education, media, and foreign policy. It deserves scholarly inquiry, not emotional rhetoric.</w:t>
      </w:r>
    </w:p>
    <w:p>
      <w:pPr>
        <w:spacing w:after="160"/>
        <w:jc w:val="left"/>
      </w:pPr>
      <w:r>
        <w:rPr>
          <w:sz w:val="22"/>
          <w:szCs w:val="22"/>
        </w:rPr>
        <w:t xml:space="preserve">**Second, compassion in dealing with the human person.** Critique of behavior does not entail contempt for its subject. Islam, which forbade the act, also commanded compassion toward creation and taught that change comes through wisdom and gentle exhortation, not through public shaming or insult.</w:t>
      </w:r>
    </w:p>
    <w:p>
      <w:pPr>
        <w:spacing w:after="160"/>
        <w:jc w:val="left"/>
      </w:pPr>
      <w:r>
        <w:rPr>
          <w:sz w:val="22"/>
          <w:szCs w:val="22"/>
        </w:rPr>
        <w:t xml:space="preserve">**Third, honesty in presenting arguments.** We will not weaken our opponents' arguments to make them easier to refute; rather, we will present them in their strongest form, as their proponents themselves would, before examining them with a fair-minded critical eye. This is the Qur'anic method, which presents the doubts of opponents in full before responding to them.</w:t>
      </w:r>
    </w:p>
    <w:p>
      <w:pPr>
        <w:spacing w:after="160"/>
        <w:jc w:val="left"/>
      </w:pPr>
      <w:r>
        <w:rPr>
          <w:sz w:val="22"/>
          <w:szCs w:val="22"/>
        </w:rPr>
        <w:t xml:space="preserve">## Chapter Summary</w:t>
      </w:r>
    </w:p>
    <w:p>
      <w:pPr>
        <w:spacing w:after="160"/>
        <w:jc w:val="left"/>
      </w:pPr>
      <w:r>
        <w:rPr>
          <w:sz w:val="22"/>
          <w:szCs w:val="22"/>
        </w:rPr>
        <w:t xml:space="preserve">Homosexuality as understood today is a phenomenon composed of three layers: behavior, inclination, and identity. The behavior is ancient; the inclination is a psychological reality whose existence reasonable people acknowledge as a state; and the identity in its modern sense is a new phenomenon scarcely a century and a half old. Understanding this distinction is the key to all the historical and comparative analysis that follows in this book, and to the presentation of arguments and responses to them. The serious reader will not benefit from debate over a subject he has not precisely conceived. And God knows best.</w:t>
      </w:r>
    </w:p>
    <w:p>
      <w:r>
        <w:br w:type="page"/>
      </w:r>
    </w:p>
    <w:p>
      <w:pPr>
        <w:spacing w:after="360" w:before="600"/>
        <w:jc w:val="center"/>
      </w:pPr>
      <w:r>
        <w:rPr>
          <w:b/>
          <w:bCs/>
          <w:color w:val="1B3A5C"/>
          <w:sz w:val="36"/>
          <w:szCs w:val="36"/>
        </w:rPr>
        <w:t xml:space="preserve">Chapter Two: Historical Roots in Ancient Civilizations</w:t>
      </w:r>
    </w:p>
    <w:p>
      <w:pPr>
        <w:spacing w:after="160"/>
        <w:jc w:val="left"/>
      </w:pPr>
      <w:r>
        <w:rPr>
          <w:sz w:val="22"/>
          <w:szCs w:val="22"/>
        </w:rPr>
        <w:t xml:space="preserve">"And Lot, when he said to his people: 'Do you commit indecency while you see?'" (Qur'an, al-Naml 27:54)</w:t>
      </w:r>
    </w:p>
    <w:p>
      <w:pPr>
        <w:spacing w:after="160"/>
        <w:jc w:val="left"/>
      </w:pPr>
      <w:r>
        <w:rPr>
          <w:sz w:val="22"/>
          <w:szCs w:val="22"/>
        </w:rPr>
        <w:t xml:space="preserve">## On the General Framework for Reading History</w:t>
      </w:r>
    </w:p>
    <w:p>
      <w:pPr>
        <w:spacing w:after="160"/>
        <w:jc w:val="left"/>
      </w:pPr>
      <w:r>
        <w:rPr>
          <w:sz w:val="22"/>
          <w:szCs w:val="22"/>
        </w:rPr>
        <w:t xml:space="preserve">The first thing to note is that much contemporary writing in support of the LGBTQ movement employs ancient history selectively, presenting behavioral practices in Greece, Rome, and elsewhere as evidence of the "naturalness" and universality of homosexuality. This usage involves a double methodological problem: first, it conflates behavior and identity as we explained in Chapter One; and second, it ignores the fact that many of the ancient practices celebrated today involved sharp class and age disparities, such that, were they applied with their original parameters in any modern society, they would be condemned by the contemporary movement itself before anyone else.</w:t>
      </w:r>
    </w:p>
    <w:p>
      <w:pPr>
        <w:spacing w:after="160"/>
        <w:jc w:val="left"/>
      </w:pPr>
      <w:r>
        <w:rPr>
          <w:sz w:val="22"/>
          <w:szCs w:val="22"/>
        </w:rPr>
        <w:t xml:space="preserve">Paradoxically, many of these ancient societies did not know the idea of "equality" between two consenting adult partners as the standard. They saw same-sex behavior as governed by a network of hierarchical relationships that the modern reader struggles to absorb without reflection.</w:t>
      </w:r>
    </w:p>
    <w:p>
      <w:pPr>
        <w:spacing w:after="160"/>
        <w:jc w:val="left"/>
      </w:pPr>
      <w:r>
        <w:rPr>
          <w:sz w:val="22"/>
          <w:szCs w:val="22"/>
        </w:rPr>
        <w:t xml:space="preserve">## Ancient Greece: What It Was and What It Was Not</w:t>
      </w:r>
    </w:p>
    <w:p>
      <w:pPr>
        <w:spacing w:after="160"/>
        <w:jc w:val="left"/>
      </w:pPr>
      <w:r>
        <w:rPr>
          <w:sz w:val="22"/>
          <w:szCs w:val="22"/>
        </w:rPr>
        <w:t xml:space="preserve">Ancient Greece is the most cited reference in the contemporary debate, and it holds a special place because its philosophical and literary texts have come down to us in great breadth. Yet the picture from primary sources is far more complex than is popularly promoted.</w:t>
      </w:r>
    </w:p>
    <w:p>
      <w:pPr>
        <w:spacing w:after="160"/>
        <w:jc w:val="left"/>
      </w:pPr>
      <w:r>
        <w:rPr>
          <w:sz w:val="22"/>
          <w:szCs w:val="22"/>
        </w:rPr>
        <w:t xml:space="preserve">The most common pattern in classical Greece was what is known as *pederasty* — an institutional relationship between an adult man called *erastes* (the lover) and an adolescent boy called *eromenos* (the beloved), often aged twelve to eighteen. This relationship was not between two "equals" in the sense the contemporary movement presents, but was based on disparities of age, status, and role. It had a quasi-ritual character connected to elite formation in some city-states like Athens and Sparta.</w:t>
      </w:r>
    </w:p>
    <w:p>
      <w:pPr>
        <w:spacing w:after="160"/>
        <w:jc w:val="left"/>
      </w:pPr>
      <w:r>
        <w:rPr>
          <w:sz w:val="22"/>
          <w:szCs w:val="22"/>
        </w:rPr>
        <w:t xml:space="preserve">In Plato's *Symposium*, we find an exposition of Aristophanes' theory of the "halves" and Pausanias' speech on two kinds of *Eros* — the heavenly and the earthly. But it is important to note two things: first, that this dialogue is a literary-philosophical work, not a social record; and second, that Plato himself, in his later work *Laws*, took a far more reserved position, describing sexual acts between two men as "contrary to nature" (*para physin*) and calling for legislation to restrict them. The philosopher cited today as a friend of the movement is the very one who rejected the act in his last work.</w:t>
      </w:r>
    </w:p>
    <w:p>
      <w:pPr>
        <w:spacing w:after="160"/>
        <w:jc w:val="left"/>
      </w:pPr>
      <w:r>
        <w:rPr>
          <w:sz w:val="22"/>
          <w:szCs w:val="22"/>
        </w:rPr>
        <w:t xml:space="preserve">The historian K. J. Dover, in his classic *Greek Homosexuality* (1978), noted that strict social controls surrounded these relationships, that exceeding them required scandal, and that an adult citizen who accepted the "passive" role suffered social diminishment because this was understood as a surrender of his free masculine status. Presenting Greece as an "open" civilization toward homosexuality in the modern sense is therefore an oversimplification that conceals the complexity of the actual situation.</w:t>
      </w:r>
    </w:p>
    <w:p>
      <w:pPr>
        <w:spacing w:after="160"/>
        <w:jc w:val="left"/>
      </w:pPr>
      <w:r>
        <w:rPr>
          <w:sz w:val="22"/>
          <w:szCs w:val="22"/>
        </w:rPr>
        <w:t xml:space="preserve">## The Roman Empire: Hierarchy More Important Than Sex</w:t>
      </w:r>
    </w:p>
    <w:p>
      <w:pPr>
        <w:spacing w:after="160"/>
        <w:jc w:val="left"/>
      </w:pPr>
      <w:r>
        <w:rPr>
          <w:sz w:val="22"/>
          <w:szCs w:val="22"/>
        </w:rPr>
        <w:t xml:space="preserve">In Rome, the matter took another form, even more clearly tied to class hierarchy than Greece's. The Roman social rule allowed a free male citizen to play the "active" role with slaves or persons of lower status of either sex, but disapproved of a citizen accepting the "passive" role with another man, since this was seen as a departure from masculine dignity. The Roman question, then, was not "with whom do you associate?" but "what role do you take?"</w:t>
      </w:r>
    </w:p>
    <w:p>
      <w:pPr>
        <w:spacing w:after="160"/>
        <w:jc w:val="left"/>
      </w:pPr>
      <w:r>
        <w:rPr>
          <w:sz w:val="22"/>
          <w:szCs w:val="22"/>
        </w:rPr>
        <w:t xml:space="preserve">The poet Juvenal, in his *Satires*, described the moral corruption of the Roman elite and harshly attacked the practices of Emperor Nero and others. The Emperor Hadrian (r. 117–138 CE) was famous for his relationship with the youth Antinous, but this relationship must be read in its imperial context, not as an equivalent of modern same-sex marriage.</w:t>
      </w:r>
    </w:p>
    <w:p>
      <w:pPr>
        <w:spacing w:after="160"/>
        <w:jc w:val="left"/>
      </w:pPr>
      <w:r>
        <w:rPr>
          <w:sz w:val="22"/>
          <w:szCs w:val="22"/>
        </w:rPr>
        <w:t xml:space="preserve">When Christianity became the religion of the empire, the laws of Theodosius (390 CE) and Justinian (533 and 544 CE) criminalized the act severely, laying a European legal foundation that lasted for centuries.</w:t>
      </w:r>
    </w:p>
    <w:p>
      <w:pPr>
        <w:spacing w:after="160"/>
        <w:jc w:val="left"/>
      </w:pPr>
      <w:r>
        <w:rPr>
          <w:sz w:val="22"/>
          <w:szCs w:val="22"/>
        </w:rPr>
        <w:t xml:space="preserve">## Mesopotamia and the Ancient World</w:t>
      </w:r>
    </w:p>
    <w:p>
      <w:pPr>
        <w:spacing w:after="160"/>
        <w:jc w:val="left"/>
      </w:pPr>
      <w:r>
        <w:rPr>
          <w:sz w:val="22"/>
          <w:szCs w:val="22"/>
        </w:rPr>
        <w:t xml:space="preserve">In Mesopotamia, we find scattered references in ancient law codes. The Middle Assyrian Laws (c. 1075 BCE) punished same-sex acts between males with castration in some cases. The Hittite Laws contain other references. In general, available Mesopotamian sources do not support an "open" image toward homosexuality but show strict social and sometimes legal controls.</w:t>
      </w:r>
    </w:p>
    <w:p>
      <w:pPr>
        <w:spacing w:after="160"/>
        <w:jc w:val="left"/>
      </w:pPr>
      <w:r>
        <w:rPr>
          <w:sz w:val="22"/>
          <w:szCs w:val="22"/>
        </w:rPr>
        <w:t xml:space="preserve">In ancient Egypt, sources are sparse and contested, the most prominent being the story of Khnumhotep and Niankhkhnum, which some contemporary researchers interpret in a homosexual sense, while others reject this reading for lack of evidence.</w:t>
      </w:r>
    </w:p>
    <w:p>
      <w:pPr>
        <w:spacing w:after="160"/>
        <w:jc w:val="left"/>
      </w:pPr>
      <w:r>
        <w:rPr>
          <w:sz w:val="22"/>
          <w:szCs w:val="22"/>
        </w:rPr>
        <w:t xml:space="preserve">## The Arabian Peninsula Before Islam</w:t>
      </w:r>
    </w:p>
    <w:p>
      <w:pPr>
        <w:spacing w:after="160"/>
        <w:jc w:val="left"/>
      </w:pPr>
      <w:r>
        <w:rPr>
          <w:sz w:val="22"/>
          <w:szCs w:val="22"/>
        </w:rPr>
        <w:t xml:space="preserve">In pre-Islamic Arabia, the general view was negative. The Prophetic biography records that the Arabs disapproved of the act of *liwāṭ*, although they did not have detailed legal codes like those Islam brought. In pre-Islamic poetry, such themes are scarcely mentioned except in the context of censure and satire. Some historians note that certain tribes knew aberrant practices, but these were considered outside the norm.</w:t>
      </w:r>
    </w:p>
    <w:p>
      <w:pPr>
        <w:spacing w:after="160"/>
        <w:jc w:val="left"/>
      </w:pPr>
      <w:r>
        <w:rPr>
          <w:sz w:val="22"/>
          <w:szCs w:val="22"/>
        </w:rPr>
        <w:t xml:space="preserve">## East Asia: Imperial China and Japan</w:t>
      </w:r>
    </w:p>
    <w:p>
      <w:pPr>
        <w:spacing w:after="160"/>
        <w:jc w:val="left"/>
      </w:pPr>
      <w:r>
        <w:rPr>
          <w:sz w:val="22"/>
          <w:szCs w:val="22"/>
        </w:rPr>
        <w:t xml:space="preserve">In imperial China, there are records of relationships between emperors and their courtiers, the most famous being the story of Emperor Ai of the Han dynasty (c. 6 BCE) and the "cut sleeve" (*duan xiu*). The Ming and Qing dynasties also produced literary writings on the subject. But Confucianism, as the dominant ethical framework, emphasized continuity of lineage and filial obligations, making marriage and producing children a moral duty, even where other practices existed at the margin.</w:t>
      </w:r>
    </w:p>
    <w:p>
      <w:pPr>
        <w:spacing w:after="160"/>
        <w:jc w:val="left"/>
      </w:pPr>
      <w:r>
        <w:rPr>
          <w:sz w:val="22"/>
          <w:szCs w:val="22"/>
        </w:rPr>
        <w:t xml:space="preserve">In Japan, especially during the Edo period (1603–1868), there existed the phenomenon of *shudō* ("the way of youths") in samurai and Buddhist monastic circles. This was a complex phenomenon, similar to the Greek model in being based on age and status differences. It was governed by strict implicit rules. With Japan's Westernization in the Meiji era, these practices receded to the margins.</w:t>
      </w:r>
    </w:p>
    <w:p>
      <w:pPr>
        <w:spacing w:after="160"/>
        <w:jc w:val="left"/>
      </w:pPr>
      <w:r>
        <w:rPr>
          <w:sz w:val="22"/>
          <w:szCs w:val="22"/>
        </w:rPr>
        <w:t xml:space="preserve">## Chapter Summary: History Is More Complex Than Modern Battles</w:t>
      </w:r>
    </w:p>
    <w:p>
      <w:pPr>
        <w:spacing w:after="160"/>
        <w:jc w:val="left"/>
      </w:pPr>
      <w:r>
        <w:rPr>
          <w:sz w:val="22"/>
          <w:szCs w:val="22"/>
        </w:rPr>
        <w:t xml:space="preserve">Three takeaways for the reader from this historical tour:</w:t>
      </w:r>
    </w:p>
    <w:p>
      <w:pPr>
        <w:spacing w:after="160"/>
        <w:jc w:val="left"/>
      </w:pPr>
      <w:r>
        <w:rPr>
          <w:sz w:val="22"/>
          <w:szCs w:val="22"/>
        </w:rPr>
        <w:t xml:space="preserve">**First:** Same-sex behavior is an ancient phenomenon present in multiple civilizations, but it was not "natural" in the modern sense in any of them, nor was it considered an independent identity or social class. The rules surrounding it were hierarchical and class-based, not "rights-based" in the contemporary sense.</w:t>
      </w:r>
    </w:p>
    <w:p>
      <w:pPr>
        <w:spacing w:after="160"/>
        <w:jc w:val="left"/>
      </w:pPr>
      <w:r>
        <w:rPr>
          <w:sz w:val="22"/>
          <w:szCs w:val="22"/>
        </w:rPr>
        <w:t xml:space="preserve">**Second:** The contemporary celebration of ancient models (Greek and Roman) involves selectivity. The modern movement cites these models to prove the "naturalness" of homosexuality, yet if applied with their actual parameters (age and status differences), they would be the first thing the movement itself would reject.</w:t>
      </w:r>
    </w:p>
    <w:p>
      <w:pPr>
        <w:spacing w:after="160"/>
        <w:jc w:val="left"/>
      </w:pPr>
      <w:r>
        <w:rPr>
          <w:sz w:val="22"/>
          <w:szCs w:val="22"/>
        </w:rPr>
        <w:t xml:space="preserve">**Third:** The claim that Islam "invented" the prohibition of *liwāṭ* does not stand historical scrutiny, since the negative position toward this act predates Islam in multiple civilizations. Islam came with the most eloquent expression and clearest ruling, but it did not introduce the prohibition into a previously permissive world. And God knows best.</w:t>
      </w:r>
    </w:p>
    <w:p>
      <w:r>
        <w:br w:type="page"/>
      </w:r>
    </w:p>
    <w:p>
      <w:pPr>
        <w:spacing w:after="360" w:before="600"/>
        <w:jc w:val="center"/>
      </w:pPr>
      <w:r>
        <w:rPr>
          <w:b/>
          <w:bCs/>
          <w:color w:val="1B3A5C"/>
          <w:sz w:val="36"/>
          <w:szCs w:val="36"/>
        </w:rPr>
        <w:t xml:space="preserve">Chapter Three: The Story of the People of Lot in the Qur'an and Sunnah</w:t>
      </w:r>
    </w:p>
    <w:p>
      <w:pPr>
        <w:spacing w:after="160"/>
        <w:jc w:val="left"/>
      </w:pPr>
      <w:r>
        <w:rPr>
          <w:sz w:val="22"/>
          <w:szCs w:val="22"/>
        </w:rPr>
        <w:t xml:space="preserve">"And Lot, when he said to his people: 'Do you commit such an indecency that none in the worlds had ever committed before you?'" (Qur'an, al-A'raf 7:80)</w:t>
      </w:r>
    </w:p>
    <w:p>
      <w:pPr>
        <w:spacing w:after="160"/>
        <w:jc w:val="left"/>
      </w:pPr>
      <w:r>
        <w:rPr>
          <w:sz w:val="22"/>
          <w:szCs w:val="22"/>
        </w:rPr>
        <w:t xml:space="preserve">## The Place of the Story in the Qur'an</w:t>
      </w:r>
    </w:p>
    <w:p>
      <w:pPr>
        <w:spacing w:after="160"/>
        <w:jc w:val="left"/>
      </w:pPr>
      <w:r>
        <w:rPr>
          <w:sz w:val="22"/>
          <w:szCs w:val="22"/>
        </w:rPr>
        <w:t xml:space="preserve">The story of Lot (peace be upon him) and his people is among the most frequently repeated narratives in the Qur'an, mentioned in more than twelve sūrahs. It appears in different forms and various contexts: sometimes alongside the stories of other prophets, sometimes as a warning to deviators, sometimes in the context of destroyed nations. This repetition alone testifies to the gravity of the subject in the Qur'anic measure. After Abraham (peace be upon him) with his people, scarcely any other prophet's interaction with his people is described at this length.</w:t>
      </w:r>
    </w:p>
    <w:p>
      <w:pPr>
        <w:spacing w:after="160"/>
        <w:jc w:val="left"/>
      </w:pPr>
      <w:r>
        <w:rPr>
          <w:sz w:val="22"/>
          <w:szCs w:val="22"/>
        </w:rPr>
        <w:t xml:space="preserve">Among the most prominent sūrahs treating the story are: al-A'raf (80–84), Hūd (74–83), al-Ḥijr (51–77), al-Shu'arā' (160–175), al-Naml (54–58), al-'Ankabūt (28–35), al-Dhāriyāt (31–37), and al-Qamar (33–40). Each context adds nuance serving a Qur'anic purpose.</w:t>
      </w:r>
    </w:p>
    <w:p>
      <w:pPr>
        <w:spacing w:after="160"/>
        <w:jc w:val="left"/>
      </w:pPr>
      <w:r>
        <w:rPr>
          <w:sz w:val="22"/>
          <w:szCs w:val="22"/>
        </w:rPr>
        <w:t xml:space="preserve">## The Substance of the Story as Depicted in the Qur'an</w:t>
      </w:r>
    </w:p>
    <w:p>
      <w:pPr>
        <w:spacing w:after="160"/>
        <w:jc w:val="left"/>
      </w:pPr>
      <w:r>
        <w:rPr>
          <w:sz w:val="22"/>
          <w:szCs w:val="22"/>
        </w:rPr>
        <w:t xml:space="preserve">God sent Lot (peace be upon him) to his people — the inhabitants of "the overturned cities," likely located east of the Jordan River near the Dead Sea — calling them to monotheism and rebuking them for an indecency that no one in the worlds had committed before. God says: "And Lot, when he said to his people: 'Indeed, you commit such indecency as none in the worlds had ever committed before you. Do you approach men, cut off the highway, and commit evil in your gatherings?'" (al-'Ankabūt 29:28–29).</w:t>
      </w:r>
    </w:p>
    <w:p>
      <w:pPr>
        <w:spacing w:after="160"/>
        <w:jc w:val="left"/>
      </w:pPr>
      <w:r>
        <w:rPr>
          <w:sz w:val="22"/>
          <w:szCs w:val="22"/>
        </w:rPr>
        <w:t xml:space="preserve">This verse contains an important point: the sins of Lot's people were not confined to approaching men but were combined with highway robbery (assault on travelers) and committing evil in their gatherings (publicly in places of assembly). This indicates that the society had reached a stage of general moral collapse, and that the indecency in question was not a private individual matter but had become a public phenomenon defended by society and used to punish its critics.</w:t>
      </w:r>
    </w:p>
    <w:p>
      <w:pPr>
        <w:spacing w:after="160"/>
        <w:jc w:val="left"/>
      </w:pPr>
      <w:r>
        <w:rPr>
          <w:sz w:val="22"/>
          <w:szCs w:val="22"/>
        </w:rPr>
        <w:t xml:space="preserve">Lot offered his daughters to his people in the context of calling them to lawful marriage: "These are my daughters; they are purer for you" (Hūd 11:78). Commentators differed about its meaning; some said it was an offer of legitimate marriage, others said the daughters were the women of the community, since he was their spiritual father; the first view is preferred by the majority.</w:t>
      </w:r>
    </w:p>
    <w:p>
      <w:pPr>
        <w:spacing w:after="160"/>
        <w:jc w:val="left"/>
      </w:pPr>
      <w:r>
        <w:rPr>
          <w:sz w:val="22"/>
          <w:szCs w:val="22"/>
        </w:rPr>
        <w:t xml:space="preserve">Among the Qur'an's most eloquent expressions concerning the nature of the act: "Do you approach males among the worlds and leave what your Lord created for you of your wives? Indeed, you are a transgressing people." (al-Shu'arā' 26:165–166). The verse makes the act a deviation from the natural order on which God created the two mates, and describes its perpetrators as transgressors, not merely as psychologically aberrant.</w:t>
      </w:r>
    </w:p>
    <w:p>
      <w:pPr>
        <w:spacing w:after="160"/>
        <w:jc w:val="left"/>
      </w:pPr>
      <w:r>
        <w:rPr>
          <w:sz w:val="22"/>
          <w:szCs w:val="22"/>
        </w:rPr>
        <w:t xml:space="preserve">## The Response of Lot's People and Their Logic</w:t>
      </w:r>
    </w:p>
    <w:p>
      <w:pPr>
        <w:spacing w:after="160"/>
        <w:jc w:val="left"/>
      </w:pPr>
      <w:r>
        <w:rPr>
          <w:sz w:val="22"/>
          <w:szCs w:val="22"/>
        </w:rPr>
        <w:t xml:space="preserve">Strikingly, Lot's people did not respond with argument but with expulsion and threats: "And the answer of his people was nothing except that they said, 'Expel the family of Lot from your city. Indeed, they are people who keep themselves pure.'" (al-Naml 27:56). Note the precise irony here: the deviant society regards adherence to purity as deviance, and sees moral commitment as intrusion. This irony recurs in every society that reaches a stage of decline where the deviant becomes the norm and the upright is treated as deviant.</w:t>
      </w:r>
    </w:p>
    <w:p>
      <w:pPr>
        <w:spacing w:after="160"/>
        <w:jc w:val="left"/>
      </w:pPr>
      <w:r>
        <w:rPr>
          <w:sz w:val="22"/>
          <w:szCs w:val="22"/>
        </w:rPr>
        <w:t xml:space="preserve">Their arrogance reached the point of coming to Lot's house when they learned of the arrival of guests (who were angels in the form of young men) to demand he hand them over: "And his people came hurrying to him" (Hūd 11:78). The state of the society had reached the point where the foreign guest was no longer safe — a violation of the sanctity of hospitality that was a sacred rule in those civilizations.</w:t>
      </w:r>
    </w:p>
    <w:p>
      <w:pPr>
        <w:spacing w:after="160"/>
        <w:jc w:val="left"/>
      </w:pPr>
      <w:r>
        <w:rPr>
          <w:sz w:val="22"/>
          <w:szCs w:val="22"/>
        </w:rPr>
        <w:t xml:space="preserve">## The Divine Punishment</w:t>
      </w:r>
    </w:p>
    <w:p>
      <w:pPr>
        <w:spacing w:after="160"/>
        <w:jc w:val="left"/>
      </w:pPr>
      <w:r>
        <w:rPr>
          <w:sz w:val="22"/>
          <w:szCs w:val="22"/>
        </w:rPr>
        <w:t xml:space="preserve">"So when Our command came, We made the highest part [of the city] its lowest, and We rained upon them stones of layered hard clay" (Hūd 11:82). The Qur'an describes the punishment in two complementary forms: the overturning of the dwellings, and a rain of stones of hardened clay. This comprehensive punishment indicates the depth of corruption in the social fabric: God did not merely destroy individuals but inverted the geography of the place.</w:t>
      </w:r>
    </w:p>
    <w:p>
      <w:pPr>
        <w:spacing w:after="160"/>
        <w:jc w:val="left"/>
      </w:pPr>
      <w:r>
        <w:rPr>
          <w:sz w:val="22"/>
          <w:szCs w:val="22"/>
        </w:rPr>
        <w:t xml:space="preserve">Some historians and researchers consider that the geographical reference applies to the cities of "Sodom and Gomorrah" described in the Hebrew Bible, located in the Dead Sea region, where geological evidence exists for ancient catastrophic events. The Dead Sea region — at more than 400 meters below sea level — remains a geological witness to what the Qur'an describes.</w:t>
      </w:r>
    </w:p>
    <w:p>
      <w:pPr>
        <w:spacing w:after="160"/>
        <w:jc w:val="left"/>
      </w:pPr>
      <w:r>
        <w:rPr>
          <w:sz w:val="22"/>
          <w:szCs w:val="22"/>
        </w:rPr>
        <w:t xml:space="preserve">## The Prophetic Sunnah</w:t>
      </w:r>
    </w:p>
    <w:p>
      <w:pPr>
        <w:spacing w:after="160"/>
        <w:jc w:val="left"/>
      </w:pPr>
      <w:r>
        <w:rPr>
          <w:sz w:val="22"/>
          <w:szCs w:val="22"/>
        </w:rPr>
        <w:t xml:space="preserve">The Prophetic Sunnah affirmed the severity of judgment on this matter. Aḥmad, Abū Dāwūd, al-Tirmidhī, and Ibn Mājah narrated from Ibn 'Abbās (may God be pleased with both) that the Prophet (peace and blessings be upon him) said: "Whoever you find committing the act of the people of Lot, kill the doer and the one done to." Other narrations contain further reproach and warning. Scholars differed about the grading of some of these reports, but their cumulative force conveys clear prohibition and the gravity of the ruling.</w:t>
      </w:r>
    </w:p>
    <w:p>
      <w:pPr>
        <w:spacing w:after="160"/>
        <w:jc w:val="left"/>
      </w:pPr>
      <w:r>
        <w:rPr>
          <w:sz w:val="22"/>
          <w:szCs w:val="22"/>
        </w:rPr>
        <w:t xml:space="preserve">The hadith narrated by al-Ṭabarānī and others — "God will not look at a man who approaches a man or a woman in the rear" — has been discussed by scholars regarding its chain, but its meaning is supported by other texts. The intent in these reports is the act, and scholars adhered to that meaning, not extending the ruling to mere inclination over which one struggles within himself.</w:t>
      </w:r>
    </w:p>
    <w:p>
      <w:pPr>
        <w:spacing w:after="160"/>
        <w:jc w:val="left"/>
      </w:pPr>
      <w:r>
        <w:rPr>
          <w:sz w:val="22"/>
          <w:szCs w:val="22"/>
        </w:rPr>
        <w:t xml:space="preserve">## The Rulings of Jurists Across the Schools</w:t>
      </w:r>
    </w:p>
    <w:p>
      <w:pPr>
        <w:spacing w:after="160"/>
        <w:jc w:val="left"/>
      </w:pPr>
      <w:r>
        <w:rPr>
          <w:sz w:val="22"/>
          <w:szCs w:val="22"/>
        </w:rPr>
        <w:t xml:space="preserve">The scholars of the four Sunni schools (Ḥanafī, Mālikī, Shāfi'ī, and Ḥanbalī), together with the Ja'farī school, agreed on the categorical prohibition of *liwāṭ*, though they differed on the details of worldly punishment:</w:t>
      </w:r>
    </w:p>
    <w:p>
      <w:pPr>
        <w:spacing w:after="160"/>
        <w:jc w:val="left"/>
      </w:pPr>
      <w:r>
        <w:rPr>
          <w:sz w:val="22"/>
          <w:szCs w:val="22"/>
        </w:rPr>
        <w:t xml:space="preserve">**Ḥanafī school:** Abū Ḥanīfah held that it warrants discretionary punishment (*ta'zīr*); the two companions (Abū Yūsuf and Muḥammad) held that it carries the *ḥadd* of fornication.</w:t>
      </w:r>
    </w:p>
    <w:p>
      <w:pPr>
        <w:spacing w:after="160"/>
        <w:jc w:val="left"/>
      </w:pPr>
      <w:r>
        <w:rPr>
          <w:sz w:val="22"/>
          <w:szCs w:val="22"/>
        </w:rPr>
        <w:t xml:space="preserve">**Mālikī, Shāfi'ī, and Ḥanbalī (in the prevailing view):** The *ḥadd* of fornication applies — stoning for the previously married, lashing for others. Some held that both doer and recipient are to be killed, citing the hadith mentioned above.</w:t>
      </w:r>
    </w:p>
    <w:p>
      <w:pPr>
        <w:spacing w:after="160"/>
        <w:jc w:val="left"/>
      </w:pPr>
      <w:r>
        <w:rPr>
          <w:sz w:val="22"/>
          <w:szCs w:val="22"/>
        </w:rPr>
        <w:t xml:space="preserve">**Ja'farī school:** Death for the completed act.</w:t>
      </w:r>
    </w:p>
    <w:p>
      <w:pPr>
        <w:spacing w:after="160"/>
        <w:jc w:val="left"/>
      </w:pPr>
      <w:r>
        <w:rPr>
          <w:sz w:val="22"/>
          <w:szCs w:val="22"/>
        </w:rPr>
        <w:t xml:space="preserve">Despite this severity in ruling, jurists adhered to strict evidentiary requirements (four witnesses who see the act fully), conditions that made the application of the *ḥadd* in Islamic history extremely rare. The intent was deterrence, not infliction.</w:t>
      </w:r>
    </w:p>
    <w:p>
      <w:pPr>
        <w:spacing w:after="160"/>
        <w:jc w:val="left"/>
      </w:pPr>
      <w:r>
        <w:rPr>
          <w:sz w:val="22"/>
          <w:szCs w:val="22"/>
        </w:rPr>
        <w:t xml:space="preserve">## The Juristic Distinction Between Inclination and Act</w:t>
      </w:r>
    </w:p>
    <w:p>
      <w:pPr>
        <w:spacing w:after="160"/>
        <w:jc w:val="left"/>
      </w:pPr>
      <w:r>
        <w:rPr>
          <w:sz w:val="22"/>
          <w:szCs w:val="22"/>
        </w:rPr>
        <w:t xml:space="preserve">Many contemporary scholars — such as Shaykh Yūsuf al-Qaraḍāwī, Shaykh 'Abd Allāh bin Bayyah, the International Islamic Fiqh Academy, and others — have drawn a careful distinction between inclination and act:</w:t>
      </w:r>
    </w:p>
    <w:p>
      <w:pPr>
        <w:spacing w:after="160"/>
        <w:jc w:val="left"/>
      </w:pPr>
      <w:r>
        <w:rPr>
          <w:sz w:val="22"/>
          <w:szCs w:val="22"/>
        </w:rPr>
        <w:t xml:space="preserve">**Inclination:** May be a trial in which one struggles with himself; there is no accountability if he does not act on it. A person is not held responsible for thoughts to which he does not respond.</w:t>
      </w:r>
    </w:p>
    <w:p>
      <w:pPr>
        <w:spacing w:after="160"/>
        <w:jc w:val="left"/>
      </w:pPr>
      <w:r>
        <w:rPr>
          <w:sz w:val="22"/>
          <w:szCs w:val="22"/>
        </w:rPr>
        <w:t xml:space="preserve">**The act:** Is the locus of legal ruling, whether by speech, deed, or promotion.</w:t>
      </w:r>
    </w:p>
    <w:p>
      <w:pPr>
        <w:spacing w:after="160"/>
        <w:jc w:val="left"/>
      </w:pPr>
      <w:r>
        <w:rPr>
          <w:sz w:val="22"/>
          <w:szCs w:val="22"/>
        </w:rPr>
        <w:t xml:space="preserve">On this basis, the Muslim who finds within himself a disordered inclination, struggles with it, and seeks refuge in God from it is rewarded for his struggle, not held accountable for what he did not do. This understanding opens a door for pastoral care and treatment instead of expulsion and shaming.</w:t>
      </w:r>
    </w:p>
    <w:p>
      <w:pPr>
        <w:spacing w:after="160"/>
        <w:jc w:val="left"/>
      </w:pPr>
      <w:r>
        <w:rPr>
          <w:sz w:val="22"/>
          <w:szCs w:val="22"/>
        </w:rPr>
        <w:t xml:space="preserve">## Chapter Summary</w:t>
      </w:r>
    </w:p>
    <w:p>
      <w:pPr>
        <w:spacing w:after="160"/>
        <w:jc w:val="left"/>
      </w:pPr>
      <w:r>
        <w:rPr>
          <w:sz w:val="22"/>
          <w:szCs w:val="22"/>
        </w:rPr>
        <w:t xml:space="preserve">The story of Lot's people in the Qur'an and Sunnah presents a comprehensive vision: an unequivocal prohibition of the act; an understanding of the act as a departure from the natural order; its association with a network of general moral collapse; a deterrent divine punishment; and strict juristic rulings in principle, with difficult evidentiary requirements in application. At the same time, the door remains open for repentance and mercy toward whoever struggles with himself. And God knows best.</w:t>
      </w:r>
    </w:p>
    <w:p>
      <w:r>
        <w:br w:type="page"/>
      </w:r>
    </w:p>
    <w:p>
      <w:pPr>
        <w:spacing w:after="360" w:before="600"/>
        <w:jc w:val="center"/>
      </w:pPr>
      <w:r>
        <w:rPr>
          <w:b/>
          <w:bCs/>
          <w:color w:val="1B3A5C"/>
          <w:sz w:val="36"/>
          <w:szCs w:val="36"/>
        </w:rPr>
        <w:t xml:space="preserve">Chapter Four: The Medieval and Early Modern Eras</w:t>
      </w:r>
    </w:p>
    <w:p>
      <w:pPr>
        <w:spacing w:after="160"/>
        <w:jc w:val="left"/>
      </w:pPr>
      <w:r>
        <w:rPr>
          <w:sz w:val="22"/>
          <w:szCs w:val="22"/>
        </w:rPr>
        <w:t xml:space="preserve">"And do not approach indecencies, what is apparent of them and what is concealed." (Qur'an, al-An'ām 6:151)</w:t>
      </w:r>
    </w:p>
    <w:p>
      <w:pPr>
        <w:spacing w:after="160"/>
        <w:jc w:val="left"/>
      </w:pPr>
      <w:r>
        <w:rPr>
          <w:sz w:val="22"/>
          <w:szCs w:val="22"/>
        </w:rPr>
        <w:t xml:space="preserve">## Christian Europe: From Roman Law to Canon Law</w:t>
      </w:r>
    </w:p>
    <w:p>
      <w:pPr>
        <w:spacing w:after="160"/>
        <w:jc w:val="left"/>
      </w:pPr>
      <w:r>
        <w:rPr>
          <w:sz w:val="22"/>
          <w:szCs w:val="22"/>
        </w:rPr>
        <w:t xml:space="preserve">Medieval Europe inherited a dual legal system: late Roman law (influenced by Christianity) and the Canon Law developed by the Catholic Church. Emperor Justinian, in his *Corpus Juris Civilis* (529–534 CE), established the criminalization of *liwāṭ*, describing it in his legislation as a cause of earthquakes and natural disasters, drawing on a religious interpretation of the story of Sodom and Gomorrah. This legislation remained a reference for centuries.</w:t>
      </w:r>
    </w:p>
    <w:p>
      <w:pPr>
        <w:spacing w:after="160"/>
        <w:jc w:val="left"/>
      </w:pPr>
      <w:r>
        <w:rPr>
          <w:sz w:val="22"/>
          <w:szCs w:val="22"/>
        </w:rPr>
        <w:t xml:space="preserve">In the thirteenth century, the philosopher Thomas Aquinas, in his *Summa Theologiae*, classified sexual acts into ranks and considered sodomy among the "sins against nature" (*peccata contra naturam*) as contrary to the human purpose embedded in creation. This classification was influential in canon jurisprudence throughout the Middle Ages.</w:t>
      </w:r>
    </w:p>
    <w:p>
      <w:pPr>
        <w:spacing w:after="160"/>
        <w:jc w:val="left"/>
      </w:pPr>
      <w:r>
        <w:rPr>
          <w:sz w:val="22"/>
          <w:szCs w:val="22"/>
        </w:rPr>
        <w:t xml:space="preserve">From a temporal legal standpoint, European kingdoms imposed harsh penalties. In England, King Henry VIII enacted the Buggery Act of 1533, making sodomy a capital crime. This law remained in effect — although the death penalty was later mitigated — until the Offences Against the Person Act (1861). The decriminalization of consenting adult same-sex relations in England and Wales did not occur until the Sexual Offences Act of 1967 — less than sixty years ago.</w:t>
      </w:r>
    </w:p>
    <w:p>
      <w:pPr>
        <w:spacing w:after="160"/>
        <w:jc w:val="left"/>
      </w:pPr>
      <w:r>
        <w:rPr>
          <w:sz w:val="22"/>
          <w:szCs w:val="22"/>
        </w:rPr>
        <w:t xml:space="preserve">In Spain, the Inquisition's tribunals pursued those accused of this act, especially in Castile and Aragon. In France, French law continued to criminalize the act until the French Revolution. Napoleon removed the criminalization in his Code (Code Napoléon, 1810) as part of his secularization of law, and this policy spread to many countries influenced by Napoleonic law.</w:t>
      </w:r>
    </w:p>
    <w:p>
      <w:pPr>
        <w:spacing w:after="160"/>
        <w:jc w:val="left"/>
      </w:pPr>
      <w:r>
        <w:rPr>
          <w:sz w:val="22"/>
          <w:szCs w:val="22"/>
        </w:rPr>
        <w:t xml:space="preserve">## Islamic Civilization: Legislation and Practice</w:t>
      </w:r>
    </w:p>
    <w:p>
      <w:pPr>
        <w:spacing w:after="160"/>
        <w:jc w:val="left"/>
      </w:pPr>
      <w:r>
        <w:rPr>
          <w:sz w:val="22"/>
          <w:szCs w:val="22"/>
        </w:rPr>
        <w:t xml:space="preserve">It is important here to distinguish between two matters: Islamic legislation (jurisprudence) and actual social practice (history). On the legislative side, the Islamic schools maintained the prohibition of *liwāṭ* by consensus, as we explained in the previous chapter, and the prescribed penalties were very strict in theory. On the practice side, the historical reality of Islamic civilization shows a more complex picture.</w:t>
      </w:r>
    </w:p>
    <w:p>
      <w:pPr>
        <w:spacing w:after="160"/>
        <w:jc w:val="left"/>
      </w:pPr>
      <w:r>
        <w:rPr>
          <w:sz w:val="22"/>
          <w:szCs w:val="22"/>
        </w:rPr>
        <w:t xml:space="preserve">First, the juristic evidentiary requirements (four witnesses fully observing the act) made the application of the *ḥadd* extremely rare in Islamic history, with documented cases countable on fingers. The fundamental purpose of the penalty was deterrence and prevention, not infliction.</w:t>
      </w:r>
    </w:p>
    <w:p>
      <w:pPr>
        <w:spacing w:after="160"/>
        <w:jc w:val="left"/>
      </w:pPr>
      <w:r>
        <w:rPr>
          <w:sz w:val="22"/>
          <w:szCs w:val="22"/>
        </w:rPr>
        <w:t xml:space="preserve">Second, the Islamic literary tradition — especially in the Abbasid era and later Turkic and Mongol periods — knew a poetic phenomenon called *ghazal mudhakkar* (masculine-addressee love poetry), in which some poets addressed their beloved in masculine form. The analysis of this phenomenon, however, is more complex than superficial readings suggest. Most serious scholars, such as Franz Rosenthal and others, have held that much of this poetry used the masculine form either for traditional literary reasons, or to conceal a female beloved's identity for social reasons, or as homoerotic poetry in the behavioral sense — but accompanied by social stigma. The important point is that the existence of such poetry does not entail social or juristic acceptance; it always existed in tension with the religious position.</w:t>
      </w:r>
    </w:p>
    <w:p>
      <w:pPr>
        <w:spacing w:after="160"/>
        <w:jc w:val="left"/>
      </w:pPr>
      <w:r>
        <w:rPr>
          <w:sz w:val="22"/>
          <w:szCs w:val="22"/>
        </w:rPr>
        <w:t xml:space="preserve">Third, Islamic history knew the phenomenon of court "pages" (*ghilmān*) in some ruling courts, especially in periods of luxury and decadence. Scholars and *muḥtasibs* condemned these practices and rebuked the rulers, as we find in the writings of Ibn al-Jawzī, Ibn Taymiyyah, and others. The presence of the phenomenon does not signal its legitimization, just as the existence of theft in every society does not entail Islam's acceptance of it.</w:t>
      </w:r>
    </w:p>
    <w:p>
      <w:pPr>
        <w:spacing w:after="160"/>
        <w:jc w:val="left"/>
      </w:pPr>
      <w:r>
        <w:rPr>
          <w:sz w:val="22"/>
          <w:szCs w:val="22"/>
        </w:rPr>
        <w:t xml:space="preserve">Fourth, in Andalusian civilization, poets like Ibn Quzmān addressed similar themes, but Muslim historians treated such writings within the framework of moral criticism, not celebration.</w:t>
      </w:r>
    </w:p>
    <w:p>
      <w:pPr>
        <w:spacing w:after="160"/>
        <w:jc w:val="left"/>
      </w:pPr>
      <w:r>
        <w:rPr>
          <w:sz w:val="22"/>
          <w:szCs w:val="22"/>
        </w:rPr>
        <w:t xml:space="preserve">A correction is needed here regarding a common notion in Western writing: the alleged "Islamic tolerance" of homosexuality. This notion conflates two things: the weakness of the application of *ḥadd* punishments (a real fact tied to evidentiary requirements) and social and legal acceptance (which never occurred in any official Islamic era). Historian Khaled El-Rouayheb, in his book *Before Homosexuality in the Arab-Islamic World, 1500–1800* (2005), provided an in-depth study showing that Arab-Islamic civilization in that period knew the act within a limited scope but did not know the homosexual identity in its modern sense, and never legislated for any relationship comparable to today's same-sex marriage.</w:t>
      </w:r>
    </w:p>
    <w:p>
      <w:pPr>
        <w:spacing w:after="160"/>
        <w:jc w:val="left"/>
      </w:pPr>
      <w:r>
        <w:rPr>
          <w:sz w:val="22"/>
          <w:szCs w:val="22"/>
        </w:rPr>
        <w:t xml:space="preserve">## Pre-Colonial Asia</w:t>
      </w:r>
    </w:p>
    <w:p>
      <w:pPr>
        <w:spacing w:after="160"/>
        <w:jc w:val="left"/>
      </w:pPr>
      <w:r>
        <w:rPr>
          <w:sz w:val="22"/>
          <w:szCs w:val="22"/>
        </w:rPr>
        <w:t xml:space="preserve">In India, some ancient texts (such as the *Kāmasūtra*) referenced varied practices, but the general Hindu social system was built on caste and *dharma*, with traditional marriage and procreation as the foundation of social order. In Indian Islam, classical Islamic jurisprudence applied.</w:t>
      </w:r>
    </w:p>
    <w:p>
      <w:pPr>
        <w:spacing w:after="160"/>
        <w:jc w:val="left"/>
      </w:pPr>
      <w:r>
        <w:rPr>
          <w:sz w:val="22"/>
          <w:szCs w:val="22"/>
        </w:rPr>
        <w:t xml:space="preserve">In China, Confucianism continued to guide public morality. Even where some emperors were lenient in their private lives, official philosophy continued to emphasize marriage and producing children as a social duty.</w:t>
      </w:r>
    </w:p>
    <w:p>
      <w:pPr>
        <w:spacing w:after="160"/>
        <w:jc w:val="left"/>
      </w:pPr>
      <w:r>
        <w:rPr>
          <w:sz w:val="22"/>
          <w:szCs w:val="22"/>
        </w:rPr>
        <w:t xml:space="preserve">In Japan, the *shudō* phenomenon continued in samurai and male monastic classes, governed by strict ritualized rules and by specific educational and military contexts. With Japan's Westernization in the Meiji era, Japan imported Western criminalizing laws, then later removed them.</w:t>
      </w:r>
    </w:p>
    <w:p>
      <w:pPr>
        <w:spacing w:after="160"/>
        <w:jc w:val="left"/>
      </w:pPr>
      <w:r>
        <w:rPr>
          <w:sz w:val="22"/>
          <w:szCs w:val="22"/>
        </w:rPr>
        <w:t xml:space="preserve">## The Pre-Colonial Americas</w:t>
      </w:r>
    </w:p>
    <w:p>
      <w:pPr>
        <w:spacing w:after="160"/>
        <w:jc w:val="left"/>
      </w:pPr>
      <w:r>
        <w:rPr>
          <w:sz w:val="22"/>
          <w:szCs w:val="22"/>
        </w:rPr>
        <w:t xml:space="preserve">Some indigenous tribes in the Americas held conceptions that do not fit modern Western categorization, including the idea of "Two-Spirit" persons that appeared in some indigenous cultures. But this conception differs greatly from contemporary homosexuality, since it concerned specific ritual and spiritual roles within a narrow tribal framework, and cannot be invoked as a parallel to the contemporary movement without being torn from its context.</w:t>
      </w:r>
    </w:p>
    <w:p>
      <w:pPr>
        <w:spacing w:after="160"/>
        <w:jc w:val="left"/>
      </w:pPr>
      <w:r>
        <w:rPr>
          <w:sz w:val="22"/>
          <w:szCs w:val="22"/>
        </w:rPr>
        <w:t xml:space="preserve">## The Colonial Export of British Laws</w:t>
      </w:r>
    </w:p>
    <w:p>
      <w:pPr>
        <w:spacing w:after="160"/>
        <w:jc w:val="left"/>
      </w:pPr>
      <w:r>
        <w:rPr>
          <w:sz w:val="22"/>
          <w:szCs w:val="22"/>
        </w:rPr>
        <w:t xml:space="preserve">Among the most important historical paradoxes is that many contemporary laws in countries of the Global South that criminalize same-sex relations are not "indigenous" laws but a British colonial inheritance. Section 377 of the Indian Penal Code (enacted by the British in 1860 on Macaulay's recommendation) criminalized "carnal intercourse against the order of nature," and the British imposed it on India, Pakistan, Bangladesh, Myanmar, Singapore, Malaysia, Brunei, Kenya, Uganda, Nigeria, and other colonies. India struck down this section in its Supreme Court ruling in 2018.</w:t>
      </w:r>
    </w:p>
    <w:p>
      <w:pPr>
        <w:spacing w:after="160"/>
        <w:jc w:val="left"/>
      </w:pPr>
      <w:r>
        <w:rPr>
          <w:sz w:val="22"/>
          <w:szCs w:val="22"/>
        </w:rPr>
        <w:t xml:space="preserve">The point here is not to justify homosexuality but to alert the reader that the criminalization in its contemporary form in many countries is, in origin, Victorian British ecclesiastical legislation, not necessarily indigenous Islamic legislation — even where Islam agrees with the principle in general terms. This opens a space for thinking about how Islamic countries should formulate laws that arise directly from their own juristic heritage rather than from a Western colonial inheritance.</w:t>
      </w:r>
    </w:p>
    <w:p>
      <w:pPr>
        <w:spacing w:after="160"/>
        <w:jc w:val="left"/>
      </w:pPr>
      <w:r>
        <w:rPr>
          <w:sz w:val="22"/>
          <w:szCs w:val="22"/>
        </w:rPr>
        <w:t xml:space="preserve">## Chapter Summary</w:t>
      </w:r>
    </w:p>
    <w:p>
      <w:pPr>
        <w:spacing w:after="160"/>
        <w:jc w:val="left"/>
      </w:pPr>
      <w:r>
        <w:rPr>
          <w:sz w:val="22"/>
          <w:szCs w:val="22"/>
        </w:rPr>
        <w:t xml:space="preserve">The medieval and early modern eras saw three interacting forces: religious legislation (Christian and Islamic) that prohibited the act by consensus, actual social practice that varied between commitment and deviation, and temporal laws that imposed strict penalties whose application was difficult. When Western modernity arrived in the nineteenth century, it did two contradictory things: it exported criminalizing laws to its colonies, while simultaneously beginning a process of redefining the entire subject within the framework of "science" and "rights" — as we shall see in the next chapter. And God knows best.</w:t>
      </w:r>
    </w:p>
    <w:p>
      <w:r>
        <w:br w:type="page"/>
      </w:r>
    </w:p>
    <w:p>
      <w:pPr>
        <w:spacing w:after="360" w:before="600"/>
        <w:jc w:val="center"/>
      </w:pPr>
      <w:r>
        <w:rPr>
          <w:b/>
          <w:bCs/>
          <w:color w:val="1B3A5C"/>
          <w:sz w:val="36"/>
          <w:szCs w:val="36"/>
        </w:rPr>
        <w:t xml:space="preserve">Chapter Five: The Nineteenth Century — The Birth of the Modern Concept</w:t>
      </w:r>
    </w:p>
    <w:p>
      <w:pPr>
        <w:spacing w:after="160"/>
        <w:jc w:val="left"/>
      </w:pPr>
      <w:r>
        <w:rPr>
          <w:sz w:val="22"/>
          <w:szCs w:val="22"/>
        </w:rPr>
        <w:t xml:space="preserve">"And in yourselves. Then will you not see?" (Qur'an, al-Dhāriyāt 51:21)</w:t>
      </w:r>
    </w:p>
    <w:p>
      <w:pPr>
        <w:spacing w:after="160"/>
        <w:jc w:val="left"/>
      </w:pPr>
      <w:r>
        <w:rPr>
          <w:sz w:val="22"/>
          <w:szCs w:val="22"/>
        </w:rPr>
        <w:t xml:space="preserve">## The General Context: The Birth of the Human Sciences</w:t>
      </w:r>
    </w:p>
    <w:p>
      <w:pPr>
        <w:spacing w:after="160"/>
        <w:jc w:val="left"/>
      </w:pPr>
      <w:r>
        <w:rPr>
          <w:sz w:val="22"/>
          <w:szCs w:val="22"/>
        </w:rPr>
        <w:t xml:space="preserve">The nineteenth century witnessed an enormous shift in European thought. Whereas sexual behaviors had previously been understood within a classical religious framework as virtues and vices, the emerging sciences — especially psychiatry and sexology — began to reclassify them as "natural" phenomena to be studied as one studies diseases and disorders. This transition from a moral framework to a medical framework was a conceptual shift of major importance, paving the way for everything that followed.</w:t>
      </w:r>
    </w:p>
    <w:p>
      <w:pPr>
        <w:spacing w:after="160"/>
        <w:jc w:val="left"/>
      </w:pPr>
      <w:r>
        <w:rPr>
          <w:sz w:val="22"/>
          <w:szCs w:val="22"/>
        </w:rPr>
        <w:t xml:space="preserve">In this context, the new sciences had to coin new terms for what had previously been named in moral or religious terms. Here was born the term "homosexuality" (German: *Homosexualität*).</w:t>
      </w:r>
    </w:p>
    <w:p>
      <w:pPr>
        <w:spacing w:after="160"/>
        <w:jc w:val="left"/>
      </w:pPr>
      <w:r>
        <w:rPr>
          <w:sz w:val="22"/>
          <w:szCs w:val="22"/>
        </w:rPr>
        <w:t xml:space="preserve">## Karl-Maria Kertbeny and the Coinage of the Term (1869)</w:t>
      </w:r>
    </w:p>
    <w:p>
      <w:pPr>
        <w:spacing w:after="160"/>
        <w:jc w:val="left"/>
      </w:pPr>
      <w:r>
        <w:rPr>
          <w:sz w:val="22"/>
          <w:szCs w:val="22"/>
        </w:rPr>
        <w:t xml:space="preserve">In 1869, the Austro-Hungarian writer Karl-Maria Kertbeny published in Berlin a German-language pamphlet opposing the new German imperial law known as "Paragraph 175," which criminalized male same-sex relations. In this pamphlet, Kertbeny coined for the first time the terms "homosexual" and "heterosexual." His aim was twofold: to introduce the term into public discourse independent of its classical moral meaning, and to argue that the behavior he described was not a crime but a natural feature of certain individuals not deserving of criminalization.</w:t>
      </w:r>
    </w:p>
    <w:p>
      <w:pPr>
        <w:spacing w:after="160"/>
        <w:jc w:val="left"/>
      </w:pPr>
      <w:r>
        <w:rPr>
          <w:sz w:val="22"/>
          <w:szCs w:val="22"/>
        </w:rPr>
        <w:t xml:space="preserve">It is important for the reader to note that the coinage of the term was not a neutral scientific exercise; it was a political and rights-oriented framing from the start. Kertbeny himself, according to contemporary historical scholarship, was first and foremost a rights activist, not a physician. But the term he coined moved quickly into medical writing, where it acquired a "scientific" character.</w:t>
      </w:r>
    </w:p>
    <w:p>
      <w:pPr>
        <w:spacing w:after="160"/>
        <w:jc w:val="left"/>
      </w:pPr>
      <w:r>
        <w:rPr>
          <w:sz w:val="22"/>
          <w:szCs w:val="22"/>
        </w:rPr>
        <w:t xml:space="preserve">## The Origin of the Term and Its Expansion</w:t>
      </w:r>
    </w:p>
    <w:p>
      <w:pPr>
        <w:spacing w:after="160"/>
        <w:jc w:val="left"/>
      </w:pPr>
      <w:r>
        <w:rPr>
          <w:sz w:val="22"/>
          <w:szCs w:val="22"/>
        </w:rPr>
        <w:t xml:space="preserve">Kertbeny and others adopted Greek terms: *homo* (same) and *hetero* (different). What is striking is that these terms were composed artificially: "homosexuality" was not an original Greek word but a modern compound combining a Greek root (*homo*) with a Latin root (*sexus*). Linguists have noted that the word itself is a hybrid mix, with greater political than scientific significance.</w:t>
      </w:r>
    </w:p>
    <w:p>
      <w:pPr>
        <w:spacing w:after="160"/>
        <w:jc w:val="left"/>
      </w:pPr>
      <w:r>
        <w:rPr>
          <w:sz w:val="22"/>
          <w:szCs w:val="22"/>
        </w:rPr>
        <w:t xml:space="preserve">The term entered medical discourse on a wide scale when the Austrian psychiatrist Richard von Krafft-Ebing adopted it in his famous *Psychopathia Sexualis* (1886). Krafft-Ebing considered homosexuality a "perversion" and counted it among psychological disorders, but — like Kertbeny — argued that it was a "natural" phenomenon in small portions of humanity, not a conscious choice.</w:t>
      </w:r>
    </w:p>
    <w:p>
      <w:pPr>
        <w:spacing w:after="160"/>
        <w:jc w:val="left"/>
      </w:pPr>
      <w:r>
        <w:rPr>
          <w:sz w:val="22"/>
          <w:szCs w:val="22"/>
        </w:rPr>
        <w:t xml:space="preserve">## Richard von Krafft-Ebing and the Psychiatric School</w:t>
      </w:r>
    </w:p>
    <w:p>
      <w:pPr>
        <w:spacing w:after="160"/>
        <w:jc w:val="left"/>
      </w:pPr>
      <w:r>
        <w:rPr>
          <w:sz w:val="22"/>
          <w:szCs w:val="22"/>
        </w:rPr>
        <w:t xml:space="preserve">*Psychopathia Sexualis* (1886) was the first comprehensive scientific work in this field, going through more than twelve editions in the author's lifetime. Krafft-Ebing classified "deviant" sexual behaviors into categories: perversion, inversion, and others. He introduced into his classifications sadism, masochism, and other terms now familiar.</w:t>
      </w:r>
    </w:p>
    <w:p>
      <w:pPr>
        <w:spacing w:after="160"/>
        <w:jc w:val="left"/>
      </w:pPr>
      <w:r>
        <w:rPr>
          <w:sz w:val="22"/>
          <w:szCs w:val="22"/>
        </w:rPr>
        <w:t xml:space="preserve">The paradox is that Krafft-Ebing, as a physician, considered homosexuality an illness, but he was also among the first to argue that sufferers do not deserve imprisonment but rather treatment and compassion. This duality — considering homosexuality an illness while calling for decriminalization — dominated European discourse for half a century.</w:t>
      </w:r>
    </w:p>
    <w:p>
      <w:pPr>
        <w:spacing w:after="160"/>
        <w:jc w:val="left"/>
      </w:pPr>
      <w:r>
        <w:rPr>
          <w:sz w:val="22"/>
          <w:szCs w:val="22"/>
        </w:rPr>
        <w:t xml:space="preserve">## Karl Heinrich Ulrichs and Early Rights Activism</w:t>
      </w:r>
    </w:p>
    <w:p>
      <w:pPr>
        <w:spacing w:after="160"/>
        <w:jc w:val="left"/>
      </w:pPr>
      <w:r>
        <w:rPr>
          <w:sz w:val="22"/>
          <w:szCs w:val="22"/>
        </w:rPr>
        <w:t xml:space="preserve">Preceding Kertbeny in rights activism was the German lawyer Karl Heinrich Ulrichs, who from the 1860s onward promoted the theory of "feminine souls in male bodies" (*Urning*) to explain male homosexual inclination. Ulrichs delivered a famous speech before the Congress of German Jurists in 1867 calling for the abolition of laws criminalizing same-sex relations — among the first public efforts of its kind.</w:t>
      </w:r>
    </w:p>
    <w:p>
      <w:pPr>
        <w:spacing w:after="160"/>
        <w:jc w:val="left"/>
      </w:pPr>
      <w:r>
        <w:rPr>
          <w:sz w:val="22"/>
          <w:szCs w:val="22"/>
        </w:rPr>
        <w:t xml:space="preserve">Ulrichs's theory (a woman's inclination trapped in a male body) was an early attempt to provide a "natural" explanation that transcended the moral framework. This theory laid the foundation for what is known today as the "innate model," which is still invoked by supporters of the contemporary movement.</w:t>
      </w:r>
    </w:p>
    <w:p>
      <w:pPr>
        <w:spacing w:after="160"/>
        <w:jc w:val="left"/>
      </w:pPr>
      <w:r>
        <w:rPr>
          <w:sz w:val="22"/>
          <w:szCs w:val="22"/>
        </w:rPr>
        <w:t xml:space="preserve">## Sigmund Freud: Evolution of Position</w:t>
      </w:r>
    </w:p>
    <w:p>
      <w:pPr>
        <w:spacing w:after="160"/>
        <w:jc w:val="left"/>
      </w:pPr>
      <w:r>
        <w:rPr>
          <w:sz w:val="22"/>
          <w:szCs w:val="22"/>
        </w:rPr>
        <w:t xml:space="preserve">Sigmund Freud (1856–1939) presented a more complex view. In *Three Essays on the Theory of Sexuality* (1905), Freud held that every human is born "polymorphously perverse" with bisexual potential, and that natural development leads in most cases to the heterosexual inclination, though certain psychological paths fix the homosexual inclination. Freud did not consider homosexuality a "disease" in the classical sense but rather a result of psychological development. He wrote a famous letter in 1935 to the mother of a young homosexual reassuring her that her son was not ill and that change was not necessary.</w:t>
      </w:r>
    </w:p>
    <w:p>
      <w:pPr>
        <w:spacing w:after="160"/>
        <w:jc w:val="left"/>
      </w:pPr>
      <w:r>
        <w:rPr>
          <w:sz w:val="22"/>
          <w:szCs w:val="22"/>
        </w:rPr>
        <w:t xml:space="preserve">Nevertheless, the psychoanalytic school after Freud's death — especially in the United States — became more rigorous in considering homosexuality a treatable disorder, a position that would change dramatically in 1973 as we shall see later.</w:t>
      </w:r>
    </w:p>
    <w:p>
      <w:pPr>
        <w:spacing w:after="160"/>
        <w:jc w:val="left"/>
      </w:pPr>
      <w:r>
        <w:rPr>
          <w:sz w:val="22"/>
          <w:szCs w:val="22"/>
        </w:rPr>
        <w:t xml:space="preserve">## Michel Foucault and a Later Philosophical Reading</w:t>
      </w:r>
    </w:p>
    <w:p>
      <w:pPr>
        <w:spacing w:after="160"/>
        <w:jc w:val="left"/>
      </w:pPr>
      <w:r>
        <w:rPr>
          <w:sz w:val="22"/>
          <w:szCs w:val="22"/>
        </w:rPr>
        <w:t xml:space="preserve">There is a thinker who came later (1926–1984) but whose analysis of the nineteenth century reframed everything. Michel Foucault, in his *History of Sexuality* (1976), advanced an extremely important thesis: that "the homosexual" as a *species* of human is a modern Western invention, dating roughly to the mid-nineteenth century. Foucault wrote his famous formulation:</w:t>
      </w:r>
    </w:p>
    <w:p>
      <w:pPr>
        <w:spacing w:after="160"/>
        <w:jc w:val="left"/>
      </w:pPr>
      <w:r>
        <w:rPr>
          <w:sz w:val="22"/>
          <w:szCs w:val="22"/>
        </w:rPr>
        <w:t xml:space="preserve">"The sodomite had been a temporary aberration; the homosexual was now a species" — a creature with a past, a case history, a childhood, a body, a face, a life-form — an invention of the nineteenth century.</w:t>
      </w:r>
    </w:p>
    <w:p>
      <w:pPr>
        <w:spacing w:after="160"/>
        <w:jc w:val="left"/>
      </w:pPr>
      <w:r>
        <w:rPr>
          <w:sz w:val="22"/>
          <w:szCs w:val="22"/>
        </w:rPr>
        <w:t xml:space="preserve">The major importance of this thesis — whose significance many readers do not pause to grasp — is that Foucault, the famous left-wing philosopher and one of the most sympathetic intellectuals of his time toward the movement, says frankly: homosexuality as identity is not a natural reality always latent in humans, but a cultural and historical construct. We will return to this point often, because it provides a strong argument for those who maintain that what the contemporary movement presents as a "fixed nature" is in reality a modern social construction that can be deconstructed and critically studied.</w:t>
      </w:r>
    </w:p>
    <w:p>
      <w:pPr>
        <w:spacing w:after="160"/>
        <w:jc w:val="left"/>
      </w:pPr>
      <w:r>
        <w:rPr>
          <w:sz w:val="22"/>
          <w:szCs w:val="22"/>
        </w:rPr>
        <w:t xml:space="preserve">## The Transition from Disease to Right</w:t>
      </w:r>
    </w:p>
    <w:p>
      <w:pPr>
        <w:spacing w:after="160"/>
        <w:jc w:val="left"/>
      </w:pPr>
      <w:r>
        <w:rPr>
          <w:sz w:val="22"/>
          <w:szCs w:val="22"/>
        </w:rPr>
        <w:t xml:space="preserve">Thus the nineteenth century witnessed a double transformation:</w:t>
      </w:r>
    </w:p>
    <w:p>
      <w:pPr>
        <w:spacing w:after="160"/>
        <w:jc w:val="left"/>
      </w:pPr>
      <w:r>
        <w:rPr>
          <w:sz w:val="22"/>
          <w:szCs w:val="22"/>
        </w:rPr>
        <w:t xml:space="preserve">- **From sin to sickness:** Homosexuality moved from the category of religious sin to the category of medical disorder. - **From sickness to right:** The seeds of the rights movement appeared with Kertbeny and Ulrichs, though full transition was completed only in the twentieth century.</w:t>
      </w:r>
    </w:p>
    <w:p>
      <w:pPr>
        <w:spacing w:after="160"/>
        <w:jc w:val="left"/>
      </w:pPr>
      <w:r>
        <w:rPr>
          <w:sz w:val="22"/>
          <w:szCs w:val="22"/>
        </w:rPr>
        <w:t xml:space="preserve">Both transformations were transformations of concepts rather than of "reality" itself. The behavior remained the same, but the framework within which the behavior was read changed radically — and with it, policies, laws, and social attitudes shifted accordingly.</w:t>
      </w:r>
    </w:p>
    <w:p>
      <w:pPr>
        <w:spacing w:after="160"/>
        <w:jc w:val="left"/>
      </w:pPr>
      <w:r>
        <w:rPr>
          <w:sz w:val="22"/>
          <w:szCs w:val="22"/>
        </w:rPr>
        <w:t xml:space="preserve">## Chapter Summary</w:t>
      </w:r>
    </w:p>
    <w:p>
      <w:pPr>
        <w:spacing w:after="160"/>
        <w:jc w:val="left"/>
      </w:pPr>
      <w:r>
        <w:rPr>
          <w:sz w:val="22"/>
          <w:szCs w:val="22"/>
        </w:rPr>
        <w:t xml:space="preserve">The nineteenth century, then, is the century in which "the homosexual" was born — not as a behavior (the behavior is ancient) but as a "type" of human with an identity. This conceptual birth occurred in Berlin and Vienna at the hands of writers, doctors, and lawyers attempting to move the discussion from a religious framework to a scientific one, from the courtroom to the doctor's clinic. This shift succeeded in the West and laid the groundwork for the twentieth century, in which "homosexual identity" transformed from a medical issue into a rights issue and then into a central cultural issue. And God knows best.</w:t>
      </w:r>
    </w:p>
    <w:p>
      <w:r>
        <w:br w:type="page"/>
      </w:r>
    </w:p>
    <w:p>
      <w:pPr>
        <w:spacing w:after="360" w:before="600"/>
        <w:jc w:val="center"/>
      </w:pPr>
      <w:r>
        <w:rPr>
          <w:b/>
          <w:bCs/>
          <w:color w:val="1B3A5C"/>
          <w:sz w:val="36"/>
          <w:szCs w:val="36"/>
        </w:rPr>
        <w:t xml:space="preserve">Chapter Six: The Twentieth Century — From Disease to Identity</w:t>
      </w:r>
    </w:p>
    <w:p>
      <w:pPr>
        <w:spacing w:after="160"/>
        <w:jc w:val="left"/>
      </w:pPr>
      <w:r>
        <w:rPr>
          <w:sz w:val="22"/>
          <w:szCs w:val="22"/>
        </w:rPr>
        <w:t xml:space="preserve">"And do not cause corruption on the earth after its reformation." (Qur'an, al-A'rāf 7:56)</w:t>
      </w:r>
    </w:p>
    <w:p>
      <w:pPr>
        <w:spacing w:after="160"/>
        <w:jc w:val="left"/>
      </w:pPr>
      <w:r>
        <w:rPr>
          <w:sz w:val="22"/>
          <w:szCs w:val="22"/>
        </w:rPr>
        <w:t xml:space="preserve">## Magnus Hirschfeld and the Institute for Sexual Science</w:t>
      </w:r>
    </w:p>
    <w:p>
      <w:pPr>
        <w:spacing w:after="160"/>
        <w:jc w:val="left"/>
      </w:pPr>
      <w:r>
        <w:rPr>
          <w:sz w:val="22"/>
          <w:szCs w:val="22"/>
        </w:rPr>
        <w:t xml:space="preserve">In Berlin, the German-Jewish physician Magnus Hirschfeld founded the *Institut für Sexualwissenschaft* (Institute for Sexual Science) in 1919 — the first research institution in the world specializing in the study of human sexuality from a "scientific" perspective. Hirschfeld collected enormous quantities of data and interviews and founded the "Scientific-Humanitarian Committee" (1897) to advocate for the abolition of Paragraph 175. Hirschfeld himself was homosexual and was part of a liberal Weimar Berlin elite that experienced unprecedented permissiveness.</w:t>
      </w:r>
    </w:p>
    <w:p>
      <w:pPr>
        <w:spacing w:after="160"/>
        <w:jc w:val="left"/>
      </w:pPr>
      <w:r>
        <w:rPr>
          <w:sz w:val="22"/>
          <w:szCs w:val="22"/>
        </w:rPr>
        <w:t xml:space="preserve">But the Nazis, upon taking power in 1933, raided the institute on May 6 of that year and burned its rich library in a public ceremony in the Berlin Opera Square. This event was a devastating blow to the movement's progress in Europe before it later moved to the United States.</w:t>
      </w:r>
    </w:p>
    <w:p>
      <w:pPr>
        <w:spacing w:after="160"/>
        <w:jc w:val="left"/>
      </w:pPr>
      <w:r>
        <w:rPr>
          <w:sz w:val="22"/>
          <w:szCs w:val="22"/>
        </w:rPr>
        <w:t xml:space="preserve">## Suffering Under Nazism</w:t>
      </w:r>
    </w:p>
    <w:p>
      <w:pPr>
        <w:spacing w:after="160"/>
        <w:jc w:val="left"/>
      </w:pPr>
      <w:r>
        <w:rPr>
          <w:sz w:val="22"/>
          <w:szCs w:val="22"/>
        </w:rPr>
        <w:t xml:space="preserve">The Nazi regime persecuted homosexuals violently. Paragraph 175 was expanded in 1935 to include any sexual contact between males. An estimated 50,000 men were sent to prison, and approximately 5,000 to 15,000 to concentration camps, where they bore the "Pink Triangle" as a marker of distinction. This symbol later became — paradoxically — a symbol of the contemporary movement as a memorial to persecution.</w:t>
      </w:r>
    </w:p>
    <w:p>
      <w:pPr>
        <w:spacing w:after="160"/>
        <w:jc w:val="left"/>
      </w:pPr>
      <w:r>
        <w:rPr>
          <w:sz w:val="22"/>
          <w:szCs w:val="22"/>
        </w:rPr>
        <w:t xml:space="preserve">In fairness, we should acknowledge that the suffering of these individuals was real human suffering and that what the Nazi regime did was a crime by all measures. The Nazis, of course, committed similar crimes against Jews, the disabled, Roma, and political opponents. But the contemporary movement sometimes uses this persecution as an argument that any legal distinction between behaviors leads to Auschwitz — a strained analogy, since the gulf between juristic critique of an act and the Nazi camp is incomparably vast.</w:t>
      </w:r>
    </w:p>
    <w:p>
      <w:pPr>
        <w:spacing w:after="160"/>
        <w:jc w:val="left"/>
      </w:pPr>
      <w:r>
        <w:rPr>
          <w:sz w:val="22"/>
          <w:szCs w:val="22"/>
        </w:rPr>
        <w:t xml:space="preserve">## Alfred Kinsey and the Statistical Revolution</w:t>
      </w:r>
    </w:p>
    <w:p>
      <w:pPr>
        <w:spacing w:after="160"/>
        <w:jc w:val="left"/>
      </w:pPr>
      <w:r>
        <w:rPr>
          <w:sz w:val="22"/>
          <w:szCs w:val="22"/>
        </w:rPr>
        <w:t xml:space="preserve">In the United States, the entomologist and sex researcher Alfred Kinsey published his famous reports: *Sexual Behavior in the Human Male* (1948) and *Sexual Behavior in the Human Female* (1953). Kinsey collected enormous data (approximately 18,000 interviews) and proposed the "Kinsey Scale" from 0 to 6 to classify sexual orientation — where 0 is exclusively heterosexual and 6 is exclusively homosexual. Kinsey claimed that approximately 10% of men were "more or less exclusively homosexual" for at least three years of their adult lives.</w:t>
      </w:r>
    </w:p>
    <w:p>
      <w:pPr>
        <w:spacing w:after="160"/>
        <w:jc w:val="left"/>
      </w:pPr>
      <w:r>
        <w:rPr>
          <w:sz w:val="22"/>
          <w:szCs w:val="22"/>
        </w:rPr>
        <w:t xml:space="preserve">Kinsey's methodology, however, came under sharp methodological criticism in subsequent decades. Later studies showed that Kinsey's sample included unusually high proportions of prison inmates and participants with atypical behavioral backgrounds, making his figures inflated. More recent and more representative studies (such as Laumann et al., 1994) estimate the true proportion of adult males engaging in same-sex behavior at around 2% to 3%. Nevertheless, the "10%" figure that Kinsey promoted remained in circulation for decades and played a major political role.</w:t>
      </w:r>
    </w:p>
    <w:p>
      <w:pPr>
        <w:spacing w:after="160"/>
        <w:jc w:val="left"/>
      </w:pPr>
      <w:r>
        <w:rPr>
          <w:sz w:val="22"/>
          <w:szCs w:val="22"/>
        </w:rPr>
        <w:t xml:space="preserve">## The Emerging Movement in the 1950s</w:t>
      </w:r>
    </w:p>
    <w:p>
      <w:pPr>
        <w:spacing w:after="160"/>
        <w:jc w:val="left"/>
      </w:pPr>
      <w:r>
        <w:rPr>
          <w:sz w:val="22"/>
          <w:szCs w:val="22"/>
        </w:rPr>
        <w:t xml:space="preserve">In the 1950s, the first homosexual activist organizations were founded in the United States:</w:t>
      </w:r>
    </w:p>
    <w:p>
      <w:pPr>
        <w:spacing w:after="160"/>
        <w:jc w:val="left"/>
      </w:pPr>
      <w:r>
        <w:rPr>
          <w:sz w:val="22"/>
          <w:szCs w:val="22"/>
        </w:rPr>
        <w:t xml:space="preserve">- **The Mattachine Society:** Founded in Los Angeles in 1950 by Harry Hay and others, as the first political organization for male homosexuals. - **The Daughters of Bilitis:** Founded in San Francisco in 1955, as the first organization for lesbian women.</w:t>
      </w:r>
    </w:p>
    <w:p>
      <w:pPr>
        <w:spacing w:after="160"/>
        <w:jc w:val="left"/>
      </w:pPr>
      <w:r>
        <w:rPr>
          <w:sz w:val="22"/>
          <w:szCs w:val="22"/>
        </w:rPr>
        <w:t xml:space="preserve">It is important to note that these organizations were initially clandestine or semi-clandestine, calling for recognition and protection rather than full legitimization. The discourse at this stage was relatively moderate, grounded in ideas of "privacy" and "tolerance."</w:t>
      </w:r>
    </w:p>
    <w:p>
      <w:pPr>
        <w:spacing w:after="160"/>
        <w:jc w:val="left"/>
      </w:pPr>
      <w:r>
        <w:rPr>
          <w:sz w:val="22"/>
          <w:szCs w:val="22"/>
        </w:rPr>
        <w:t xml:space="preserve">## The Stonewall Riots (June 1969)</w:t>
      </w:r>
    </w:p>
    <w:p>
      <w:pPr>
        <w:spacing w:after="160"/>
        <w:jc w:val="left"/>
      </w:pPr>
      <w:r>
        <w:rPr>
          <w:sz w:val="22"/>
          <w:szCs w:val="22"/>
        </w:rPr>
        <w:t xml:space="preserve">On June 28, 1969, at the Stonewall Inn in New York's Greenwich Village, police carried out a routine raid on a bar frequented by homosexual and transgender communities. But the patrons, contrary to custom, resisted, and rioting extended over several days. This event is considered the symbolic "turning point" for the birth of the modern gay rights movement, from which annual "Pride Parades" began. The annual celebration of June as "Pride Month" traces back to the Stonewall commemoration.</w:t>
      </w:r>
    </w:p>
    <w:p>
      <w:pPr>
        <w:spacing w:after="160"/>
        <w:jc w:val="left"/>
      </w:pPr>
      <w:r>
        <w:rPr>
          <w:sz w:val="22"/>
          <w:szCs w:val="22"/>
        </w:rPr>
        <w:t xml:space="preserve">## Removal of Homosexuality from the DSM (1973)</w:t>
      </w:r>
    </w:p>
    <w:p>
      <w:pPr>
        <w:spacing w:after="160"/>
        <w:jc w:val="left"/>
      </w:pPr>
      <w:r>
        <w:rPr>
          <w:sz w:val="22"/>
          <w:szCs w:val="22"/>
        </w:rPr>
        <w:t xml:space="preserve">Among the most important transformations of the twentieth century was the American Psychiatric Association's (APA) decision in 1973 to remove homosexuality from the *Diagnostic and Statistical Manual of Mental Disorders* (DSM-II). This was a revolutionary decision that moved homosexuality, in the official framework, from "disorder" to "natural variation."</w:t>
      </w:r>
    </w:p>
    <w:p>
      <w:pPr>
        <w:spacing w:after="160"/>
        <w:jc w:val="left"/>
      </w:pPr>
      <w:r>
        <w:rPr>
          <w:sz w:val="22"/>
          <w:szCs w:val="22"/>
        </w:rPr>
        <w:t xml:space="preserve">Subsequent historical scholarship, however, has shown that the decision was not the result of scientific research that resolved the matter, but the result of political pressure and organized activism. Activist Frank Kameny and his colleagues led campaigns inside the Association's meetings, pressured the leadership, and the final vote carried by only a 58% majority of voting members, with strong opposition from prominent psychiatrists such as Charles Socarides and Irving Bieber. The scholar Ronald Bayer documented this process in his book *Homosexuality and American Psychiatry* (1981), showing that the decision was not a "purely" scientific decision but a socio-scientific decision influenced by rights-based political pressures.</w:t>
      </w:r>
    </w:p>
    <w:p>
      <w:pPr>
        <w:spacing w:after="160"/>
        <w:jc w:val="left"/>
      </w:pPr>
      <w:r>
        <w:rPr>
          <w:sz w:val="22"/>
          <w:szCs w:val="22"/>
        </w:rPr>
        <w:t xml:space="preserve">This does not necessarily mean the decision was wrong, but it does mean it was a socio-political decision as much as a scientific one. Those who use this decision against opponents should not inflate its "scientific" aspect at the expense of its procedural aspect.</w:t>
      </w:r>
    </w:p>
    <w:p>
      <w:pPr>
        <w:spacing w:after="160"/>
        <w:jc w:val="left"/>
      </w:pPr>
      <w:r>
        <w:rPr>
          <w:sz w:val="22"/>
          <w:szCs w:val="22"/>
        </w:rPr>
        <w:t xml:space="preserve">## The AIDS Crisis (the 1980s)</w:t>
      </w:r>
    </w:p>
    <w:p>
      <w:pPr>
        <w:spacing w:after="160"/>
        <w:jc w:val="left"/>
      </w:pPr>
      <w:r>
        <w:rPr>
          <w:sz w:val="22"/>
          <w:szCs w:val="22"/>
        </w:rPr>
        <w:t xml:space="preserve">In 1981, reports began appearing in the United States of a mysterious disease primarily afflicting homosexual men and causing collapse of the immune system. In 1982, it was officially named "Acquired Immune Deficiency Syndrome" (AIDS). In 1983, the HIV virus was identified.</w:t>
      </w:r>
    </w:p>
    <w:p>
      <w:pPr>
        <w:spacing w:after="160"/>
        <w:jc w:val="left"/>
      </w:pPr>
      <w:r>
        <w:rPr>
          <w:sz w:val="22"/>
          <w:szCs w:val="22"/>
        </w:rPr>
        <w:t xml:space="preserve">The devastating impact of this epidemic on the homosexual community was enormous. Hundreds of thousands died, and entire social networks collapsed. Politically, the epidemic became a massive mobilizing point: organizations like ACT UP (1987) were born and exerted intense pressure on governments and pharmaceutical companies. The epidemic also generated wide sympathy for homosexuals as victims of a disease, pushing many physicians, journalists, and politicians toward more supportive positions.</w:t>
      </w:r>
    </w:p>
    <w:p>
      <w:pPr>
        <w:spacing w:after="160"/>
        <w:jc w:val="left"/>
      </w:pPr>
      <w:r>
        <w:rPr>
          <w:sz w:val="22"/>
          <w:szCs w:val="22"/>
        </w:rPr>
        <w:t xml:space="preserve">Scientifically, the virus does not infect only homosexuals; it spreads through blood and sexual contact and infects heterosexuals, homosexuals, and children to whom blood is transferred. But the high rate among homosexual men in the first wave of the epidemic was tied to specific behavioral patterns — particularly anal contact and multiple partners.</w:t>
      </w:r>
    </w:p>
    <w:p>
      <w:pPr>
        <w:spacing w:after="160"/>
        <w:jc w:val="left"/>
      </w:pPr>
      <w:r>
        <w:rPr>
          <w:sz w:val="22"/>
          <w:szCs w:val="22"/>
        </w:rPr>
        <w:t xml:space="preserve">## End of Century: Movement to the Center</w:t>
      </w:r>
    </w:p>
    <w:p>
      <w:pPr>
        <w:spacing w:after="160"/>
        <w:jc w:val="left"/>
      </w:pPr>
      <w:r>
        <w:rPr>
          <w:sz w:val="22"/>
          <w:szCs w:val="22"/>
        </w:rPr>
        <w:t xml:space="preserve">By the 1990s, the movement had moved from the margin to the center of American and European culture. Homosexual characters appeared in television and cinema; major corporations began targeting this market; the word "gay" entered everyday vocabulary in a neutral sense. In 1996, the Defense of Marriage Act (DOMA) was enacted in the United States, defining marriage as a union between a man and a woman at the federal level — a sign that the next major battle would be over the redefinition of marriage. That battle would be decided in the new century, as we shall see.</w:t>
      </w:r>
    </w:p>
    <w:p>
      <w:pPr>
        <w:spacing w:after="160"/>
        <w:jc w:val="left"/>
      </w:pPr>
      <w:r>
        <w:rPr>
          <w:sz w:val="22"/>
          <w:szCs w:val="22"/>
        </w:rPr>
        <w:t xml:space="preserve">## Chapter Summary</w:t>
      </w:r>
    </w:p>
    <w:p>
      <w:pPr>
        <w:spacing w:after="160"/>
        <w:jc w:val="left"/>
      </w:pPr>
      <w:r>
        <w:rPr>
          <w:sz w:val="22"/>
          <w:szCs w:val="22"/>
        </w:rPr>
        <w:t xml:space="preserve">The twentieth century was the century of major transformation: from staying in the shadow as a "disease," to coming into the light as an "identity," to demanding equality as a "right." This transformation occurred in four stages: research institutionalization (Hirschfeld), then political catastrophe (Nazism), then scientific transformation driven by rights activism (1973), then mobilization driven by the AIDS crisis (the 1980s). At century's end, the movement had won the battles of disease, criminalization, and visibility — and was preparing for the larger battle: marriage. And God knows best.</w:t>
      </w:r>
    </w:p>
    <w:p>
      <w:r>
        <w:br w:type="page"/>
      </w:r>
    </w:p>
    <w:p>
      <w:pPr>
        <w:spacing w:after="360" w:before="600"/>
        <w:jc w:val="center"/>
      </w:pPr>
      <w:r>
        <w:rPr>
          <w:b/>
          <w:bCs/>
          <w:color w:val="1B3A5C"/>
          <w:sz w:val="36"/>
          <w:szCs w:val="36"/>
        </w:rPr>
        <w:t xml:space="preserve">Chapter Seven: The Contemporary Movement — Evolution and Gains</w:t>
      </w:r>
    </w:p>
    <w:p>
      <w:pPr>
        <w:spacing w:after="160"/>
        <w:jc w:val="left"/>
      </w:pPr>
      <w:r>
        <w:rPr>
          <w:sz w:val="22"/>
          <w:szCs w:val="22"/>
        </w:rPr>
        <w:t xml:space="preserve">"Indeed, God will not change the condition of a people until they change what is in themselves." (Qur'an, al-Ra'd 13:11)</w:t>
      </w:r>
    </w:p>
    <w:p>
      <w:pPr>
        <w:spacing w:after="160"/>
        <w:jc w:val="left"/>
      </w:pPr>
      <w:r>
        <w:rPr>
          <w:sz w:val="22"/>
          <w:szCs w:val="22"/>
        </w:rPr>
        <w:t xml:space="preserve">## The Shift to the Marriage Question</w:t>
      </w:r>
    </w:p>
    <w:p>
      <w:pPr>
        <w:spacing w:after="160"/>
        <w:jc w:val="left"/>
      </w:pPr>
      <w:r>
        <w:rPr>
          <w:sz w:val="22"/>
          <w:szCs w:val="22"/>
        </w:rPr>
        <w:t xml:space="preserve">In the late 1990s and early 2000s, the major battle of the movement shifted from decriminalization — which had largely been resolved in most Western countries — to the question of same-sex marriage. This was a conceptually significant shift: from defending the individual's right not to be prosecuted, to demanding that the state recognize their relationships as marriages equivalent to traditional marriage. The difference between the two positions is large in terms of impact on social institutions.</w:t>
      </w:r>
    </w:p>
    <w:p>
      <w:pPr>
        <w:spacing w:after="160"/>
        <w:jc w:val="left"/>
      </w:pPr>
      <w:r>
        <w:rPr>
          <w:sz w:val="22"/>
          <w:szCs w:val="22"/>
        </w:rPr>
        <w:t xml:space="preserve">## The First Countries to Legalize Same-Sex Marriage</w:t>
      </w:r>
    </w:p>
    <w:p>
      <w:pPr>
        <w:spacing w:after="160"/>
        <w:jc w:val="left"/>
      </w:pPr>
      <w:r>
        <w:rPr>
          <w:sz w:val="22"/>
          <w:szCs w:val="22"/>
        </w:rPr>
        <w:t xml:space="preserve">- **The Netherlands (2001):** The first country in the world to legalize same-sex marriage on full equal terms with traditional marriage. - **Belgium (2003):** The second country. - **Spain and Canada (2005):** Joined the list in the same year. - **South Africa (2006):** The first African country, imposed by a constitutional court ruling. - **Norway and Sweden (2009):** Nordic countries joined. - **Portugal, Iceland, and Argentina (2010):** Expansion in Latin America and Europe. - **France, the United Kingdom, Uruguay, and New Zealand (2013):** A year that saw legislation across several continents.</w:t>
      </w:r>
    </w:p>
    <w:p>
      <w:pPr>
        <w:spacing w:after="160"/>
        <w:jc w:val="left"/>
      </w:pPr>
      <w:r>
        <w:rPr>
          <w:sz w:val="22"/>
          <w:szCs w:val="22"/>
        </w:rPr>
        <w:t xml:space="preserve">The list expanded to include today more than 35 countries. It is important to note the geography: the list is almost entirely confined to Western and Northern Europe, North America, South America, Australia, and New Zealand — with limited exceptions (such as Taiwan and Thailand, 2025). Africa, the Middle East, and most of Asia (excluding Taiwan, Thailand, and Nepal) have largely retained the traditional position.</w:t>
      </w:r>
    </w:p>
    <w:p>
      <w:pPr>
        <w:spacing w:after="160"/>
        <w:jc w:val="left"/>
      </w:pPr>
      <w:r>
        <w:rPr>
          <w:sz w:val="22"/>
          <w:szCs w:val="22"/>
        </w:rPr>
        <w:t xml:space="preserve">## The United States: Obergefell (2015)</w:t>
      </w:r>
    </w:p>
    <w:p>
      <w:pPr>
        <w:spacing w:after="160"/>
        <w:jc w:val="left"/>
      </w:pPr>
      <w:r>
        <w:rPr>
          <w:sz w:val="22"/>
          <w:szCs w:val="22"/>
        </w:rPr>
        <w:t xml:space="preserve">In the United States, the transition was gradual. In 2003, the Supreme Court ruled in *Lawrence v. Texas*, striking down all state laws that criminalized consenting adult same-sex relations. In 2004, Massachusetts became the first state to legalize same-sex marriage. States followed in succession.</w:t>
      </w:r>
    </w:p>
    <w:p>
      <w:pPr>
        <w:spacing w:after="160"/>
        <w:jc w:val="left"/>
      </w:pPr>
      <w:r>
        <w:rPr>
          <w:sz w:val="22"/>
          <w:szCs w:val="22"/>
        </w:rPr>
        <w:t xml:space="preserve">In 2013, the Supreme Court ruled in *United States v. Windsor*, striking down part of the Defense of Marriage Act (DOMA) that had restricted federal recognition to marriage between a man and a woman.</w:t>
      </w:r>
    </w:p>
    <w:p>
      <w:pPr>
        <w:spacing w:after="160"/>
        <w:jc w:val="left"/>
      </w:pPr>
      <w:r>
        <w:rPr>
          <w:sz w:val="22"/>
          <w:szCs w:val="22"/>
        </w:rPr>
        <w:t xml:space="preserve">On June 26, 2015, the Supreme Court issued its historic ruling in *Obergefell v. Hodges*, holding that the U.S. Constitution guarantees the right of homosexuals to marry in all states. The ruling came by a 5–4 majority, with a strong opinion authored by Justice Anthony Kennedy. The dissenting justices (Antonin Scalia, Clarence Thomas, Samuel Alito, John Roberts) wrote vigorous dissents arguing that the decision exceeded judicial authority.</w:t>
      </w:r>
    </w:p>
    <w:p>
      <w:pPr>
        <w:spacing w:after="160"/>
        <w:jc w:val="left"/>
      </w:pPr>
      <w:r>
        <w:rPr>
          <w:sz w:val="22"/>
          <w:szCs w:val="22"/>
        </w:rPr>
        <w:t xml:space="preserve">## Adoption and Family Rights</w:t>
      </w:r>
    </w:p>
    <w:p>
      <w:pPr>
        <w:spacing w:after="160"/>
        <w:jc w:val="left"/>
      </w:pPr>
      <w:r>
        <w:rPr>
          <w:sz w:val="22"/>
          <w:szCs w:val="22"/>
        </w:rPr>
        <w:t xml:space="preserve">Adoption laws evolved in parallel. In most countries that legalized same-sex marriage, joint adoption was later permitted. Likewise, "Assisted Reproductive Technology" expanded to include surrogacy and donor insemination, opening the door to forming families with two parents of the same sex.</w:t>
      </w:r>
    </w:p>
    <w:p>
      <w:pPr>
        <w:spacing w:after="160"/>
        <w:jc w:val="left"/>
      </w:pPr>
      <w:r>
        <w:rPr>
          <w:sz w:val="22"/>
          <w:szCs w:val="22"/>
        </w:rPr>
        <w:t xml:space="preserve">These developments raised ethical debate around the child's interest, the child's right to know biological parents, the child's right to be raised under the care of a mother and father, and other issues that remain contested.</w:t>
      </w:r>
    </w:p>
    <w:p>
      <w:pPr>
        <w:spacing w:after="160"/>
        <w:jc w:val="left"/>
      </w:pPr>
      <w:r>
        <w:rPr>
          <w:sz w:val="22"/>
          <w:szCs w:val="22"/>
        </w:rPr>
        <w:t xml:space="preserve">## Anti-Discrimination Laws</w:t>
      </w:r>
    </w:p>
    <w:p>
      <w:pPr>
        <w:spacing w:after="160"/>
        <w:jc w:val="left"/>
      </w:pPr>
      <w:r>
        <w:rPr>
          <w:sz w:val="22"/>
          <w:szCs w:val="22"/>
        </w:rPr>
        <w:t xml:space="preserve">Alongside marriage, "anti-discrimination" laws expanded in most Western countries to include sexual orientation and gender identity. These laws prohibit employers, schools, businesses, and others from discriminating against persons on the basis of orientation. Examples include the U.K. Equality Act (2010) and the U.S. Supreme Court's decision in *Bostock v. Clayton County* (2020), which held that discrimination based on sexual orientation constitutes sex discrimination under federal law.</w:t>
      </w:r>
    </w:p>
    <w:p>
      <w:pPr>
        <w:spacing w:after="160"/>
        <w:jc w:val="left"/>
      </w:pPr>
      <w:r>
        <w:rPr>
          <w:sz w:val="22"/>
          <w:szCs w:val="22"/>
        </w:rPr>
        <w:t xml:space="preserve">Paradoxically, these laws — which began as protective laws — have transformed in some contexts into laws that compel believers and conservatives to act in ways contrary to their convictions. Among the most prominent cases is the Masterpiece Cakeshop case (2018) and other cases involving photographers, florists, and religious schools. These tensions between "rights" and "religious freedom" form one of the most important current judicial frontiers.</w:t>
      </w:r>
    </w:p>
    <w:p>
      <w:pPr>
        <w:spacing w:after="160"/>
        <w:jc w:val="left"/>
      </w:pPr>
      <w:r>
        <w:rPr>
          <w:sz w:val="22"/>
          <w:szCs w:val="22"/>
        </w:rPr>
        <w:t xml:space="preserve">## Pride Month: From Protest to Marketplace</w:t>
      </w:r>
    </w:p>
    <w:p>
      <w:pPr>
        <w:spacing w:after="160"/>
        <w:jc w:val="left"/>
      </w:pPr>
      <w:r>
        <w:rPr>
          <w:sz w:val="22"/>
          <w:szCs w:val="22"/>
        </w:rPr>
        <w:t xml:space="preserve">June each year has become "Pride Month" globally. The beginning was the Christopher Street Liberation Day on June 28, 1970, commemorating Stonewall. But the celebration evolved dramatically.</w:t>
      </w:r>
    </w:p>
    <w:p>
      <w:pPr>
        <w:spacing w:after="160"/>
        <w:jc w:val="left"/>
      </w:pPr>
      <w:r>
        <w:rPr>
          <w:sz w:val="22"/>
          <w:szCs w:val="22"/>
        </w:rPr>
        <w:t xml:space="preserve">In recent years, most major global corporations — from Google, Apple, and Facebook to Disney, Coca-Cola, and Starbucks — change their logos to rainbow colors throughout June, launch "Pride Edition" products, and hold internal celebrations for employees. The press has described this phenomenon as "Rainbow Capitalism" or "Pinkwashing." Paradoxically, these same companies often avoid rainbow logos in their Middle East or China branches, revealing a commercial calculation more than ideological commitment.</w:t>
      </w:r>
    </w:p>
    <w:p>
      <w:pPr>
        <w:spacing w:after="160"/>
        <w:jc w:val="left"/>
      </w:pPr>
      <w:r>
        <w:rPr>
          <w:sz w:val="22"/>
          <w:szCs w:val="22"/>
        </w:rPr>
        <w:t xml:space="preserve">Backlash has begun. In 2023, Bud Light — one of the largest American beer brands — lost a substantial portion of its market share following a marketing campaign featuring a transgender collaborator, in what became known as the "Bud Light Effect." This has pushed other companies to reduce their public support displays. As a result, recent years have seen a relative pullback in "Rainbow Capitalism."</w:t>
      </w:r>
    </w:p>
    <w:p>
      <w:pPr>
        <w:spacing w:after="160"/>
        <w:jc w:val="left"/>
      </w:pPr>
      <w:r>
        <w:rPr>
          <w:sz w:val="22"/>
          <w:szCs w:val="22"/>
        </w:rPr>
        <w:t xml:space="preserve">## The Turn to the Transgender Question</w:t>
      </w:r>
    </w:p>
    <w:p>
      <w:pPr>
        <w:spacing w:after="160"/>
        <w:jc w:val="left"/>
      </w:pPr>
      <w:r>
        <w:rPr>
          <w:sz w:val="22"/>
          <w:szCs w:val="22"/>
        </w:rPr>
        <w:t xml:space="preserve">In the last decade (2015 onward), the movement's focus shifted noticeably from classical homosexuality issues (LGB) to transgender issues (T). "Gender identity" issues moved to the foreground, particularly with respect to children and adolescents.</w:t>
      </w:r>
    </w:p>
    <w:p>
      <w:pPr>
        <w:spacing w:after="160"/>
        <w:jc w:val="left"/>
      </w:pPr>
      <w:r>
        <w:rPr>
          <w:sz w:val="22"/>
          <w:szCs w:val="22"/>
        </w:rPr>
        <w:t xml:space="preserve">This shift produced division within the movement itself. Classical feminist voices (such as J. K. Rowling, Julie Long, and Kathleen Stock) emerged criticizing what they call the "erasure of women" in the name of gender identity, and the term "TERF" (Trans-Exclusionary Radical Feminist) emerged as mockery. Voices also emerged from within the classical gay movement seeing the issues as having been hijacked, with adolescents pushed toward irreversible hormonal and surgical treatments.</w:t>
      </w:r>
    </w:p>
    <w:p>
      <w:pPr>
        <w:spacing w:after="160"/>
        <w:jc w:val="left"/>
      </w:pPr>
      <w:r>
        <w:rPr>
          <w:sz w:val="22"/>
          <w:szCs w:val="22"/>
        </w:rPr>
        <w:t xml:space="preserve">Among the most prominent of these critiques: the Cass Review, issued in the United Kingdom in April 2024 under Dr. Hilary Cass, which concluded — after reviewing scientific evidence — that the evidence for the effectiveness of puberty blockers and hormonal treatment in children was "remarkably weak," and recommended slowing pediatric gender intervention. The report led to changes in the National Health Service (NHS) policies.</w:t>
      </w:r>
    </w:p>
    <w:p>
      <w:pPr>
        <w:spacing w:after="160"/>
        <w:jc w:val="left"/>
      </w:pPr>
      <w:r>
        <w:rPr>
          <w:sz w:val="22"/>
          <w:szCs w:val="22"/>
        </w:rPr>
        <w:t xml:space="preserve">## The Counter-Movement</w:t>
      </w:r>
    </w:p>
    <w:p>
      <w:pPr>
        <w:spacing w:after="160"/>
        <w:jc w:val="left"/>
      </w:pPr>
      <w:r>
        <w:rPr>
          <w:sz w:val="22"/>
          <w:szCs w:val="22"/>
        </w:rPr>
        <w:t xml:space="preserve">Alongside the movement's progress, counter-movements emerged in several countries. In Russia, an "anti-gay propaganda law" was enacted (2013) and later expanded. In Uganda, an "Anti-Homosexuality Act" was passed (2023) with severe penalties. In many African and Middle Eastern countries, criminalization remains. In the United States, recent years (2022–2024) have seen a series of state laws restricting youth gender medicine or regulating school books.</w:t>
      </w:r>
    </w:p>
    <w:p>
      <w:pPr>
        <w:spacing w:after="160"/>
        <w:jc w:val="left"/>
      </w:pPr>
      <w:r>
        <w:rPr>
          <w:sz w:val="22"/>
          <w:szCs w:val="22"/>
        </w:rPr>
        <w:t xml:space="preserve">It is important to acknowledge that this counter-movement is not all of one kind. Some are based on religious grounds (Africa and the Middle East), some on classical liberal grounds (the West), some on scientific and precautionary grounds (as in the Cass Review). Equating them all — as some organizations do — confuses the matter.</w:t>
      </w:r>
    </w:p>
    <w:p>
      <w:pPr>
        <w:spacing w:after="160"/>
        <w:jc w:val="left"/>
      </w:pPr>
      <w:r>
        <w:rPr>
          <w:sz w:val="22"/>
          <w:szCs w:val="22"/>
        </w:rPr>
        <w:t xml:space="preserve">## Chapter Summary</w:t>
      </w:r>
    </w:p>
    <w:p>
      <w:pPr>
        <w:spacing w:after="160"/>
        <w:jc w:val="left"/>
      </w:pPr>
      <w:r>
        <w:rPr>
          <w:sz w:val="22"/>
          <w:szCs w:val="22"/>
        </w:rPr>
        <w:t xml:space="preserve">The first two decades of the twenty-first century saw the movement's greatest gains in its history: marriage legalization in over 35 countries, anti-discrimination laws, dominant media presence, and corporate adoption. At the same time, fissures have begun to appear: internal between movement factions, and external in the form of counter-movements. The battle has not ended; it is entering a new phase. And God knows best.</w:t>
      </w:r>
    </w:p>
    <w:p>
      <w:r>
        <w:br w:type="page"/>
      </w:r>
    </w:p>
    <w:p>
      <w:pPr>
        <w:spacing w:after="360" w:before="600"/>
        <w:jc w:val="center"/>
      </w:pPr>
      <w:r>
        <w:rPr>
          <w:b/>
          <w:bCs/>
          <w:color w:val="1B3A5C"/>
          <w:sz w:val="36"/>
          <w:szCs w:val="36"/>
        </w:rPr>
        <w:t xml:space="preserve">Chapter Eight: Sources of Influence and Power</w:t>
      </w:r>
    </w:p>
    <w:p>
      <w:pPr>
        <w:spacing w:after="160"/>
        <w:jc w:val="left"/>
      </w:pPr>
      <w:r>
        <w:rPr>
          <w:sz w:val="22"/>
          <w:szCs w:val="22"/>
        </w:rPr>
        <w:t xml:space="preserve">"And had your Lord willed, He could have made humanity one community; but they will not cease to differ." (Qur'an, Hūd 11:118)</w:t>
      </w:r>
    </w:p>
    <w:p>
      <w:pPr>
        <w:spacing w:after="160"/>
        <w:jc w:val="left"/>
      </w:pPr>
      <w:r>
        <w:rPr>
          <w:sz w:val="22"/>
          <w:szCs w:val="22"/>
        </w:rPr>
        <w:t xml:space="preserve">## Introduction: Why This Chapter Is Necessary</w:t>
      </w:r>
    </w:p>
    <w:p>
      <w:pPr>
        <w:spacing w:after="160"/>
        <w:jc w:val="left"/>
      </w:pPr>
      <w:r>
        <w:rPr>
          <w:sz w:val="22"/>
          <w:szCs w:val="22"/>
        </w:rPr>
        <w:t xml:space="preserve">The contemporary LGBTQ movement's rise from margin to center within half a century was not the fruit of a "natural triumph of right," as some popular writings claim, nor of a "cosmic conspiracy," as some counter-writings claim. It is the result of organized, skilled work that mobilized a complex network of resources, institutions, and channels. Understanding this network is necessary for anyone who wants to understand the era — whether to support, critique, or simply describe it accurately.</w:t>
      </w:r>
    </w:p>
    <w:p>
      <w:pPr>
        <w:spacing w:after="160"/>
        <w:jc w:val="left"/>
      </w:pPr>
      <w:r>
        <w:rPr>
          <w:sz w:val="22"/>
          <w:szCs w:val="22"/>
        </w:rPr>
        <w:t xml:space="preserve">What follows describes documented facts in the organizations' own reports and in the financial press, not accusations or fabrications.</w:t>
      </w:r>
    </w:p>
    <w:p>
      <w:pPr>
        <w:spacing w:after="160"/>
        <w:jc w:val="left"/>
      </w:pPr>
      <w:r>
        <w:rPr>
          <w:sz w:val="22"/>
          <w:szCs w:val="22"/>
        </w:rPr>
        <w:t xml:space="preserve">## First: Rights Organizations</w:t>
      </w:r>
    </w:p>
    <w:p>
      <w:pPr>
        <w:spacing w:after="160"/>
        <w:jc w:val="left"/>
      </w:pPr>
      <w:r>
        <w:rPr>
          <w:sz w:val="22"/>
          <w:szCs w:val="22"/>
        </w:rPr>
        <w:t xml:space="preserve">The largest activist organizations in the English-speaking world:</w:t>
      </w:r>
    </w:p>
    <w:p>
      <w:pPr>
        <w:spacing w:after="160"/>
        <w:jc w:val="left"/>
      </w:pPr>
      <w:r>
        <w:rPr>
          <w:sz w:val="22"/>
          <w:szCs w:val="22"/>
        </w:rPr>
        <w:t xml:space="preserve">**1. Human Rights Campaign (HRC):** The largest LGBTQ rights advocacy organization in the United States, founded in 1980. Its annual budget exceeds $50 million. It publishes annually the "Corporate Equality Index" (CEI), which rates corporations based on their policies toward LGBTQ employees, and this index has become a pressure tool on corporations.</w:t>
      </w:r>
    </w:p>
    <w:p>
      <w:pPr>
        <w:spacing w:after="160"/>
        <w:jc w:val="left"/>
      </w:pPr>
      <w:r>
        <w:rPr>
          <w:sz w:val="22"/>
          <w:szCs w:val="22"/>
        </w:rPr>
        <w:t xml:space="preserve">**2. GLAAD:** Founded in 1985, focused on media. It publishes an annual report measuring the presence of LGBTQ characters on television and in cinema (*Where We Are on TV*).</w:t>
      </w:r>
    </w:p>
    <w:p>
      <w:pPr>
        <w:spacing w:after="160"/>
        <w:jc w:val="left"/>
      </w:pPr>
      <w:r>
        <w:rPr>
          <w:sz w:val="22"/>
          <w:szCs w:val="22"/>
        </w:rPr>
        <w:t xml:space="preserve">**3. Lambda Legal:** A legal organization founded in 1973, litigating LGBTQ rights cases, having played a central role in many landmark cases.</w:t>
      </w:r>
    </w:p>
    <w:p>
      <w:pPr>
        <w:spacing w:after="160"/>
        <w:jc w:val="left"/>
      </w:pPr>
      <w:r>
        <w:rPr>
          <w:sz w:val="22"/>
          <w:szCs w:val="22"/>
        </w:rPr>
        <w:t xml:space="preserve">**4. The American Civil Liberties Union (ACLU):** Has had an "LGBT Rights Project" for decades.</w:t>
      </w:r>
    </w:p>
    <w:p>
      <w:pPr>
        <w:spacing w:after="160"/>
        <w:jc w:val="left"/>
      </w:pPr>
      <w:r>
        <w:rPr>
          <w:sz w:val="22"/>
          <w:szCs w:val="22"/>
        </w:rPr>
        <w:t xml:space="preserve">**5. Stonewall in the United Kingdom:** The largest organization of its kind in Britain, founded in 1989.</w:t>
      </w:r>
    </w:p>
    <w:p>
      <w:pPr>
        <w:spacing w:after="160"/>
        <w:jc w:val="left"/>
      </w:pPr>
      <w:r>
        <w:rPr>
          <w:sz w:val="22"/>
          <w:szCs w:val="22"/>
        </w:rPr>
        <w:t xml:space="preserve">**6. ILGA (International Lesbian, Gay, Bisexual, Trans, and Intersex Association):** An international organization founded in 1978, coordinating activity in over 160 countries.</w:t>
      </w:r>
    </w:p>
    <w:p>
      <w:pPr>
        <w:spacing w:after="160"/>
        <w:jc w:val="left"/>
      </w:pPr>
      <w:r>
        <w:rPr>
          <w:sz w:val="22"/>
          <w:szCs w:val="22"/>
        </w:rPr>
        <w:t xml:space="preserve">It is important to note that many of these organizations have consultative status at the United Nations, giving them weight in formulating international reports and resolutions.</w:t>
      </w:r>
    </w:p>
    <w:p>
      <w:pPr>
        <w:spacing w:after="160"/>
        <w:jc w:val="left"/>
      </w:pPr>
      <w:r>
        <w:rPr>
          <w:sz w:val="22"/>
          <w:szCs w:val="22"/>
        </w:rPr>
        <w:t xml:space="preserve">## Second: Major Funding Networks</w:t>
      </w:r>
    </w:p>
    <w:p>
      <w:pPr>
        <w:spacing w:after="160"/>
        <w:jc w:val="left"/>
      </w:pPr>
      <w:r>
        <w:rPr>
          <w:sz w:val="22"/>
          <w:szCs w:val="22"/>
        </w:rPr>
        <w:t xml:space="preserve">Among the most prominent funders:</w:t>
      </w:r>
    </w:p>
    <w:p>
      <w:pPr>
        <w:spacing w:after="160"/>
        <w:jc w:val="left"/>
      </w:pPr>
      <w:r>
        <w:rPr>
          <w:sz w:val="22"/>
          <w:szCs w:val="22"/>
        </w:rPr>
        <w:t xml:space="preserve">**1. The Arcus Foundation:** Founded by businessman Jon Stryker in 2000. Provides grants exceeding $25 million annually for LGBTQ and great ape conservation issues (an interesting paradox). Funds organizations in over 50 countries, especially in the Global South.</w:t>
      </w:r>
    </w:p>
    <w:p>
      <w:pPr>
        <w:spacing w:after="160"/>
        <w:jc w:val="left"/>
      </w:pPr>
      <w:r>
        <w:rPr>
          <w:sz w:val="22"/>
          <w:szCs w:val="22"/>
        </w:rPr>
        <w:t xml:space="preserve">**2. The Tides Foundation:** The largest progressive funding network in the United States. Receives funds from major donors and distributes them to organizations according to ideological priorities. It has played a major role in funding LGBTQ causes.</w:t>
      </w:r>
    </w:p>
    <w:p>
      <w:pPr>
        <w:spacing w:after="160"/>
        <w:jc w:val="left"/>
      </w:pPr>
      <w:r>
        <w:rPr>
          <w:sz w:val="22"/>
          <w:szCs w:val="22"/>
        </w:rPr>
        <w:t xml:space="preserve">**3. George Soros's Open Society Foundations:** Spend billions annually on multiple issues, including LGBTQ rights in the Global South.</w:t>
      </w:r>
    </w:p>
    <w:p>
      <w:pPr>
        <w:spacing w:after="160"/>
        <w:jc w:val="left"/>
      </w:pPr>
      <w:r>
        <w:rPr>
          <w:sz w:val="22"/>
          <w:szCs w:val="22"/>
        </w:rPr>
        <w:t xml:space="preserve">**4. The Ford Foundation:** With assets exceeding $14 billion, supports LGBTQ rights organizations within its civil rights programs.</w:t>
      </w:r>
    </w:p>
    <w:p>
      <w:pPr>
        <w:spacing w:after="160"/>
        <w:jc w:val="left"/>
      </w:pPr>
      <w:r>
        <w:rPr>
          <w:sz w:val="22"/>
          <w:szCs w:val="22"/>
        </w:rPr>
        <w:t xml:space="preserve">**5. Individual giving network:** Wealthy individuals such as Tim Gill (founder of Quark software), who dedicated a substantial portion of his wealth to the "Gill Action" project for legislative pressure in U.S. states.</w:t>
      </w:r>
    </w:p>
    <w:p>
      <w:pPr>
        <w:spacing w:after="160"/>
        <w:jc w:val="left"/>
      </w:pPr>
      <w:r>
        <w:rPr>
          <w:sz w:val="22"/>
          <w:szCs w:val="22"/>
        </w:rPr>
        <w:t xml:space="preserve">According to Funders for LGBTQ Issues' "Global Resources Report," total global funding for LGBTQ causes reached approximately $760 million in 2021 — a figure exceeding the budgets of some small countries in a single program.</w:t>
      </w:r>
    </w:p>
    <w:p>
      <w:pPr>
        <w:spacing w:after="160"/>
        <w:jc w:val="left"/>
      </w:pPr>
      <w:r>
        <w:rPr>
          <w:sz w:val="22"/>
          <w:szCs w:val="22"/>
        </w:rPr>
        <w:t xml:space="preserve">## Third: Major Corporations and ESG Frameworks</w:t>
      </w:r>
    </w:p>
    <w:p>
      <w:pPr>
        <w:spacing w:after="160"/>
        <w:jc w:val="left"/>
      </w:pPr>
      <w:r>
        <w:rPr>
          <w:sz w:val="22"/>
          <w:szCs w:val="22"/>
        </w:rPr>
        <w:t xml:space="preserve">Corporate adoption of the cause began in the 1990s but accelerated unprecedentedly after 2015. The driving factors are multiple:</w:t>
      </w:r>
    </w:p>
    <w:p>
      <w:pPr>
        <w:spacing w:after="160"/>
        <w:jc w:val="left"/>
      </w:pPr>
      <w:r>
        <w:rPr>
          <w:sz w:val="22"/>
          <w:szCs w:val="22"/>
        </w:rPr>
        <w:t xml:space="preserve">**1. The Corporate Equality Index (CEI):** As mentioned, HRC publishes an annual ranking of corporations. Companies that receive a "100%" rating are celebrated in the media, while those that decline are criticized. This ranking has become a powerful pressure tool.</w:t>
      </w:r>
    </w:p>
    <w:p>
      <w:pPr>
        <w:spacing w:after="160"/>
        <w:jc w:val="left"/>
      </w:pPr>
      <w:r>
        <w:rPr>
          <w:sz w:val="22"/>
          <w:szCs w:val="22"/>
        </w:rPr>
        <w:t xml:space="preserve">**2. ESG (Environmental, Social, and Governance) frameworks:** Major investment funds such as BlackRock began including "diversity and inclusion" (DEI) standards — which include LGBTQ policies — within their investment criteria. This gave rights organizations a tool to pressure companies: comply or lose investment.</w:t>
      </w:r>
    </w:p>
    <w:p>
      <w:pPr>
        <w:spacing w:after="160"/>
        <w:jc w:val="left"/>
      </w:pPr>
      <w:r>
        <w:rPr>
          <w:sz w:val="22"/>
          <w:szCs w:val="22"/>
        </w:rPr>
        <w:t xml:space="preserve">**3. Marketing:** Companies discovered that homosexuals are a high-income market (the "Pink Dollar"), driving advertising and targeted products.</w:t>
      </w:r>
    </w:p>
    <w:p>
      <w:pPr>
        <w:spacing w:after="160"/>
        <w:jc w:val="left"/>
      </w:pPr>
      <w:r>
        <w:rPr>
          <w:sz w:val="22"/>
          <w:szCs w:val="22"/>
        </w:rPr>
        <w:t xml:space="preserve">**4. Employment policies:** Large corporations imposed strict anti-discrimination policies and created "Employee Resource Groups" (ERGs) for LGBTQ employees.</w:t>
      </w:r>
    </w:p>
    <w:p>
      <w:pPr>
        <w:spacing w:after="160"/>
        <w:jc w:val="left"/>
      </w:pPr>
      <w:r>
        <w:rPr>
          <w:sz w:val="22"/>
          <w:szCs w:val="22"/>
        </w:rPr>
        <w:t xml:space="preserve">The paradox, as we noted in the previous chapter, is that backlash has begun to appear (the "Bud Light Effect"), pushing some companies to soften their public displays.</w:t>
      </w:r>
    </w:p>
    <w:p>
      <w:pPr>
        <w:spacing w:after="160"/>
        <w:jc w:val="left"/>
      </w:pPr>
      <w:r>
        <w:rPr>
          <w:sz w:val="22"/>
          <w:szCs w:val="22"/>
        </w:rPr>
        <w:t xml:space="preserve">## Fourth: Media Representation</w:t>
      </w:r>
    </w:p>
    <w:p>
      <w:pPr>
        <w:spacing w:after="160"/>
        <w:jc w:val="left"/>
      </w:pPr>
      <w:r>
        <w:rPr>
          <w:sz w:val="22"/>
          <w:szCs w:val="22"/>
        </w:rPr>
        <w:t xml:space="preserve">Media has been a central tool in normalizing the movement:</w:t>
      </w:r>
    </w:p>
    <w:p>
      <w:pPr>
        <w:spacing w:after="160"/>
        <w:jc w:val="left"/>
      </w:pPr>
      <w:r>
        <w:rPr>
          <w:sz w:val="22"/>
          <w:szCs w:val="22"/>
        </w:rPr>
        <w:t xml:space="preserve">**1. GLAAD's annual reports:** Track the number of LGBTQ characters on television. In 2022–2023, 11.9% of major U.S. broadcast television characters were LGBTQ — much higher than the actual census proportion.</w:t>
      </w:r>
    </w:p>
    <w:p>
      <w:pPr>
        <w:spacing w:after="160"/>
        <w:jc w:val="left"/>
      </w:pPr>
      <w:r>
        <w:rPr>
          <w:sz w:val="22"/>
          <w:szCs w:val="22"/>
        </w:rPr>
        <w:t xml:space="preserve">**2. Streaming platforms:** Netflix, Amazon, Disney+, and others have explicit policies promoting diversity, including LGBTQ characters.</w:t>
      </w:r>
    </w:p>
    <w:p>
      <w:pPr>
        <w:spacing w:after="160"/>
        <w:jc w:val="left"/>
      </w:pPr>
      <w:r>
        <w:rPr>
          <w:sz w:val="22"/>
          <w:szCs w:val="22"/>
        </w:rPr>
        <w:t xml:space="preserve">**3. Disney films:** Disney — which had been a symbol of the traditional family — became controversial after including same-sex scenes and messages in films aimed at children.</w:t>
      </w:r>
    </w:p>
    <w:p>
      <w:pPr>
        <w:spacing w:after="160"/>
        <w:jc w:val="left"/>
      </w:pPr>
      <w:r>
        <w:rPr>
          <w:sz w:val="22"/>
          <w:szCs w:val="22"/>
        </w:rPr>
        <w:t xml:space="preserve">**4. Serious journalism:** Newspapers such as *The New York Times*, *The Guardian*, and *The Washington Post* have consistently supportive coverage, while critical coverage remains confined to limited outlets and writers.</w:t>
      </w:r>
    </w:p>
    <w:p>
      <w:pPr>
        <w:spacing w:after="160"/>
        <w:jc w:val="left"/>
      </w:pPr>
      <w:r>
        <w:rPr>
          <w:sz w:val="22"/>
          <w:szCs w:val="22"/>
        </w:rPr>
        <w:t xml:space="preserve">**5. Social media platforms:** Twitter/X, Facebook, Instagram, and YouTube policies included rules prohibiting "hate speech," and these rules have been applied in many cases to posts critical of the movement, even when expressed from a traditional religious perspective.</w:t>
      </w:r>
    </w:p>
    <w:p>
      <w:pPr>
        <w:spacing w:after="160"/>
        <w:jc w:val="left"/>
      </w:pPr>
      <w:r>
        <w:rPr>
          <w:sz w:val="22"/>
          <w:szCs w:val="22"/>
        </w:rPr>
        <w:t xml:space="preserve">## Fifth: Academic Institutions</w:t>
      </w:r>
    </w:p>
    <w:p>
      <w:pPr>
        <w:spacing w:after="160"/>
        <w:jc w:val="left"/>
      </w:pPr>
      <w:r>
        <w:rPr>
          <w:sz w:val="22"/>
          <w:szCs w:val="22"/>
        </w:rPr>
        <w:t xml:space="preserve">**1. Gender and sexuality studies departments:** Spread in American and European universities since the 1970s, becoming an established field with its professors, journals, and textbooks.</w:t>
      </w:r>
    </w:p>
    <w:p>
      <w:pPr>
        <w:spacing w:after="160"/>
        <w:jc w:val="left"/>
      </w:pPr>
      <w:r>
        <w:rPr>
          <w:sz w:val="22"/>
          <w:szCs w:val="22"/>
        </w:rPr>
        <w:t xml:space="preserve">**2. Peer review:** Studies supporting the traditional position face difficulties publishing in major journals, as occurred with Mark Regnerus's study (2012), which faced sharp criticism and campaigns to discredit it.</w:t>
      </w:r>
    </w:p>
    <w:p>
      <w:pPr>
        <w:spacing w:after="160"/>
        <w:jc w:val="left"/>
      </w:pPr>
      <w:r>
        <w:rPr>
          <w:sz w:val="22"/>
          <w:szCs w:val="22"/>
        </w:rPr>
        <w:t xml:space="preserve">**3. Professional associations:** The American Psychiatric Association (APA), the American Academy of Pediatrics (AAP), and the American Medical Association (AMA) have all adopted official supportive positions. This has meant that physicians who dissent may face professional consequences.</w:t>
      </w:r>
    </w:p>
    <w:p>
      <w:pPr>
        <w:spacing w:after="160"/>
        <w:jc w:val="left"/>
      </w:pPr>
      <w:r>
        <w:rPr>
          <w:sz w:val="22"/>
          <w:szCs w:val="22"/>
        </w:rPr>
        <w:t xml:space="preserve">**4. Academic conduct codes:** Some universities require researchers to commit to "diversity statements" in employment applications, effectively excluding those with traditional positions.</w:t>
      </w:r>
    </w:p>
    <w:p>
      <w:pPr>
        <w:spacing w:after="160"/>
        <w:jc w:val="left"/>
      </w:pPr>
      <w:r>
        <w:rPr>
          <w:sz w:val="22"/>
          <w:szCs w:val="22"/>
        </w:rPr>
        <w:t xml:space="preserve">## Sixth: International Institutions</w:t>
      </w:r>
    </w:p>
    <w:p>
      <w:pPr>
        <w:spacing w:after="160"/>
        <w:jc w:val="left"/>
      </w:pPr>
      <w:r>
        <w:rPr>
          <w:sz w:val="22"/>
          <w:szCs w:val="22"/>
        </w:rPr>
        <w:t xml:space="preserve">**1. The United Nations:** An "Independent Expert on protection against violence and discrimination based on sexual orientation and gender identity" was appointed in 2016. Annual reports critique countries that do not comply with the proposed international standards.</w:t>
      </w:r>
    </w:p>
    <w:p>
      <w:pPr>
        <w:spacing w:after="160"/>
        <w:jc w:val="left"/>
      </w:pPr>
      <w:r>
        <w:rPr>
          <w:sz w:val="22"/>
          <w:szCs w:val="22"/>
        </w:rPr>
        <w:t xml:space="preserve">**2. The World Bank:** Has in some cases linked its loans to country policies on homosexuals. For example, it suspended loans to Uganda after the 2023 law.</w:t>
      </w:r>
    </w:p>
    <w:p>
      <w:pPr>
        <w:spacing w:after="160"/>
        <w:jc w:val="left"/>
      </w:pPr>
      <w:r>
        <w:rPr>
          <w:sz w:val="22"/>
          <w:szCs w:val="22"/>
        </w:rPr>
        <w:t xml:space="preserve">**3. The European Union:** A condition for accession in many cases.</w:t>
      </w:r>
    </w:p>
    <w:p>
      <w:pPr>
        <w:spacing w:after="160"/>
        <w:jc w:val="left"/>
      </w:pPr>
      <w:r>
        <w:rPr>
          <w:sz w:val="22"/>
          <w:szCs w:val="22"/>
        </w:rPr>
        <w:t xml:space="preserve">**4. U.S. foreign policy:** Especially under President Barack Obama and then Joe Biden, the administration adopted advancing LGBTQ rights as a priority in foreign policy, particularly in Africa and the Middle East. This thrust receded relatively under other administrations.</w:t>
      </w:r>
    </w:p>
    <w:p>
      <w:pPr>
        <w:spacing w:after="160"/>
        <w:jc w:val="left"/>
      </w:pPr>
      <w:r>
        <w:rPr>
          <w:sz w:val="22"/>
          <w:szCs w:val="22"/>
        </w:rPr>
        <w:t xml:space="preserve">## Seventh: Tech Platforms</w:t>
      </w:r>
    </w:p>
    <w:p>
      <w:pPr>
        <w:spacing w:after="160"/>
        <w:jc w:val="left"/>
      </w:pPr>
      <w:r>
        <w:rPr>
          <w:sz w:val="22"/>
          <w:szCs w:val="22"/>
        </w:rPr>
        <w:t xml:space="preserve">"Content moderation" policies on major platforms — Twitter/X, Facebook, Instagram, TikTok, YouTube — have classified much traditional religious speech on this subject as "hate speech," resulting in deleted posts or accounts. The platforms differ in the severity of these policies: Twitter after Elon Musk's takeover (2022) eased restrictions, while TikTok and other platforms tightened. The problem here is not necessarily the existence of rules but their inconsistency and selective enforcement.</w:t>
      </w:r>
    </w:p>
    <w:p>
      <w:pPr>
        <w:spacing w:after="160"/>
        <w:jc w:val="left"/>
      </w:pPr>
      <w:r>
        <w:rPr>
          <w:sz w:val="22"/>
          <w:szCs w:val="22"/>
        </w:rPr>
        <w:t xml:space="preserve">## Eighth: Politics and Law</w:t>
      </w:r>
    </w:p>
    <w:p>
      <w:pPr>
        <w:spacing w:after="160"/>
        <w:jc w:val="left"/>
      </w:pPr>
      <w:r>
        <w:rPr>
          <w:sz w:val="22"/>
          <w:szCs w:val="22"/>
        </w:rPr>
        <w:t xml:space="preserve">The movement constitutes a real political force in many Western countries:</w:t>
      </w:r>
    </w:p>
    <w:p>
      <w:pPr>
        <w:spacing w:after="160"/>
        <w:jc w:val="left"/>
      </w:pPr>
      <w:r>
        <w:rPr>
          <w:sz w:val="22"/>
          <w:szCs w:val="22"/>
        </w:rPr>
        <w:t xml:space="preserve">- LGBTQ voter share in U.S. elections: about 7%–8%, sufficient to tip the balance in pivotal states. - Political donations: PACs and other lobbying organizations. - Elected officials: Their numbers in Western parliaments have grown noticeably, including ministers and prime ministers.</w:t>
      </w:r>
    </w:p>
    <w:p>
      <w:pPr>
        <w:spacing w:after="160"/>
        <w:jc w:val="left"/>
      </w:pPr>
      <w:r>
        <w:rPr>
          <w:sz w:val="22"/>
          <w:szCs w:val="22"/>
        </w:rPr>
        <w:t xml:space="preserve">## Chapter Summary: A Network, Not a "Conspiracy"</w:t>
      </w:r>
    </w:p>
    <w:p>
      <w:pPr>
        <w:spacing w:after="160"/>
        <w:jc w:val="left"/>
      </w:pPr>
      <w:r>
        <w:rPr>
          <w:sz w:val="22"/>
          <w:szCs w:val="22"/>
        </w:rPr>
        <w:t xml:space="preserve">What this chapter reveals is that the contemporary movement is not a "conspiracy" in the sense of secret coordination, but a network of organizations, funders, and institutions working in parallel and sometimes in concert to achieve shared aims, with legal, political, media, academic, and corporate channels. Understanding this network does not entail condemning it; it means engaging with reality as it is.</w:t>
      </w:r>
    </w:p>
    <w:p>
      <w:pPr>
        <w:spacing w:after="160"/>
        <w:jc w:val="left"/>
      </w:pPr>
      <w:r>
        <w:rPr>
          <w:sz w:val="22"/>
          <w:szCs w:val="22"/>
        </w:rPr>
        <w:t xml:space="preserve">On the other hand, this network does not mean that everyone who participates in its activities or is influenced by it is "paid off" or "deceived." People are influenced for multiple reasons, and conviction can arise from a sincere source. But it is important, when evaluating the social phenomenon as a whole, to grasp the magnitude of resources and channels driving it, lest we fall into the illusion that it is merely a "natural spread of right." And God knows best.</w:t>
      </w:r>
    </w:p>
    <w:p>
      <w:r>
        <w:br w:type="page"/>
      </w:r>
    </w:p>
    <w:p>
      <w:pPr>
        <w:spacing w:after="360" w:before="600"/>
        <w:jc w:val="center"/>
      </w:pPr>
      <w:r>
        <w:rPr>
          <w:b/>
          <w:bCs/>
          <w:color w:val="1B3A5C"/>
          <w:sz w:val="36"/>
          <w:szCs w:val="36"/>
        </w:rPr>
        <w:t xml:space="preserve">Chapter Nine: Numbers and Statistics</w:t>
      </w:r>
    </w:p>
    <w:p>
      <w:pPr>
        <w:spacing w:after="160"/>
        <w:jc w:val="left"/>
      </w:pPr>
      <w:r>
        <w:rPr>
          <w:sz w:val="22"/>
          <w:szCs w:val="22"/>
        </w:rPr>
        <w:t xml:space="preserve">"And He has enumerated everything in numbers." (Qur'an, al-Jinn 72:28)</w:t>
      </w:r>
    </w:p>
    <w:p>
      <w:pPr>
        <w:spacing w:after="160"/>
        <w:jc w:val="left"/>
      </w:pPr>
      <w:r>
        <w:rPr>
          <w:sz w:val="22"/>
          <w:szCs w:val="22"/>
        </w:rPr>
        <w:t xml:space="preserve">## Introduction to the Measurement Challenge</w:t>
      </w:r>
    </w:p>
    <w:p>
      <w:pPr>
        <w:spacing w:after="160"/>
        <w:jc w:val="left"/>
      </w:pPr>
      <w:r>
        <w:rPr>
          <w:sz w:val="22"/>
          <w:szCs w:val="22"/>
        </w:rPr>
        <w:t xml:space="preserve">Among the most difficult research questions: "What proportion of society is homosexual?" The difficulty has methodological — not ideological — causes: behavior differs from inclination, and inclination differs from declared identity. As we explained in Chapter One, distinguishing between these three levels is essential. When data is collected, the figures vary considerably depending on which level is measured.</w:t>
      </w:r>
    </w:p>
    <w:p>
      <w:pPr>
        <w:spacing w:after="160"/>
        <w:jc w:val="left"/>
      </w:pPr>
      <w:r>
        <w:rPr>
          <w:sz w:val="22"/>
          <w:szCs w:val="22"/>
        </w:rPr>
        <w:t xml:space="preserve">Factors that affect the figures include:</w:t>
      </w:r>
    </w:p>
    <w:p>
      <w:pPr>
        <w:spacing w:after="160"/>
        <w:jc w:val="left"/>
      </w:pPr>
      <w:r>
        <w:rPr>
          <w:sz w:val="22"/>
          <w:szCs w:val="22"/>
        </w:rPr>
        <w:t xml:space="preserve">- **Social stigma:** The greater the stigma, the lower the disclosure rate in surveys. - **Social acceptance:** As acceptance rises, disclosure rises, and self-identification may rise even without changes in behavior. - **Respondent's age:** Younger cohorts identify in higher proportions. - **Survey methodology:** Anonymous surveys differ from face-to-face interviews; online surveys differ from paper surveys.</w:t>
      </w:r>
    </w:p>
    <w:p>
      <w:pPr>
        <w:spacing w:after="160"/>
        <w:jc w:val="left"/>
      </w:pPr>
      <w:r>
        <w:rPr>
          <w:sz w:val="22"/>
          <w:szCs w:val="22"/>
        </w:rPr>
        <w:t xml:space="preserve">Every figure must therefore be read in its methodological context, not torn out of it for political discourse.</w:t>
      </w:r>
    </w:p>
    <w:p>
      <w:pPr>
        <w:spacing w:after="160"/>
        <w:jc w:val="left"/>
      </w:pPr>
      <w:r>
        <w:rPr>
          <w:sz w:val="22"/>
          <w:szCs w:val="22"/>
        </w:rPr>
        <w:t xml:space="preserve">## Classical Statistical Studies</w:t>
      </w:r>
    </w:p>
    <w:p>
      <w:pPr>
        <w:spacing w:after="160"/>
        <w:jc w:val="left"/>
      </w:pPr>
      <w:r>
        <w:rPr>
          <w:sz w:val="22"/>
          <w:szCs w:val="22"/>
        </w:rPr>
        <w:t xml:space="preserve">**Alfred Kinsey (1948, 1953):** As mentioned in Chapter Six, Kinsey estimated the proportion who were "more or less exclusively" homosexual at about 10% of males. But his methods came under sharp criticism, especially regarding sample bias (high proportions of prison inmates and participants who volunteered due to personal interest).</w:t>
      </w:r>
    </w:p>
    <w:p>
      <w:pPr>
        <w:spacing w:after="160"/>
        <w:jc w:val="left"/>
      </w:pPr>
      <w:r>
        <w:rPr>
          <w:sz w:val="22"/>
          <w:szCs w:val="22"/>
        </w:rPr>
        <w:t xml:space="preserve">**Laumann et al. (1994):** *The Social Organization of Sexuality*, the first methodologically broad representative study, found that approximately 2.8% of males and 1.4% of females identified as homosexual or bisexual; that approximately 4.9% of males and 4.1% of females reported having engaged in same-sex behavior in adulthood; and that approximately 7.7% of males and 7.5% of females reported same-sex attraction at some point.</w:t>
      </w:r>
    </w:p>
    <w:p>
      <w:pPr>
        <w:spacing w:after="160"/>
        <w:jc w:val="left"/>
      </w:pPr>
      <w:r>
        <w:rPr>
          <w:sz w:val="22"/>
          <w:szCs w:val="22"/>
        </w:rPr>
        <w:t xml:space="preserve">These figures are notably lower than Kinsey's 10%, and the proportion who "identify as" homosexual is smaller than the proportion who "engage in" the behavior, which in turn is smaller than the proportion who feel "attraction." This confirms the importance of distinguishing the three layers.</w:t>
      </w:r>
    </w:p>
    <w:p>
      <w:pPr>
        <w:spacing w:after="160"/>
        <w:jc w:val="left"/>
      </w:pPr>
      <w:r>
        <w:rPr>
          <w:sz w:val="22"/>
          <w:szCs w:val="22"/>
        </w:rPr>
        <w:t xml:space="preserve">## Recent Studies from Gallup</w:t>
      </w:r>
    </w:p>
    <w:p>
      <w:pPr>
        <w:spacing w:after="160"/>
        <w:jc w:val="left"/>
      </w:pPr>
      <w:r>
        <w:rPr>
          <w:sz w:val="22"/>
          <w:szCs w:val="22"/>
        </w:rPr>
        <w:t xml:space="preserve">The Gallup organization in the United States has tracked the proportion identifying as LGBT since 2012, showing a dramatic increase:</w:t>
      </w:r>
    </w:p>
    <w:p>
      <w:pPr>
        <w:spacing w:after="160"/>
        <w:jc w:val="left"/>
      </w:pPr>
      <w:r>
        <w:rPr>
          <w:sz w:val="22"/>
          <w:szCs w:val="22"/>
        </w:rPr>
        <w:t xml:space="preserve">- **2012:** 3.5% - **2017:** 4.5% - **2020:** 5.6% - **2022:** 7.2% - **2023:** 7.6% - **2024:** approximately 7.6%–8% (preliminary estimates).</w:t>
      </w:r>
    </w:p>
    <w:p>
      <w:pPr>
        <w:spacing w:after="160"/>
        <w:jc w:val="left"/>
      </w:pPr>
      <w:r>
        <w:rPr>
          <w:sz w:val="22"/>
          <w:szCs w:val="22"/>
        </w:rPr>
        <w:t xml:space="preserve">When these figures are broken down by generation, they reveal the large generational divide:</w:t>
      </w:r>
    </w:p>
    <w:p>
      <w:pPr>
        <w:spacing w:after="160"/>
        <w:jc w:val="left"/>
      </w:pPr>
      <w:r>
        <w:rPr>
          <w:sz w:val="22"/>
          <w:szCs w:val="22"/>
        </w:rPr>
        <w:t xml:space="preserve">- **Pre-1946 ("Silent Generation"):** Less than 2%. - **Early Boomers (1946–1964):** Approximately 2.3%. - **Generation X (1965–1980):** Approximately 4.5%. - **Millennials (1981–1996):** Approximately 9.1%. - **Generation Z (born 1997 onward):** Approximately 22.3% in 2023 estimates.</w:t>
      </w:r>
    </w:p>
    <w:p>
      <w:pPr>
        <w:spacing w:after="160"/>
        <w:jc w:val="left"/>
      </w:pPr>
      <w:r>
        <w:rPr>
          <w:sz w:val="22"/>
          <w:szCs w:val="22"/>
        </w:rPr>
        <w:t xml:space="preserve">That is, roughly one in five Generation Z youth in the United States identifies as LGBT.</w:t>
      </w:r>
    </w:p>
    <w:p>
      <w:pPr>
        <w:spacing w:after="160"/>
        <w:jc w:val="left"/>
      </w:pPr>
      <w:r>
        <w:rPr>
          <w:sz w:val="22"/>
          <w:szCs w:val="22"/>
        </w:rPr>
        <w:t xml:space="preserve">## How Should These Numbers Be Interpreted?</w:t>
      </w:r>
    </w:p>
    <w:p>
      <w:pPr>
        <w:spacing w:after="160"/>
        <w:jc w:val="left"/>
      </w:pPr>
      <w:r>
        <w:rPr>
          <w:sz w:val="22"/>
          <w:szCs w:val="22"/>
        </w:rPr>
        <w:t xml:space="preserve">Here a contentious debate enters. There are multiple interpretations, and the truth may combine some of them:</w:t>
      </w:r>
    </w:p>
    <w:p>
      <w:pPr>
        <w:spacing w:after="160"/>
        <w:jc w:val="left"/>
      </w:pPr>
      <w:r>
        <w:rPr>
          <w:sz w:val="22"/>
          <w:szCs w:val="22"/>
        </w:rPr>
        <w:t xml:space="preserve">**First interpretation: Real increase.** Proponents of this interpretation say that earlier figures were underreported due to stigma, and that current figures reflect the actual reality. This is partly reasonable, especially for the early increase.</w:t>
      </w:r>
    </w:p>
    <w:p>
      <w:pPr>
        <w:spacing w:after="160"/>
        <w:jc w:val="left"/>
      </w:pPr>
      <w:r>
        <w:rPr>
          <w:sz w:val="22"/>
          <w:szCs w:val="22"/>
        </w:rPr>
        <w:t xml:space="preserve">**Second interpretation: Increased social acceptance, not increased inclination.** Perhaps social acceptance has revealed an inclination that was already present. This may apply to those identifying as homosexual or bisexual, but it is hard to credit it for the rise from 3.5% to 22.3% in a single decade — it is implausible that such a proportion was "hidden" in just one generation.</w:t>
      </w:r>
    </w:p>
    <w:p>
      <w:pPr>
        <w:spacing w:after="160"/>
        <w:jc w:val="left"/>
      </w:pPr>
      <w:r>
        <w:rPr>
          <w:sz w:val="22"/>
          <w:szCs w:val="22"/>
        </w:rPr>
        <w:t xml:space="preserve">**Third interpretation: Social contagion and identity expansion.** This interpretation holds that some of the increase owes to social, cultural, and media influence: younger cohorts adopt complex identities (Queer, Pansexual, Demisexual, etc.) that may not necessarily entail stable behavior or inclination. Studies have noted that a significant proportion of adolescent girls identify as "bisexual" without having had actual experiences. The researcher Lisa Littman published a controversial study in 2018 about "Rapid Onset Gender Dysphoria," noting that some adolescent girls develop gender and sexual identities in groups.</w:t>
      </w:r>
    </w:p>
    <w:p>
      <w:pPr>
        <w:spacing w:after="160"/>
        <w:jc w:val="left"/>
      </w:pPr>
      <w:r>
        <w:rPr>
          <w:sz w:val="22"/>
          <w:szCs w:val="22"/>
        </w:rPr>
        <w:t xml:space="preserve">**Fourth interpretation: Conceptual expansion.** The category itself may have expanded to include definitions not previously included. American academia today speaks of more than 70 "sexual and gender identities," which was not the case two decades ago.</w:t>
      </w:r>
    </w:p>
    <w:p>
      <w:pPr>
        <w:spacing w:after="160"/>
        <w:jc w:val="left"/>
      </w:pPr>
      <w:r>
        <w:rPr>
          <w:sz w:val="22"/>
          <w:szCs w:val="22"/>
        </w:rPr>
        <w:t xml:space="preserve">The truth may be a mixture: real increase + social acceptance + conceptual expansion + some social contagion.</w:t>
      </w:r>
    </w:p>
    <w:p>
      <w:pPr>
        <w:spacing w:after="160"/>
        <w:jc w:val="left"/>
      </w:pPr>
      <w:r>
        <w:rPr>
          <w:sz w:val="22"/>
          <w:szCs w:val="22"/>
        </w:rPr>
        <w:t xml:space="preserve">## The Gap Between Behavior and Identity</w:t>
      </w:r>
    </w:p>
    <w:p>
      <w:pPr>
        <w:spacing w:after="160"/>
        <w:jc w:val="left"/>
      </w:pPr>
      <w:r>
        <w:rPr>
          <w:sz w:val="22"/>
          <w:szCs w:val="22"/>
        </w:rPr>
        <w:t xml:space="preserve">Among the striking statistics: the proportion who "identify as" LGBT is higher than the proportion who "engaged in" same-sex behavior in the past year. In the U.S. National Survey of Family Growth (2015–2019), the proportion of males who identified as homosexual or bisexual was 5.5%, but the proportion who reported engaging in same-sex behavior in the past year was significantly lower. This means that identity has become broader than behavior, indicating that many who adopt the identity do not necessarily practice it.</w:t>
      </w:r>
    </w:p>
    <w:p>
      <w:pPr>
        <w:spacing w:after="160"/>
        <w:jc w:val="left"/>
      </w:pPr>
      <w:r>
        <w:rPr>
          <w:sz w:val="22"/>
          <w:szCs w:val="22"/>
        </w:rPr>
        <w:t xml:space="preserve">## Geographic Differences</w:t>
      </w:r>
    </w:p>
    <w:p>
      <w:pPr>
        <w:spacing w:after="160"/>
        <w:jc w:val="left"/>
      </w:pPr>
      <w:r>
        <w:rPr>
          <w:sz w:val="22"/>
          <w:szCs w:val="22"/>
        </w:rPr>
        <w:t xml:space="preserve">Proportions vary widely by geography:</w:t>
      </w:r>
    </w:p>
    <w:p>
      <w:pPr>
        <w:spacing w:after="160"/>
        <w:jc w:val="left"/>
      </w:pPr>
      <w:r>
        <w:rPr>
          <w:sz w:val="22"/>
          <w:szCs w:val="22"/>
        </w:rPr>
        <w:t xml:space="preserve">- **Scandinavian countries:** approximately 6%–8% in recent surveys. - **United States, Canada, United Kingdom:** 5%–8%. - **Southern and Eastern Europe:** 2%–5%. - **Russia and Ukraine:** 1%–3%. - **Japan:** approximately 8%–10% in Dentsu surveys, though publicly declared rates are far lower. - **China:** Figures are scarce for political reasons. - **Middle East:** Disclosure rates in most surveys are below 1%, though this does not necessarily mean absence of the phenomenon. - **Africa:** Disclosure rates very low.</w:t>
      </w:r>
    </w:p>
    <w:p>
      <w:pPr>
        <w:spacing w:after="160"/>
        <w:jc w:val="left"/>
      </w:pPr>
      <w:r>
        <w:rPr>
          <w:sz w:val="22"/>
          <w:szCs w:val="22"/>
        </w:rPr>
        <w:t xml:space="preserve">The differences clearly reflect the social, legal, and cultural climate in addition to any actual difference.</w:t>
      </w:r>
    </w:p>
    <w:p>
      <w:pPr>
        <w:spacing w:after="160"/>
        <w:jc w:val="left"/>
      </w:pPr>
      <w:r>
        <w:rPr>
          <w:sz w:val="22"/>
          <w:szCs w:val="22"/>
        </w:rPr>
        <w:t xml:space="preserve">## Methodological Challenges</w:t>
      </w:r>
    </w:p>
    <w:p>
      <w:pPr>
        <w:spacing w:after="160"/>
        <w:jc w:val="left"/>
      </w:pPr>
      <w:r>
        <w:rPr>
          <w:sz w:val="22"/>
          <w:szCs w:val="22"/>
        </w:rPr>
        <w:t xml:space="preserve">Any reading of these figures must consider:</w:t>
      </w:r>
    </w:p>
    <w:p>
      <w:pPr>
        <w:spacing w:after="160"/>
        <w:jc w:val="left"/>
      </w:pPr>
      <w:r>
        <w:rPr>
          <w:sz w:val="22"/>
          <w:szCs w:val="22"/>
        </w:rPr>
        <w:t xml:space="preserve">**1. Disclosure unreliability:** People describe themselves in ways that may not match their actual behavior.</w:t>
      </w:r>
    </w:p>
    <w:p>
      <w:pPr>
        <w:spacing w:after="160"/>
        <w:jc w:val="left"/>
      </w:pPr>
      <w:r>
        <w:rPr>
          <w:sz w:val="22"/>
          <w:szCs w:val="22"/>
        </w:rPr>
        <w:t xml:space="preserve">**2. Shifting definitions:** The concept of "homosexuality" itself has evolved; an adolescent who identifies as "Queer" today may not mean what "homosexual" meant in 1990.</w:t>
      </w:r>
    </w:p>
    <w:p>
      <w:pPr>
        <w:spacing w:after="160"/>
        <w:jc w:val="left"/>
      </w:pPr>
      <w:r>
        <w:rPr>
          <w:sz w:val="22"/>
          <w:szCs w:val="22"/>
        </w:rPr>
        <w:t xml:space="preserve">**3. Publisher and media bias:** Focusing on figures that serve specific narratives while neglecting others.</w:t>
      </w:r>
    </w:p>
    <w:p>
      <w:pPr>
        <w:spacing w:after="160"/>
        <w:jc w:val="left"/>
      </w:pPr>
      <w:r>
        <w:rPr>
          <w:sz w:val="22"/>
          <w:szCs w:val="22"/>
        </w:rPr>
        <w:t xml:space="preserve">**4. Politics:** Anyone citing these figures has an interest in interpreting them in particular ways.</w:t>
      </w:r>
    </w:p>
    <w:p>
      <w:pPr>
        <w:spacing w:after="160"/>
        <w:jc w:val="left"/>
      </w:pPr>
      <w:r>
        <w:rPr>
          <w:sz w:val="22"/>
          <w:szCs w:val="22"/>
        </w:rPr>
        <w:t xml:space="preserve">## What Can Be Said with Confidence?</w:t>
      </w:r>
    </w:p>
    <w:p>
      <w:pPr>
        <w:spacing w:after="160"/>
        <w:jc w:val="left"/>
      </w:pPr>
      <w:r>
        <w:rPr>
          <w:sz w:val="22"/>
          <w:szCs w:val="22"/>
        </w:rPr>
        <w:t xml:space="preserve">Despite all the methodological challenges, the following can be said with reasonable confidence:</w:t>
      </w:r>
    </w:p>
    <w:p>
      <w:pPr>
        <w:spacing w:after="160"/>
        <w:jc w:val="left"/>
      </w:pPr>
      <w:r>
        <w:rPr>
          <w:sz w:val="22"/>
          <w:szCs w:val="22"/>
        </w:rPr>
        <w:t xml:space="preserve">**First:** The actual proportion of male homosexuals (behaviorally) in most societies ranges between 1.5% and 3% of adults; the proportion of women is slightly lower.</w:t>
      </w:r>
    </w:p>
    <w:p>
      <w:pPr>
        <w:spacing w:after="160"/>
        <w:jc w:val="left"/>
      </w:pPr>
      <w:r>
        <w:rPr>
          <w:sz w:val="22"/>
          <w:szCs w:val="22"/>
        </w:rPr>
        <w:t xml:space="preserve">**Second:** The proportion identifying as LGBT in modern Western societies is increasing greatly among youth, possibly exceeding 20% in Generation Z.</w:t>
      </w:r>
    </w:p>
    <w:p>
      <w:pPr>
        <w:spacing w:after="160"/>
        <w:jc w:val="left"/>
      </w:pPr>
      <w:r>
        <w:rPr>
          <w:sz w:val="22"/>
          <w:szCs w:val="22"/>
        </w:rPr>
        <w:t xml:space="preserve">**Third:** This increase cannot be explained by mere "uncovering of hidden inclinations"; it involves cultural, social, and definitional factors.</w:t>
      </w:r>
    </w:p>
    <w:p>
      <w:pPr>
        <w:spacing w:after="160"/>
        <w:jc w:val="left"/>
      </w:pPr>
      <w:r>
        <w:rPr>
          <w:sz w:val="22"/>
          <w:szCs w:val="22"/>
        </w:rPr>
        <w:t xml:space="preserve">**Fourth:** The gap between identity and behavior is widening, indicating that "homosexual identity" has become a cultural phenomenon partially independent of actual behavior.</w:t>
      </w:r>
    </w:p>
    <w:p>
      <w:pPr>
        <w:spacing w:after="160"/>
        <w:jc w:val="left"/>
      </w:pPr>
      <w:r>
        <w:rPr>
          <w:sz w:val="22"/>
          <w:szCs w:val="22"/>
        </w:rPr>
        <w:t xml:space="preserve">## Chapter Summary</w:t>
      </w:r>
    </w:p>
    <w:p>
      <w:pPr>
        <w:spacing w:after="160"/>
        <w:jc w:val="left"/>
      </w:pPr>
      <w:r>
        <w:rPr>
          <w:sz w:val="22"/>
          <w:szCs w:val="22"/>
        </w:rPr>
        <w:t xml:space="preserve">Statistics on this subject are not neutral; they are affected by social and methodological circumstances. The serious reader must read figures cautiously, distinguish between behavior, inclination, and identity, and notice the generational shift that may reflect cultural variables larger than mere "uncovering of reality." Any serious discussion must begin from precise figures, not inflated popular estimates. And God knows best.</w:t>
      </w:r>
    </w:p>
    <w:p>
      <w:r>
        <w:br w:type="page"/>
      </w:r>
    </w:p>
    <w:p>
      <w:pPr>
        <w:spacing w:after="360" w:before="600"/>
        <w:jc w:val="center"/>
      </w:pPr>
      <w:r>
        <w:rPr>
          <w:b/>
          <w:bCs/>
          <w:color w:val="1B3A5C"/>
          <w:sz w:val="36"/>
          <w:szCs w:val="36"/>
        </w:rPr>
        <w:t xml:space="preserve">Chapter Ten: The Pro-Movement Arguments — A Fair Presentation</w:t>
      </w:r>
    </w:p>
    <w:p>
      <w:pPr>
        <w:spacing w:after="160"/>
        <w:jc w:val="left"/>
      </w:pPr>
      <w:r>
        <w:rPr>
          <w:sz w:val="22"/>
          <w:szCs w:val="22"/>
        </w:rPr>
        <w:t xml:space="preserve">"And argue with them in a way that is best." (Qur'an, al-Naḥl 16:125)</w:t>
      </w:r>
    </w:p>
    <w:p>
      <w:pPr>
        <w:spacing w:after="160"/>
        <w:jc w:val="left"/>
      </w:pPr>
      <w:r>
        <w:rPr>
          <w:sz w:val="22"/>
          <w:szCs w:val="22"/>
        </w:rPr>
        <w:t xml:space="preserve">## Introduction on Method</w:t>
      </w:r>
    </w:p>
    <w:p>
      <w:pPr>
        <w:spacing w:after="160"/>
        <w:jc w:val="left"/>
      </w:pPr>
      <w:r>
        <w:rPr>
          <w:sz w:val="22"/>
          <w:szCs w:val="22"/>
        </w:rPr>
        <w:t xml:space="preserve">Among the foundations of scientific method and the Qur'anic method of debate is to present the opponent's view in its strongest form, not its weakest, so that the reader knows what is actually being debated. The Qur'anic verse from Sūrat al-Naḥl does not merely command Muslims to "engage in dialogue" but to do so "in a way that is best" — that is, in the highest form of fairness and respect. The Qur'an applied this method when it presented the doubts of deniers and idolaters in their full formulations before responding to them.</w:t>
      </w:r>
    </w:p>
    <w:p>
      <w:pPr>
        <w:spacing w:after="160"/>
        <w:jc w:val="left"/>
      </w:pPr>
      <w:r>
        <w:rPr>
          <w:sz w:val="22"/>
          <w:szCs w:val="22"/>
        </w:rPr>
        <w:t xml:space="preserve">This chapter is therefore devoted to presenting the arguments offered by supporters of the contemporary LGBTQ movement — faithfully, as their own proponents present them — so that the reader can grasp their logic from within, before we discuss those arguments in the next chapter.</w:t>
      </w:r>
    </w:p>
    <w:p>
      <w:pPr>
        <w:spacing w:after="160"/>
        <w:jc w:val="left"/>
      </w:pPr>
      <w:r>
        <w:rPr>
          <w:sz w:val="22"/>
          <w:szCs w:val="22"/>
        </w:rPr>
        <w:t xml:space="preserve">## The First Argument: The Right to Dignity and Equality Before the Law</w:t>
      </w:r>
    </w:p>
    <w:p>
      <w:pPr>
        <w:spacing w:after="160"/>
        <w:jc w:val="left"/>
      </w:pPr>
      <w:r>
        <w:rPr>
          <w:sz w:val="22"/>
          <w:szCs w:val="22"/>
        </w:rPr>
        <w:t xml:space="preserve">The strongest argument among supporters, and the most influential in Western contexts, is the argument from dignity and equality. This argument holds that every human being is born equal in dignity, and that the modern state has no right to discriminate among its citizens on the basis of inclinations they did not choose. They appeal to the Universal Declaration of Human Rights (1948), Article 1: "All human beings are born free and equal in dignity and rights."</w:t>
      </w:r>
    </w:p>
    <w:p>
      <w:pPr>
        <w:spacing w:after="160"/>
        <w:jc w:val="left"/>
      </w:pPr>
      <w:r>
        <w:rPr>
          <w:sz w:val="22"/>
          <w:szCs w:val="22"/>
        </w:rPr>
        <w:t xml:space="preserve">They add: when the state prevents a person from living peacefully with a consenting adult partner, it intervenes in his private life in a manner that exceeds its legitimate authority. When it deprives him of legal rights (inheritance, hospital visitation, medical decision-making for the partner, adoption), it makes him a second-class citizen. Equality in dignity — they say — requires equality in rights.</w:t>
      </w:r>
    </w:p>
    <w:p>
      <w:pPr>
        <w:spacing w:after="160"/>
        <w:jc w:val="left"/>
      </w:pPr>
      <w:r>
        <w:rPr>
          <w:sz w:val="22"/>
          <w:szCs w:val="22"/>
        </w:rPr>
        <w:t xml:space="preserve">Justice Anthony Kennedy, in the *Obergefell* decision (2015), formulated this argument movingly: he said the Constitution does not bestow dignity upon individuals but ensures the state does not detract from it. Preventing homosexuals from marrying is a declaration of "non-recognition" of their dignity. This argument has been emotionally powerful, even for those who disagree with it on values grounds.</w:t>
      </w:r>
    </w:p>
    <w:p>
      <w:pPr>
        <w:spacing w:after="160"/>
        <w:jc w:val="left"/>
      </w:pPr>
      <w:r>
        <w:rPr>
          <w:sz w:val="22"/>
          <w:szCs w:val="22"/>
        </w:rPr>
        <w:t xml:space="preserve">## The Second Argument: "Born This Way"</w:t>
      </w:r>
    </w:p>
    <w:p>
      <w:pPr>
        <w:spacing w:after="160"/>
        <w:jc w:val="left"/>
      </w:pPr>
      <w:r>
        <w:rPr>
          <w:sz w:val="22"/>
          <w:szCs w:val="22"/>
        </w:rPr>
        <w:t xml:space="preserve">Among the most popularly powerful arguments is the idea that homosexual inclination is "innate," "genetic," or "biological" — that is, not a choice but a natural state with which the individual is born. The title of Lady Gaga's famous song "Born This Way" (2011) has become a movement slogan.</w:t>
      </w:r>
    </w:p>
    <w:p>
      <w:pPr>
        <w:spacing w:after="160"/>
        <w:jc w:val="left"/>
      </w:pPr>
      <w:r>
        <w:rPr>
          <w:sz w:val="22"/>
          <w:szCs w:val="22"/>
        </w:rPr>
        <w:t xml:space="preserve">The argument rests on the following moral premise: a person is not held accountable for what he did not choose. If homosexual inclination is not a choice but a created condition in those it affects, then punishing or even disapproving of him is unjust — just as a left-hander is not punished for being left-handed nor a tall person for being tall.</w:t>
      </w:r>
    </w:p>
    <w:p>
      <w:pPr>
        <w:spacing w:after="160"/>
        <w:jc w:val="left"/>
      </w:pPr>
      <w:r>
        <w:rPr>
          <w:sz w:val="22"/>
          <w:szCs w:val="22"/>
        </w:rPr>
        <w:t xml:space="preserve">Supporters cite multiple studies:</w:t>
      </w:r>
    </w:p>
    <w:p>
      <w:pPr>
        <w:spacing w:after="160"/>
        <w:jc w:val="left"/>
      </w:pPr>
      <w:r>
        <w:rPr>
          <w:sz w:val="22"/>
          <w:szCs w:val="22"/>
        </w:rPr>
        <w:t xml:space="preserve">- **Twin studies:** Found higher-than-expected concordance between identical twins in sexual orientation (although less than 100%). - **The "gay gene" study:** Dean Hamer's famous 1993 study claiming a link between region Xq28 and male sexual orientation. - **Brain studies:** Simon LeVay's research (1991) claiming a difference in the size of a hypothalamus region between homosexual and heterosexual men.</w:t>
      </w:r>
    </w:p>
    <w:p>
      <w:pPr>
        <w:spacing w:after="160"/>
        <w:jc w:val="left"/>
      </w:pPr>
      <w:r>
        <w:rPr>
          <w:sz w:val="22"/>
          <w:szCs w:val="22"/>
        </w:rPr>
        <w:t xml:space="preserve">Supporters say: if the inclination were really a choice, who would "choose" to bear social, religious, and legal stigma for an inclination he could simply abandon?</w:t>
      </w:r>
    </w:p>
    <w:p>
      <w:pPr>
        <w:spacing w:after="160"/>
        <w:jc w:val="left"/>
      </w:pPr>
      <w:r>
        <w:rPr>
          <w:sz w:val="22"/>
          <w:szCs w:val="22"/>
        </w:rPr>
        <w:t xml:space="preserve">## The Third Argument: The Harm Principle (John Stuart Mill)</w:t>
      </w:r>
    </w:p>
    <w:p>
      <w:pPr>
        <w:spacing w:after="160"/>
        <w:jc w:val="left"/>
      </w:pPr>
      <w:r>
        <w:rPr>
          <w:sz w:val="22"/>
          <w:szCs w:val="22"/>
        </w:rPr>
        <w:t xml:space="preserve">This argument draws strength from classical liberal philosophy, especially John Stuart Mill's *On Liberty* (1859). Its summary: the state has no right to regulate the behavior of consenting adult citizens except in cases where their behavior harms others. What two consenting adults do in their privacy, that does not harm others, is no business of the state or society.</w:t>
      </w:r>
    </w:p>
    <w:p>
      <w:pPr>
        <w:spacing w:after="160"/>
        <w:jc w:val="left"/>
      </w:pPr>
      <w:r>
        <w:rPr>
          <w:sz w:val="22"/>
          <w:szCs w:val="22"/>
        </w:rPr>
        <w:t xml:space="preserve">Supporters say: same-sex behavior between consenting adults harms no one — neither the parties themselves (if consenting) nor surrounding society (if conducted privately). There is no justification for state intervention or even public disapproval. Any intervention in this domain is the imposition of religious or moral values of a particular community on those who do not subscribe to them — and this contradicts modern secularism.</w:t>
      </w:r>
    </w:p>
    <w:p>
      <w:pPr>
        <w:spacing w:after="160"/>
        <w:jc w:val="left"/>
      </w:pPr>
      <w:r>
        <w:rPr>
          <w:sz w:val="22"/>
          <w:szCs w:val="22"/>
        </w:rPr>
        <w:t xml:space="preserve">## The Fourth Argument: "Revisionist" Religious Readings</w:t>
      </w:r>
    </w:p>
    <w:p>
      <w:pPr>
        <w:spacing w:after="160"/>
        <w:jc w:val="left"/>
      </w:pPr>
      <w:r>
        <w:rPr>
          <w:sz w:val="22"/>
          <w:szCs w:val="22"/>
        </w:rPr>
        <w:t xml:space="preserve">Among the notable arguments in contemporary debate, especially within religious communities, is the reinterpretation of sacred texts. Some pro-LGBTQ believers argue that the traditional understanding of religious texts was tainted by historical and cultural constraints not applicable to contemporary couples.</w:t>
      </w:r>
    </w:p>
    <w:p>
      <w:pPr>
        <w:spacing w:after="160"/>
        <w:jc w:val="left"/>
      </w:pPr>
      <w:r>
        <w:rPr>
          <w:sz w:val="22"/>
          <w:szCs w:val="22"/>
        </w:rPr>
        <w:t xml:space="preserve">The most prominent such arguments:</w:t>
      </w:r>
    </w:p>
    <w:p>
      <w:pPr>
        <w:spacing w:after="160"/>
        <w:jc w:val="left"/>
      </w:pPr>
      <w:r>
        <w:rPr>
          <w:sz w:val="22"/>
          <w:szCs w:val="22"/>
        </w:rPr>
        <w:t xml:space="preserve">**1. The Sodom and Gomorrah story was about hospitality, not homosexuality:** Some liberal theologians say the sin of Sodom was not homosexuality but the rejection of hospitality and assault on strangers. They cite the Hebrew Bible itself (Ezekiel 16:49), which mentions "pride, fullness of bread, and abundance of idleness" as Sodom's sins, without specifying sexual indecency.</w:t>
      </w:r>
    </w:p>
    <w:p>
      <w:pPr>
        <w:spacing w:after="160"/>
        <w:jc w:val="left"/>
      </w:pPr>
      <w:r>
        <w:rPr>
          <w:sz w:val="22"/>
          <w:szCs w:val="22"/>
        </w:rPr>
        <w:t xml:space="preserve">**2. The Levitical texts were transitional priestly law:** They say the laws in Leviticus were ritual legislation for a particular time, and Christianity has abolished much of it (such as the prohibition on shellfish and mixed-fiber garments) — so why insist on the literal prohibition of *liwāṭ*?</w:t>
      </w:r>
    </w:p>
    <w:p>
      <w:pPr>
        <w:spacing w:after="160"/>
        <w:jc w:val="left"/>
      </w:pPr>
      <w:r>
        <w:rPr>
          <w:sz w:val="22"/>
          <w:szCs w:val="22"/>
        </w:rPr>
        <w:t xml:space="preserve">**3. Paul's words in his letters meant exploitation, not homosexual marriage:** They say what Paul meant in Romans 1 and 1 Corinthians 6 was not equal homosexual relations between consenting adults, but rather forms of exploitation of boys (pederasty) or temple prostitution in Roman civilization, which does not apply to contemporary couples.</w:t>
      </w:r>
    </w:p>
    <w:p>
      <w:pPr>
        <w:spacing w:after="160"/>
        <w:jc w:val="left"/>
      </w:pPr>
      <w:r>
        <w:rPr>
          <w:sz w:val="22"/>
          <w:szCs w:val="22"/>
        </w:rPr>
        <w:t xml:space="preserve">**4. The Lot story in Islam was about violence, not homosexuality itself:** Some contemporary Muslims attempting reconciliation (such as Scott Kugle, Sa'dī Iqbāl, and others) argue that the actual sin of Lot's people was assault, rape, and highway robbery, not homosexual inclination per se.</w:t>
      </w:r>
    </w:p>
    <w:p>
      <w:pPr>
        <w:spacing w:after="160"/>
        <w:jc w:val="left"/>
      </w:pPr>
      <w:r>
        <w:rPr>
          <w:sz w:val="22"/>
          <w:szCs w:val="22"/>
        </w:rPr>
        <w:t xml:space="preserve">It is no secret that these readings are sharply contested in scholarship, and that major exegetes in the Abrahamic religions reject them. But fairness requires presenting them as their proponents present them.</w:t>
      </w:r>
    </w:p>
    <w:p>
      <w:pPr>
        <w:spacing w:after="160"/>
        <w:jc w:val="left"/>
      </w:pPr>
      <w:r>
        <w:rPr>
          <w:sz w:val="22"/>
          <w:szCs w:val="22"/>
        </w:rPr>
        <w:t xml:space="preserve">## The Fifth Argument: Mental Health and Humanity</w:t>
      </w:r>
    </w:p>
    <w:p>
      <w:pPr>
        <w:spacing w:after="160"/>
        <w:jc w:val="left"/>
      </w:pPr>
      <w:r>
        <w:rPr>
          <w:sz w:val="22"/>
          <w:szCs w:val="22"/>
        </w:rPr>
        <w:t xml:space="preserve">Supporters offer a practical argument: that exclusion, stigma, and repression cause real psychological harm to homosexual individuals, manifested in higher rates of depression, anxiety, and suicide attempts. This is called in the literature "Minority Stress Theory."</w:t>
      </w:r>
    </w:p>
    <w:p>
      <w:pPr>
        <w:spacing w:after="160"/>
        <w:jc w:val="left"/>
      </w:pPr>
      <w:r>
        <w:rPr>
          <w:sz w:val="22"/>
          <w:szCs w:val="22"/>
        </w:rPr>
        <w:t xml:space="preserve">They cite studies showing that homosexual adolescents who receive family support have far lower rates of depression and suicide than those who are rejected. They say: the traditional religious position, even if theoretically compassionate, translates in reality into rejection and stigma, which harms members of this minority.</w:t>
      </w:r>
    </w:p>
    <w:p>
      <w:pPr>
        <w:spacing w:after="160"/>
        <w:jc w:val="left"/>
      </w:pPr>
      <w:r>
        <w:rPr>
          <w:sz w:val="22"/>
          <w:szCs w:val="22"/>
        </w:rPr>
        <w:t xml:space="preserve">## The Sixth Argument: Slippery Slope Toward Violence</w:t>
      </w:r>
    </w:p>
    <w:p>
      <w:pPr>
        <w:spacing w:after="160"/>
        <w:jc w:val="left"/>
      </w:pPr>
      <w:r>
        <w:rPr>
          <w:sz w:val="22"/>
          <w:szCs w:val="22"/>
        </w:rPr>
        <w:t xml:space="preserve">Supporters warn that any tightening of the position against homosexuality opens the door — even unintentionally — to harsher forms of violence and persecution. They cite hate crime statistics in countries that criminalize homosexuality, executions in Iran, Afghanistan, and Uganda, and victims of "honor killings" in some societies.</w:t>
      </w:r>
    </w:p>
    <w:p>
      <w:pPr>
        <w:spacing w:after="160"/>
        <w:jc w:val="left"/>
      </w:pPr>
      <w:r>
        <w:rPr>
          <w:sz w:val="22"/>
          <w:szCs w:val="22"/>
        </w:rPr>
        <w:t xml:space="preserve">They say: even if a person rejects homosexuality morally, he has a duty — as a human being — to defend the lives, dignity, and basic rights of homosexuals, and not to be a partner in discourse that leads to harm.</w:t>
      </w:r>
    </w:p>
    <w:p>
      <w:pPr>
        <w:spacing w:after="160"/>
        <w:jc w:val="left"/>
      </w:pPr>
      <w:r>
        <w:rPr>
          <w:sz w:val="22"/>
          <w:szCs w:val="22"/>
        </w:rPr>
        <w:t xml:space="preserve">## The Argument for Same-Sex Marriage Specifically</w:t>
      </w:r>
    </w:p>
    <w:p>
      <w:pPr>
        <w:spacing w:after="160"/>
        <w:jc w:val="left"/>
      </w:pPr>
      <w:r>
        <w:rPr>
          <w:sz w:val="22"/>
          <w:szCs w:val="22"/>
        </w:rPr>
        <w:t xml:space="preserve">On the marriage question specifically, additional arguments are advanced:</w:t>
      </w:r>
    </w:p>
    <w:p>
      <w:pPr>
        <w:spacing w:after="160"/>
        <w:jc w:val="left"/>
      </w:pPr>
      <w:r>
        <w:rPr>
          <w:sz w:val="22"/>
          <w:szCs w:val="22"/>
        </w:rPr>
        <w:t xml:space="preserve">**1. Marriage is a legal contract:** Marriage today — under law — is a legal contract with specific effects (inheritance, taxes, insurance, medical decision-making). There is no legal argument barring two consenting adults from entering into this contract.</w:t>
      </w:r>
    </w:p>
    <w:p>
      <w:pPr>
        <w:spacing w:after="160"/>
        <w:jc w:val="left"/>
      </w:pPr>
      <w:r>
        <w:rPr>
          <w:sz w:val="22"/>
          <w:szCs w:val="22"/>
        </w:rPr>
        <w:t xml:space="preserve">**2. Promoting stability:** Supporters say same-sex marriage promotes commitment and stability, which is better than unattached partner life. They cite that conservatives themselves historically called for commitment — so why reject commitment when it is between two same-sex partners?</w:t>
      </w:r>
    </w:p>
    <w:p>
      <w:pPr>
        <w:spacing w:after="160"/>
        <w:jc w:val="left"/>
      </w:pPr>
      <w:r>
        <w:rPr>
          <w:sz w:val="22"/>
          <w:szCs w:val="22"/>
        </w:rPr>
        <w:t xml:space="preserve">**3. Separation of religious and civil:** They say the state recognizes "civil marriage," which is not necessarily religious marriage. A Muslim can have a civil marriage in Western countries and then renew it religiously in the mosque. Legal recognition of same-sex marriage does not compel any church or mosque to perform it.</w:t>
      </w:r>
    </w:p>
    <w:p>
      <w:pPr>
        <w:spacing w:after="160"/>
        <w:jc w:val="left"/>
      </w:pPr>
      <w:r>
        <w:rPr>
          <w:sz w:val="22"/>
          <w:szCs w:val="22"/>
        </w:rPr>
        <w:t xml:space="preserve">## The Overall Argument: Pluralism and Tolerance</w:t>
      </w:r>
    </w:p>
    <w:p>
      <w:pPr>
        <w:spacing w:after="160"/>
        <w:jc w:val="left"/>
      </w:pPr>
      <w:r>
        <w:rPr>
          <w:sz w:val="22"/>
          <w:szCs w:val="22"/>
        </w:rPr>
        <w:t xml:space="preserve">The above arguments are united by an overarching idea: contemporary society is pluralistic; it is inhabited by people of differing values; no one community has the right to impose its values on others. Modern democracy is built on this principle. Tolerance of difference is not an abandonment of values but a value in itself.</w:t>
      </w:r>
    </w:p>
    <w:p>
      <w:pPr>
        <w:spacing w:after="160"/>
        <w:jc w:val="left"/>
      </w:pPr>
      <w:r>
        <w:rPr>
          <w:sz w:val="22"/>
          <w:szCs w:val="22"/>
        </w:rPr>
        <w:t xml:space="preserve">## Chapter Summary</w:t>
      </w:r>
    </w:p>
    <w:p>
      <w:pPr>
        <w:spacing w:after="160"/>
        <w:jc w:val="left"/>
      </w:pPr>
      <w:r>
        <w:rPr>
          <w:sz w:val="22"/>
          <w:szCs w:val="22"/>
        </w:rPr>
        <w:t xml:space="preserve">We have presented in this chapter six main arguments offered by supporters of the contemporary LGBTQ movement: dignity and equality, born-this-way, the harm principle, revisionist religious readings, mental health, and protection from violence. We added arguments specific to the marriage question. We presented them as their proponents present them, in their strongest form, without distortion.</w:t>
      </w:r>
    </w:p>
    <w:p>
      <w:pPr>
        <w:spacing w:after="160"/>
        <w:jc w:val="left"/>
      </w:pPr>
      <w:r>
        <w:rPr>
          <w:sz w:val="22"/>
          <w:szCs w:val="22"/>
        </w:rPr>
        <w:t xml:space="preserve">The reader who understands these arguments from within has placed his foot on the first step toward serious debate. One who attempts to refute a "caricature" of the other position is debating in a vacuum. In the next chapter, we will discuss these arguments in detail and present the difficulties they face — from scientific, logical, philosophical, and religious perspectives. And God knows best.</w:t>
      </w:r>
    </w:p>
    <w:p>
      <w:r>
        <w:br w:type="page"/>
      </w:r>
    </w:p>
    <w:p>
      <w:pPr>
        <w:spacing w:after="360" w:before="600"/>
        <w:jc w:val="center"/>
      </w:pPr>
      <w:r>
        <w:rPr>
          <w:b/>
          <w:bCs/>
          <w:color w:val="1B3A5C"/>
          <w:sz w:val="36"/>
          <w:szCs w:val="36"/>
        </w:rPr>
        <w:t xml:space="preserve">Chapter Eleven: The Counter-Arguments</w:t>
      </w:r>
    </w:p>
    <w:p>
      <w:pPr>
        <w:spacing w:after="160"/>
        <w:jc w:val="left"/>
      </w:pPr>
      <w:r>
        <w:rPr>
          <w:sz w:val="22"/>
          <w:szCs w:val="22"/>
        </w:rPr>
        <w:t xml:space="preserve">"And those who guard their private parts." (Qur'an, al-Mu'minūn 23:5)</w:t>
      </w:r>
    </w:p>
    <w:p>
      <w:pPr>
        <w:spacing w:after="160"/>
        <w:jc w:val="left"/>
      </w:pPr>
      <w:r>
        <w:rPr>
          <w:sz w:val="22"/>
          <w:szCs w:val="22"/>
        </w:rPr>
        <w:t xml:space="preserve">## Introduction</w:t>
      </w:r>
    </w:p>
    <w:p>
      <w:pPr>
        <w:spacing w:after="160"/>
        <w:jc w:val="left"/>
      </w:pPr>
      <w:r>
        <w:rPr>
          <w:sz w:val="22"/>
          <w:szCs w:val="22"/>
        </w:rPr>
        <w:t xml:space="preserve">After presenting in the previous chapter the strongest of what supporters of the movement offer, this chapter discusses the difficulties facing those arguments from multiple angles. Our method is to acknowledge what is correct in the opposing argument and then to fairly identify its problems. This is more just than a sweeping rebuttal that rejects everything.</w:t>
      </w:r>
    </w:p>
    <w:p>
      <w:pPr>
        <w:spacing w:after="160"/>
        <w:jc w:val="left"/>
      </w:pPr>
      <w:r>
        <w:rPr>
          <w:sz w:val="22"/>
          <w:szCs w:val="22"/>
        </w:rPr>
        <w:t xml:space="preserve">## Natural Law and Teleological Arguments</w:t>
      </w:r>
    </w:p>
    <w:p>
      <w:pPr>
        <w:spacing w:after="160"/>
        <w:jc w:val="left"/>
      </w:pPr>
      <w:r>
        <w:rPr>
          <w:sz w:val="22"/>
          <w:szCs w:val="22"/>
        </w:rPr>
        <w:t xml:space="preserve">The oldest argument in Western philosophy rests on what is known as "natural law" (*Natural Law*), which holds that every organ in the body has a natural function for which creation aimed. Human reproductive organs are clearly designed such that male and female are complementary, and one of their purposes is reproduction and continuation of the species. The argument holds that same-sex behavior contradicts this natural purpose, using organs in a manner inconsistent with their design. This argument is found in Thomas Aquinas, in Catholic jurisprudence, and in classical Islamic philosophy.</w:t>
      </w:r>
    </w:p>
    <w:p>
      <w:pPr>
        <w:spacing w:after="160"/>
        <w:jc w:val="left"/>
      </w:pPr>
      <w:r>
        <w:rPr>
          <w:sz w:val="22"/>
          <w:szCs w:val="22"/>
        </w:rPr>
        <w:t xml:space="preserve">The contemporary objection is that the argument conflates "function" with "duty," and that many human behaviors transcend their natural function (such as eating for pleasure rather than only for nutrition). The contemporary response is that there is a distinction between permitted transcendence of function (eating for pleasure does not contradict the function of nutrition) and transcendence that completely cancels it (the homosexual act cancels the reproductive function altogether). The Qur'an uses the expression: "Do you approach males among the worlds and leave what your Lord created for you of your wives?" (al-Shu'arā' 26:165–166) — a clearly teleological expression: leaving the spouses God created for males.</w:t>
      </w:r>
    </w:p>
    <w:p>
      <w:pPr>
        <w:spacing w:after="160"/>
        <w:jc w:val="left"/>
      </w:pPr>
      <w:r>
        <w:rPr>
          <w:sz w:val="22"/>
          <w:szCs w:val="22"/>
        </w:rPr>
        <w:t xml:space="preserve">## Family Structure and the Child's Welfare</w:t>
      </w:r>
    </w:p>
    <w:p>
      <w:pPr>
        <w:spacing w:after="160"/>
        <w:jc w:val="left"/>
      </w:pPr>
      <w:r>
        <w:rPr>
          <w:sz w:val="22"/>
          <w:szCs w:val="22"/>
        </w:rPr>
        <w:t xml:space="preserve">Among the most important counter-arguments is the family structure argument. It holds that traditional marriage between a man and a woman is not merely a contract between adults but a social institution that raises children and transmits values and culture across generations. The child has a right — taking precedence over the interests of adults — to be raised under the care of a mother and father where possible.</w:t>
      </w:r>
    </w:p>
    <w:p>
      <w:pPr>
        <w:spacing w:after="160"/>
        <w:jc w:val="left"/>
      </w:pPr>
      <w:r>
        <w:rPr>
          <w:sz w:val="22"/>
          <w:szCs w:val="22"/>
        </w:rPr>
        <w:t xml:space="preserve">The question of the child's welfare has been raised in contemporary research. Among the most controversial studies is Mark Regnerus's study published in *Social Science Research* in 2012, which compared adults raised in different family types and found differences indicating that those raised in a family with biological mother and father performed better academically, economically, and socially on many measures.</w:t>
      </w:r>
    </w:p>
    <w:p>
      <w:pPr>
        <w:spacing w:after="160"/>
        <w:jc w:val="left"/>
      </w:pPr>
      <w:r>
        <w:rPr>
          <w:sz w:val="22"/>
          <w:szCs w:val="22"/>
        </w:rPr>
        <w:t xml:space="preserve">The study faced sharp methodological criticism from activists, with campaigns to discredit it. On the other hand, some other studies that claimed "no difference" between family types faced their own methodological criticism (small samples, selection bias, short follow-up). The academic historian Loren Marks of Louisiana State University published in 2012 a review of this literature noting weakness in the evidence for "no difference."</w:t>
      </w:r>
    </w:p>
    <w:p>
      <w:pPr>
        <w:spacing w:after="160"/>
        <w:jc w:val="left"/>
      </w:pPr>
      <w:r>
        <w:rPr>
          <w:sz w:val="22"/>
          <w:szCs w:val="22"/>
        </w:rPr>
        <w:t xml:space="preserve">The fair conclusion: scientific evidence on this matter does not decisively settle the question for either side, and any categorical claim ("no difference at all" or "the difference is enormous and devastating") goes beyond the actual evidence.</w:t>
      </w:r>
    </w:p>
    <w:p>
      <w:pPr>
        <w:spacing w:after="160"/>
        <w:jc w:val="left"/>
      </w:pPr>
      <w:r>
        <w:rPr>
          <w:sz w:val="22"/>
          <w:szCs w:val="22"/>
        </w:rPr>
        <w:t xml:space="preserve">## Critique of "Born This Way"</w:t>
      </w:r>
    </w:p>
    <w:p>
      <w:pPr>
        <w:spacing w:after="160"/>
        <w:jc w:val="left"/>
      </w:pPr>
      <w:r>
        <w:rPr>
          <w:sz w:val="22"/>
          <w:szCs w:val="22"/>
        </w:rPr>
        <w:t xml:space="preserve">This was the most popularly influential argument, but it is today the weakest scientifically. It has multiple problems:</w:t>
      </w:r>
    </w:p>
    <w:p>
      <w:pPr>
        <w:spacing w:after="160"/>
        <w:jc w:val="left"/>
      </w:pPr>
      <w:r>
        <w:rPr>
          <w:sz w:val="22"/>
          <w:szCs w:val="22"/>
        </w:rPr>
        <w:t xml:space="preserve">**First, the Ganna et al. 2019 study:** The largest comprehensive genetic study (GWAS) conducted on this subject, published in *Science* (the world's most prestigious scientific journal), with data from over 470,000 people. The clear conclusion of the study: "There is no single 'gay gene,' and heredity contributes only a small share (8%–25%) to the inclination, with other factors — environmental and experiential — contributing the larger share." The researchers themselves concluded that their results do not support the "gay gene" model, nor even the prediction of sexual orientation from genes.</w:t>
      </w:r>
    </w:p>
    <w:p>
      <w:pPr>
        <w:spacing w:after="160"/>
        <w:jc w:val="left"/>
      </w:pPr>
      <w:r>
        <w:rPr>
          <w:sz w:val="22"/>
          <w:szCs w:val="22"/>
        </w:rPr>
        <w:t xml:space="preserve">**Second, twin studies:** Found that identical twins have a concordance rate of about 20%–40% in sexual orientation, despite being 100% genetically identical. If the inclination were purely genetic, the concordance rate would be near 100%. This negates absolute genetic determination.</w:t>
      </w:r>
    </w:p>
    <w:p>
      <w:pPr>
        <w:spacing w:after="160"/>
        <w:jc w:val="left"/>
      </w:pPr>
      <w:r>
        <w:rPr>
          <w:sz w:val="22"/>
          <w:szCs w:val="22"/>
        </w:rPr>
        <w:t xml:space="preserve">**Third, LeVay's brain research:** LeVay's original study (1991) had a very small sample (41 persons), and broader subsequent studies could not clearly replicate his findings. Brain differences may be a result of behavior rather than its cause.</w:t>
      </w:r>
    </w:p>
    <w:p>
      <w:pPr>
        <w:spacing w:after="160"/>
        <w:jc w:val="left"/>
      </w:pPr>
      <w:r>
        <w:rPr>
          <w:sz w:val="22"/>
          <w:szCs w:val="22"/>
        </w:rPr>
        <w:t xml:space="preserve">**Fourth, Foucault's own argument:** As mentioned in Chapter Five, the philosopher Michel Foucault — among the most prominent intellectuals sympathetic to the movement — argued that homosexuality as identity is a modern social construct. If this philosopher who is regarded as a "pioneer" of the movement rejects the idea of innate identity, how do supporters today invoke this idea as a popular argument?</w:t>
      </w:r>
    </w:p>
    <w:p>
      <w:pPr>
        <w:spacing w:after="160"/>
        <w:jc w:val="left"/>
      </w:pPr>
      <w:r>
        <w:rPr>
          <w:sz w:val="22"/>
          <w:szCs w:val="22"/>
        </w:rPr>
        <w:t xml:space="preserve">**Fifth, sexual fluidity:** The research of Lisa Diamond at the University of Utah, especially her book *Sexual Fluidity* (2008), found that sexual orientation — especially in women — is more fluid than was thought. The researcher estimated that approximately 60% of "lesbian" women she followed changed their orientation definition over ten years. This contradicts "innate fixity."</w:t>
      </w:r>
    </w:p>
    <w:p>
      <w:pPr>
        <w:spacing w:after="160"/>
        <w:jc w:val="left"/>
      </w:pPr>
      <w:r>
        <w:rPr>
          <w:sz w:val="22"/>
          <w:szCs w:val="22"/>
        </w:rPr>
        <w:t xml:space="preserve">The conclusion: contemporary science — even from researchers sympathetic to the movement — does not support the "born this way" model with the strength popularly promoted.</w:t>
      </w:r>
    </w:p>
    <w:p>
      <w:pPr>
        <w:spacing w:after="160"/>
        <w:jc w:val="left"/>
      </w:pPr>
      <w:r>
        <w:rPr>
          <w:sz w:val="22"/>
          <w:szCs w:val="22"/>
        </w:rPr>
        <w:t xml:space="preserve">## Critique of Religious Reinterpretation</w:t>
      </w:r>
    </w:p>
    <w:p>
      <w:pPr>
        <w:spacing w:after="160"/>
        <w:jc w:val="left"/>
      </w:pPr>
      <w:r>
        <w:rPr>
          <w:sz w:val="22"/>
          <w:szCs w:val="22"/>
        </w:rPr>
        <w:t xml:space="preserve">The "revisionist" religious readings presented in the previous chapter face genuine interpretive problems:</w:t>
      </w:r>
    </w:p>
    <w:p>
      <w:pPr>
        <w:spacing w:after="160"/>
        <w:jc w:val="left"/>
      </w:pPr>
      <w:r>
        <w:rPr>
          <w:sz w:val="22"/>
          <w:szCs w:val="22"/>
        </w:rPr>
        <w:t xml:space="preserve">**1. The Sodom story:** It is true that assault on guests was part of the sin of Sodom's people, but the Qur'anic text is clear that sexual indecency was the core of the sin: "Indeed, you approach men with desire instead of women" (al-A'rāf 7:81). The Qur'an leaves no room for distorted interpretation. Likewise in the Hebrew Bible: although Ezekiel 16 mentions pride, Genesis 19 describes the act explicitly, and Jude 1:7 ties the sin to "fornication and going after strange flesh."</w:t>
      </w:r>
    </w:p>
    <w:p>
      <w:pPr>
        <w:spacing w:after="160"/>
        <w:jc w:val="left"/>
      </w:pPr>
      <w:r>
        <w:rPr>
          <w:sz w:val="22"/>
          <w:szCs w:val="22"/>
        </w:rPr>
        <w:t xml:space="preserve">**2. The Levitical texts:** It is incorrect that Christianity abolished all Levitical laws — moral matters (such as the prohibitions of murder, theft, and adultery) remained binding. The sexual prohibitions in Leviticus 18 and 20 come within a moral, not ritual, framework, and have a context tying them to the Canaanites whom God destroyed.</w:t>
      </w:r>
    </w:p>
    <w:p>
      <w:pPr>
        <w:spacing w:after="160"/>
        <w:jc w:val="left"/>
      </w:pPr>
      <w:r>
        <w:rPr>
          <w:sz w:val="22"/>
          <w:szCs w:val="22"/>
        </w:rPr>
        <w:t xml:space="preserve">**3. Paul's words:** The term Paul used (*Arsenokoitai*) in 1 Corinthians 6:9 and 1 Timothy 1:10 is not a term for exploitation, but a Pauline coinage drawn directly from Leviticus 18:22 in the Greek Septuagint. That is, Paul deliberately stated his prohibition's link to Jewish law, not to specific Roman patterns.</w:t>
      </w:r>
    </w:p>
    <w:p>
      <w:pPr>
        <w:spacing w:after="160"/>
        <w:jc w:val="left"/>
      </w:pPr>
      <w:r>
        <w:rPr>
          <w:sz w:val="22"/>
          <w:szCs w:val="22"/>
        </w:rPr>
        <w:t xml:space="preserve">**4. Revisionist Islamic readings:** Scott Kugle's reading in his book *Homosexuality in Islam* (2010) was met with multiple scholarly responses from Muslim scholars (such as Shaykh Yasir Qadhi and Dr. Jonathan Brown), showing that Kugle confused linguistic analysis with interpretation, and that the historical position of the majority of the *Ummah* is decisive. The hadith "Whoever you find committing the act of the people of Lot..." specifies the act, not assault alone.</w:t>
      </w:r>
    </w:p>
    <w:p>
      <w:pPr>
        <w:spacing w:after="160"/>
        <w:jc w:val="left"/>
      </w:pPr>
      <w:r>
        <w:rPr>
          <w:sz w:val="22"/>
          <w:szCs w:val="22"/>
        </w:rPr>
        <w:t xml:space="preserve">The general methodological problem with "revisionist" readings is that they come after the conviction, not before: a person becomes convinced of the position, then returns to the texts to extract from them what supports his conviction. This inverts interpretation from a discovery of meaning into a justification of conviction.</w:t>
      </w:r>
    </w:p>
    <w:p>
      <w:pPr>
        <w:spacing w:after="160"/>
        <w:jc w:val="left"/>
      </w:pPr>
      <w:r>
        <w:rPr>
          <w:sz w:val="22"/>
          <w:szCs w:val="22"/>
        </w:rPr>
        <w:t xml:space="preserve">## Critique of the "Harm" Argument</w:t>
      </w:r>
    </w:p>
    <w:p>
      <w:pPr>
        <w:spacing w:after="160"/>
        <w:jc w:val="left"/>
      </w:pPr>
      <w:r>
        <w:rPr>
          <w:sz w:val="22"/>
          <w:szCs w:val="22"/>
        </w:rPr>
        <w:t xml:space="preserve">John Stuart Mill's "harm" argument suffers from deep philosophical problems:</w:t>
      </w:r>
    </w:p>
    <w:p>
      <w:pPr>
        <w:spacing w:after="160"/>
        <w:jc w:val="left"/>
      </w:pPr>
      <w:r>
        <w:rPr>
          <w:sz w:val="22"/>
          <w:szCs w:val="22"/>
        </w:rPr>
        <w:t xml:space="preserve">**First, the definition of harm:** What is harm? Is it only direct harm, or does it include indirect harm to social structure? The social institution of marriage has wide social effects on children, families, and culture. Changing its definition is not a purely "private" act.</w:t>
      </w:r>
    </w:p>
    <w:p>
      <w:pPr>
        <w:spacing w:after="160"/>
        <w:jc w:val="left"/>
      </w:pPr>
      <w:r>
        <w:rPr>
          <w:sz w:val="22"/>
          <w:szCs w:val="22"/>
        </w:rPr>
        <w:t xml:space="preserve">**Second, harm to children:** Same-sex marriage by its nature ensures that the adopted child is deprived of either a mother or a father. The available research, as we noted, does not settle the matter, but the precautionary principle requires not asserting that "there is no harm."</w:t>
      </w:r>
    </w:p>
    <w:p>
      <w:pPr>
        <w:spacing w:after="160"/>
        <w:jc w:val="left"/>
      </w:pPr>
      <w:r>
        <w:rPr>
          <w:sz w:val="22"/>
          <w:szCs w:val="22"/>
        </w:rPr>
        <w:t xml:space="preserve">**Third, health harm:** Multiple epidemiological studies indicate higher risk rates for sexually transmitted diseases in certain behavioral subsets, especially anal contact. This is real health harm, not mere "stigma."</w:t>
      </w:r>
    </w:p>
    <w:p>
      <w:pPr>
        <w:spacing w:after="160"/>
        <w:jc w:val="left"/>
      </w:pPr>
      <w:r>
        <w:rPr>
          <w:sz w:val="22"/>
          <w:szCs w:val="22"/>
        </w:rPr>
        <w:t xml:space="preserve">**Fourth, Mill's own argument has limits:** Mill did not call for absolute equivalence among all behaviors but set limits even within the framework of liberty. Mill himself wrote about "the limits of social authority over the individual" and about the individual's responsibilities to society.</w:t>
      </w:r>
    </w:p>
    <w:p>
      <w:pPr>
        <w:spacing w:after="160"/>
        <w:jc w:val="left"/>
      </w:pPr>
      <w:r>
        <w:rPr>
          <w:sz w:val="22"/>
          <w:szCs w:val="22"/>
        </w:rPr>
        <w:t xml:space="preserve">## Concern for Minors</w:t>
      </w:r>
    </w:p>
    <w:p>
      <w:pPr>
        <w:spacing w:after="160"/>
        <w:jc w:val="left"/>
      </w:pPr>
      <w:r>
        <w:rPr>
          <w:sz w:val="22"/>
          <w:szCs w:val="22"/>
        </w:rPr>
        <w:t xml:space="preserve">Among the most important contemporary concerns, especially after the major shift toward gender questions, is the protection of minors. British and European scientific reports have expressed growing concern:</w:t>
      </w:r>
    </w:p>
    <w:p>
      <w:pPr>
        <w:spacing w:after="160"/>
        <w:jc w:val="left"/>
      </w:pPr>
      <w:r>
        <w:rPr>
          <w:sz w:val="22"/>
          <w:szCs w:val="22"/>
        </w:rPr>
        <w:t xml:space="preserve">**1. The Cass Review (2024):** As noted, this official British report concluded that the scientific evidence for the effectiveness of puberty blockers and hormonal treatment in children was "remarkably weak," and recommended slowing pediatric gender intervention.</w:t>
      </w:r>
    </w:p>
    <w:p>
      <w:pPr>
        <w:spacing w:after="160"/>
        <w:jc w:val="left"/>
      </w:pPr>
      <w:r>
        <w:rPr>
          <w:sz w:val="22"/>
          <w:szCs w:val="22"/>
        </w:rPr>
        <w:t xml:space="preserve">**2. Sweden (2022):** Decided to restrict hormonal treatment for minors.</w:t>
      </w:r>
    </w:p>
    <w:p>
      <w:pPr>
        <w:spacing w:after="160"/>
        <w:jc w:val="left"/>
      </w:pPr>
      <w:r>
        <w:rPr>
          <w:sz w:val="22"/>
          <w:szCs w:val="22"/>
        </w:rPr>
        <w:t xml:space="preserve">**3. Finland (2020):** Adopted a more cautious position, with strict protocols.</w:t>
      </w:r>
    </w:p>
    <w:p>
      <w:pPr>
        <w:spacing w:after="160"/>
        <w:jc w:val="left"/>
      </w:pPr>
      <w:r>
        <w:rPr>
          <w:sz w:val="22"/>
          <w:szCs w:val="22"/>
        </w:rPr>
        <w:t xml:space="preserve">**4. France (2022):** The French Academy of Medicine recommended greater caution.</w:t>
      </w:r>
    </w:p>
    <w:p>
      <w:pPr>
        <w:spacing w:after="160"/>
        <w:jc w:val="left"/>
      </w:pPr>
      <w:r>
        <w:rPr>
          <w:sz w:val="22"/>
          <w:szCs w:val="22"/>
        </w:rPr>
        <w:t xml:space="preserve">These decisions came from countries that were not "hostile" to the movement but supportive ones, yet medical evidence drove them to reconsider. This weakens the claim that anyone concerned about minors is a "religious extremist."</w:t>
      </w:r>
    </w:p>
    <w:p>
      <w:pPr>
        <w:spacing w:after="160"/>
        <w:jc w:val="left"/>
      </w:pPr>
      <w:r>
        <w:rPr>
          <w:sz w:val="22"/>
          <w:szCs w:val="22"/>
        </w:rPr>
        <w:t xml:space="preserve">## Religious Liberty and Conscience</w:t>
      </w:r>
    </w:p>
    <w:p>
      <w:pPr>
        <w:spacing w:after="160"/>
        <w:jc w:val="left"/>
      </w:pPr>
      <w:r>
        <w:rPr>
          <w:sz w:val="22"/>
          <w:szCs w:val="22"/>
        </w:rPr>
        <w:t xml:space="preserve">The problem that has emerged strongly in recent years is the conflict between "LGBTQ rights" and "religious liberty and conscience." Multiple cases have arisen:</w:t>
      </w:r>
    </w:p>
    <w:p>
      <w:pPr>
        <w:spacing w:after="160"/>
        <w:jc w:val="left"/>
      </w:pPr>
      <w:r>
        <w:rPr>
          <w:sz w:val="22"/>
          <w:szCs w:val="22"/>
        </w:rPr>
        <w:t xml:space="preserve">- Baker Jack Phillips and florist Barronelle Stutzman in the United States, who refused to provide their services for same-sex weddings on religious grounds and faced legal proceedings. - Teachers and nurses in Britain dismissed for refusing to use new pronouns called for by gender identity. - Religious schools in Canada and Australia threatened with loss of public funding for adhering to traditional curricula. - Workers in universities and corporations forced to participate in "diversity" trainings that conflict with their convictions.</w:t>
      </w:r>
    </w:p>
    <w:p>
      <w:pPr>
        <w:spacing w:after="160"/>
        <w:jc w:val="left"/>
      </w:pPr>
      <w:r>
        <w:rPr>
          <w:sz w:val="22"/>
          <w:szCs w:val="22"/>
        </w:rPr>
        <w:t xml:space="preserve">The issue here is not the existence of rights for homosexuals, but that these rights expand in a way that violates the rights of others. The moral space for "coexistence with difference" — to which supporters sometimes call — shrinks when the dissenter is forced into actual cooperation, not mere passive tolerance.</w:t>
      </w:r>
    </w:p>
    <w:p>
      <w:pPr>
        <w:spacing w:after="160"/>
        <w:jc w:val="left"/>
      </w:pPr>
      <w:r>
        <w:rPr>
          <w:sz w:val="22"/>
          <w:szCs w:val="22"/>
        </w:rPr>
        <w:t xml:space="preserve">## Critique of the "Slippery Slope to Violence" Argument</w:t>
      </w:r>
    </w:p>
    <w:p>
      <w:pPr>
        <w:spacing w:after="160"/>
        <w:jc w:val="left"/>
      </w:pPr>
      <w:r>
        <w:rPr>
          <w:sz w:val="22"/>
          <w:szCs w:val="22"/>
        </w:rPr>
        <w:t xml:space="preserve">It is important to distinguish between rejecting behavior on moral grounds and inciting violence against persons. Islam prohibits the act but commands compassion toward people. The Muslim who adheres to the juristic position and harms no one cannot fairly be described as "inciting." Conflating moral rejection with violence is an attempt to silence criticism by reversing the accusation, not a philosophical argument.</w:t>
      </w:r>
    </w:p>
    <w:p>
      <w:pPr>
        <w:spacing w:after="160"/>
        <w:jc w:val="left"/>
      </w:pPr>
      <w:r>
        <w:rPr>
          <w:sz w:val="22"/>
          <w:szCs w:val="22"/>
        </w:rPr>
        <w:t xml:space="preserve">## Chapter Summary</w:t>
      </w:r>
    </w:p>
    <w:p>
      <w:pPr>
        <w:spacing w:after="160"/>
        <w:jc w:val="left"/>
      </w:pPr>
      <w:r>
        <w:rPr>
          <w:sz w:val="22"/>
          <w:szCs w:val="22"/>
        </w:rPr>
        <w:t xml:space="preserve">The arguments supporting the contemporary LGBTQ movement — despite their emotional and political force — face real difficulties on scientific, philosophical, and religious levels. It is fair to acknowledge that some of them deserve reflection (such as concern for the dignity of persons and prevention of violence), but many of them — especially the "born this way" argument, the "harm" argument, and the textual readings — collapse under scrutiny. The fair-minded reader can preserve human compassion for persons without surrendering to all the arguments attached to the cause. And God knows best.</w:t>
      </w:r>
    </w:p>
    <w:p>
      <w:r>
        <w:br w:type="page"/>
      </w:r>
    </w:p>
    <w:p>
      <w:pPr>
        <w:spacing w:after="360" w:before="600"/>
        <w:jc w:val="center"/>
      </w:pPr>
      <w:r>
        <w:rPr>
          <w:b/>
          <w:bCs/>
          <w:color w:val="1B3A5C"/>
          <w:sz w:val="36"/>
          <w:szCs w:val="36"/>
        </w:rPr>
        <w:t xml:space="preserve">Chapter Twelve: The Islamic Position</w:t>
      </w:r>
    </w:p>
    <w:p>
      <w:pPr>
        <w:spacing w:after="160"/>
        <w:jc w:val="left"/>
      </w:pPr>
      <w:r>
        <w:rPr>
          <w:sz w:val="22"/>
          <w:szCs w:val="22"/>
        </w:rPr>
        <w:t xml:space="preserve">"Indeed, you approach men with desire instead of women. Rather, you are a transgressing people." (Qur'an, al-A'rāf 7:81)</w:t>
      </w:r>
    </w:p>
    <w:p>
      <w:pPr>
        <w:spacing w:after="160"/>
        <w:jc w:val="left"/>
      </w:pPr>
      <w:r>
        <w:rPr>
          <w:sz w:val="22"/>
          <w:szCs w:val="22"/>
        </w:rPr>
        <w:t xml:space="preserve">## Introduction: The Place of the Subject in Islam</w:t>
      </w:r>
    </w:p>
    <w:p>
      <w:pPr>
        <w:spacing w:after="160"/>
        <w:jc w:val="left"/>
      </w:pPr>
      <w:r>
        <w:rPr>
          <w:sz w:val="22"/>
          <w:szCs w:val="22"/>
        </w:rPr>
        <w:t xml:space="preserve">The subject of *liwāṭ* in Islam is not a small juristic branch but a subject repeatedly mentioned in the Qur'an in more than twelve sūrahs, detailed in the Prophetic Sunnah, and settled in juristic consensus across the centuries. Islam's position is not a discretionary view subject to change with whims or pressures; it is a categorical textual position, in which the four primary sources align: the Qur'an, the Sunnah, consensus, and analogy.</w:t>
      </w:r>
    </w:p>
    <w:p>
      <w:pPr>
        <w:spacing w:after="160"/>
        <w:jc w:val="left"/>
      </w:pPr>
      <w:r>
        <w:rPr>
          <w:sz w:val="22"/>
          <w:szCs w:val="22"/>
        </w:rPr>
        <w:t xml:space="preserve">## Evidence from the Qur'an</w:t>
      </w:r>
    </w:p>
    <w:p>
      <w:pPr>
        <w:spacing w:after="160"/>
        <w:jc w:val="left"/>
      </w:pPr>
      <w:r>
        <w:rPr>
          <w:sz w:val="22"/>
          <w:szCs w:val="22"/>
        </w:rPr>
        <w:t xml:space="preserve">First, the Qur'anic texts leave no room for distorted interpretation. We will review the most prominent:</w:t>
      </w:r>
    </w:p>
    <w:p>
      <w:pPr>
        <w:spacing w:after="160"/>
        <w:jc w:val="left"/>
      </w:pPr>
      <w:r>
        <w:rPr>
          <w:sz w:val="22"/>
          <w:szCs w:val="22"/>
        </w:rPr>
        <w:t xml:space="preserve">**Sūrat al-A'rāf:** "And Lot, when he said to his people: 'Do you commit such an indecency that none in the worlds had ever committed before you? Indeed, you approach men with desire instead of women. Rather, you are a transgressing people.'" (al-A'rāf 7:80–81). The verse is clear that the indecency in question is "approaching men" — the sexual behavior with them, not mere inclination or assault.</w:t>
      </w:r>
    </w:p>
    <w:p>
      <w:pPr>
        <w:spacing w:after="160"/>
        <w:jc w:val="left"/>
      </w:pPr>
      <w:r>
        <w:rPr>
          <w:sz w:val="22"/>
          <w:szCs w:val="22"/>
        </w:rPr>
        <w:t xml:space="preserve">**Sūrat Hūd:** "And his people came hurrying to him, and they had been previously committing evils. He said: 'O my people, these are my daughters; they are purer for you. So fear God and do not disgrace me concerning my guests.'" (Hūd 11:78). Lot's offer of his daughters in marriage is clear evidence that the rejected indecency was sexual relations with men, not merely assault on guests.</w:t>
      </w:r>
    </w:p>
    <w:p>
      <w:pPr>
        <w:spacing w:after="160"/>
        <w:jc w:val="left"/>
      </w:pPr>
      <w:r>
        <w:rPr>
          <w:sz w:val="22"/>
          <w:szCs w:val="22"/>
        </w:rPr>
        <w:t xml:space="preserve">**Sūrat al-Shu'arā':** "Do you approach males among the worlds and leave what your Lord created for you of your wives? Rather, you are a transgressing people." (al-Shu'arā' 26:165–166). The verse combines: the act with males, leaving wives, and the description as "transgressing" (i.e., exceeding bounds).</w:t>
      </w:r>
    </w:p>
    <w:p>
      <w:pPr>
        <w:spacing w:after="160"/>
        <w:jc w:val="left"/>
      </w:pPr>
      <w:r>
        <w:rPr>
          <w:sz w:val="22"/>
          <w:szCs w:val="22"/>
        </w:rPr>
        <w:t xml:space="preserve">**Sūrat al-'Ankabūt:** "Indeed, you approach men, cut off the highway, and commit evil in your gatherings." (al-'Ankabūt 29:29). The verse counts three distinct crimes: approaching men, highway robbery, and public evil. These are independent offenses, not a reduction of one to another.</w:t>
      </w:r>
    </w:p>
    <w:p>
      <w:pPr>
        <w:spacing w:after="160"/>
        <w:jc w:val="left"/>
      </w:pPr>
      <w:r>
        <w:rPr>
          <w:sz w:val="22"/>
          <w:szCs w:val="22"/>
        </w:rPr>
        <w:t xml:space="preserve">**Sūrat al-Naml:** "Do you commit indecency while you see? Indeed, you approach men with desire instead of women. Rather, you are a people behaving ignorantly." (al-Naml 27:54–55). We see here rhetorical reinforcement: "indecency" is the general meaning, detailed by "approaching men with desire."</w:t>
      </w:r>
    </w:p>
    <w:p>
      <w:pPr>
        <w:spacing w:after="160"/>
        <w:jc w:val="left"/>
      </w:pPr>
      <w:r>
        <w:rPr>
          <w:sz w:val="22"/>
          <w:szCs w:val="22"/>
        </w:rPr>
        <w:t xml:space="preserve">No serious scholarly interpretation can negate what is clear in the texts. When the Qur'an wished to refer to "assault on guests" elsewhere (Companions of the Cave, Joseph, peace be upon him), it used different expressions. Here, the sexual expression is explicit.</w:t>
      </w:r>
    </w:p>
    <w:p>
      <w:pPr>
        <w:spacing w:after="160"/>
        <w:jc w:val="left"/>
      </w:pPr>
      <w:r>
        <w:rPr>
          <w:sz w:val="22"/>
          <w:szCs w:val="22"/>
        </w:rPr>
        <w:t xml:space="preserve">## Evidence from the Prophetic Sunnah</w:t>
      </w:r>
    </w:p>
    <w:p>
      <w:pPr>
        <w:spacing w:after="160"/>
        <w:jc w:val="left"/>
      </w:pPr>
      <w:r>
        <w:rPr>
          <w:sz w:val="22"/>
          <w:szCs w:val="22"/>
        </w:rPr>
        <w:t xml:space="preserve">The Sunnah explains the Qur'an, and multiple hadith have come on this subject:</w:t>
      </w:r>
    </w:p>
    <w:p>
      <w:pPr>
        <w:spacing w:after="160"/>
        <w:jc w:val="left"/>
      </w:pPr>
      <w:r>
        <w:rPr>
          <w:sz w:val="22"/>
          <w:szCs w:val="22"/>
        </w:rPr>
        <w:t xml:space="preserve">**The first hadith:** Aḥmad, Abū Dāwūd, al-Tirmidhī, and Ibn Mājah narrated from Ibn 'Abbās (may God be pleased with both) that the Prophet (peace be upon him) said: "Whoever you find committing the act of the people of Lot, kill the doer and the one done to." Some hadith scholars (such as al-Albānī) authenticated this hadith; others weakened it on chain grounds, but its meaning is supported by other hadith and Qur'anic evidence.</w:t>
      </w:r>
    </w:p>
    <w:p>
      <w:pPr>
        <w:spacing w:after="160"/>
        <w:jc w:val="left"/>
      </w:pPr>
      <w:r>
        <w:rPr>
          <w:sz w:val="22"/>
          <w:szCs w:val="22"/>
        </w:rPr>
        <w:t xml:space="preserve">**The second hadith:** "Four whom God will not look at on the Day of Resurrection: the one who is undutiful to his parents, the reproacher, the one who denies divine decree, and the perpetual drunkard" — and in some narrations is added "the one who acts the act of the people of Lot."</w:t>
      </w:r>
    </w:p>
    <w:p>
      <w:pPr>
        <w:spacing w:after="160"/>
        <w:jc w:val="left"/>
      </w:pPr>
      <w:r>
        <w:rPr>
          <w:sz w:val="22"/>
          <w:szCs w:val="22"/>
        </w:rPr>
        <w:t xml:space="preserve">**The third hadith:** "May God curse whoever does the act of the people of Lot, may God curse whoever does the act of the people of Lot, may God curse whoever does the act of the people of Lot" (narrated through multiple chains; the Prophet repeated the curse three times).</w:t>
      </w:r>
    </w:p>
    <w:p>
      <w:pPr>
        <w:spacing w:after="160"/>
        <w:jc w:val="left"/>
      </w:pPr>
      <w:r>
        <w:rPr>
          <w:sz w:val="22"/>
          <w:szCs w:val="22"/>
        </w:rPr>
        <w:t xml:space="preserve">The cumulative weight of these hadith, even considering chain discussions about some, conveys decisive evidence on the matter.</w:t>
      </w:r>
    </w:p>
    <w:p>
      <w:pPr>
        <w:spacing w:after="160"/>
        <w:jc w:val="left"/>
      </w:pPr>
      <w:r>
        <w:rPr>
          <w:sz w:val="22"/>
          <w:szCs w:val="22"/>
        </w:rPr>
        <w:t xml:space="preserve">## Consensus of the Ummah</w:t>
      </w:r>
    </w:p>
    <w:p>
      <w:pPr>
        <w:spacing w:after="160"/>
        <w:jc w:val="left"/>
      </w:pPr>
      <w:r>
        <w:rPr>
          <w:sz w:val="22"/>
          <w:szCs w:val="22"/>
        </w:rPr>
        <w:t xml:space="preserve">Among the greatest evidences in Islamic jurisprudence is consensus (*ijmā'*). The scholars of the Islamic Ummah, from the era of the Companions to the present, have agreed unanimously on the categorical prohibition of *liwāṭ*. No reputable scholar has stated that it is permissible. Consensus in Islam is decisive evidence.</w:t>
      </w:r>
    </w:p>
    <w:p>
      <w:pPr>
        <w:spacing w:after="160"/>
        <w:jc w:val="left"/>
      </w:pPr>
      <w:r>
        <w:rPr>
          <w:sz w:val="22"/>
          <w:szCs w:val="22"/>
        </w:rPr>
        <w:t xml:space="preserve">Among the most prominent statements:</w:t>
      </w:r>
    </w:p>
    <w:p>
      <w:pPr>
        <w:spacing w:after="160"/>
        <w:jc w:val="left"/>
      </w:pPr>
      <w:r>
        <w:rPr>
          <w:sz w:val="22"/>
          <w:szCs w:val="22"/>
        </w:rPr>
        <w:t xml:space="preserve">- **Imam al-Shāfi'ī (d. 204 AH):** Reported in *al-Umm* that *liwāṭ* is among the major sins on which there is no disagreement. - **Imam Aḥmad (d. 241 AH):** Affirmed the categorical prohibition. - **Ibn Qudāmah (d. 620 AH):** Reported the consensus in *al-Mughnī*. - **Al-Nawawī (d. 676 AH):** Reported the consensus in *al-Majmū'* and elsewhere. - **Ibn Taymiyyah (d. 728 AH):** Wrote in his fatwas, citing consensus, calling the matter "necessarily known from religion." - **Ibn al-Qayyim (d. 751 AH):** Wrote a full chapter on the subject in *al-Jawāb al-Kāfī* and *Rawḍat al-Muḥibbīn*.</w:t>
      </w:r>
    </w:p>
    <w:p>
      <w:pPr>
        <w:spacing w:after="160"/>
        <w:jc w:val="left"/>
      </w:pPr>
      <w:r>
        <w:rPr>
          <w:sz w:val="22"/>
          <w:szCs w:val="22"/>
        </w:rPr>
        <w:t xml:space="preserve">It is important to note that this consensus was not merely theoretical; the Ummah practiced it in its legislation, fatwas, and customary norms for over 1,400 years. Any attempt to overturn this consensus — as some contemporary writers attempt — collides with the principles of Islamic jurisprudence.</w:t>
      </w:r>
    </w:p>
    <w:p>
      <w:pPr>
        <w:spacing w:after="160"/>
        <w:jc w:val="left"/>
      </w:pPr>
      <w:r>
        <w:rPr>
          <w:sz w:val="22"/>
          <w:szCs w:val="22"/>
        </w:rPr>
        <w:t xml:space="preserve">## The Distinction Between Inclination and Act</w:t>
      </w:r>
    </w:p>
    <w:p>
      <w:pPr>
        <w:spacing w:after="160"/>
        <w:jc w:val="left"/>
      </w:pPr>
      <w:r>
        <w:rPr>
          <w:sz w:val="22"/>
          <w:szCs w:val="22"/>
        </w:rPr>
        <w:t xml:space="preserve">Among the most important matters to highlight — and which extremists from two opposing directions persistently obscure — is the juristic distinction between three:</w:t>
      </w:r>
    </w:p>
    <w:p>
      <w:pPr>
        <w:spacing w:after="160"/>
        <w:jc w:val="left"/>
      </w:pPr>
      <w:r>
        <w:rPr>
          <w:sz w:val="22"/>
          <w:szCs w:val="22"/>
        </w:rPr>
        <w:t xml:space="preserve">**First: Passing thoughts and whispers.** A Muslim may experience disordered inclinations without intent, and is not held responsible for preventing them at the outset since he has no direct control. The hadith: "God has overlooked for my Ummah what they think within themselves so long as they do not speak or act."</w:t>
      </w:r>
    </w:p>
    <w:p>
      <w:pPr>
        <w:spacing w:after="160"/>
        <w:jc w:val="left"/>
      </w:pPr>
      <w:r>
        <w:rPr>
          <w:sz w:val="22"/>
          <w:szCs w:val="22"/>
        </w:rPr>
        <w:t xml:space="preserve">**Second: Settled inclination.** If the inclination settles in the soul and continues, and the Muslim struggles against responding to it, he is in the position of a struggler, not a sinner. He is rewarded for his struggle. He does not enter sin so long as he does not act.</w:t>
      </w:r>
    </w:p>
    <w:p>
      <w:pPr>
        <w:spacing w:after="160"/>
        <w:jc w:val="left"/>
      </w:pPr>
      <w:r>
        <w:rPr>
          <w:sz w:val="22"/>
          <w:szCs w:val="22"/>
        </w:rPr>
        <w:t xml:space="preserve">**Third: The act.** This is the locus of categorical prohibition and the subject of *ḥadd* and discretionary punishment in jurisprudence.</w:t>
      </w:r>
    </w:p>
    <w:p>
      <w:pPr>
        <w:spacing w:after="160"/>
        <w:jc w:val="left"/>
      </w:pPr>
      <w:r>
        <w:rPr>
          <w:sz w:val="22"/>
          <w:szCs w:val="22"/>
        </w:rPr>
        <w:t xml:space="preserve">This distinction is not a concession but a precise application of the texts. The Qur'an and Sunnah prohibit "approaching" and "the act," not "feeling." Shaykh Yūsuf al-Qaraḍāwī, Shaykh 'Abd Allāh bin Bayyah, and the International Islamic Fiqh Academy have written several fatwas affirming this distinction.</w:t>
      </w:r>
    </w:p>
    <w:p>
      <w:pPr>
        <w:spacing w:after="160"/>
        <w:jc w:val="left"/>
      </w:pPr>
      <w:r>
        <w:rPr>
          <w:sz w:val="22"/>
          <w:szCs w:val="22"/>
        </w:rPr>
        <w:t xml:space="preserve">The practical implication is significant:</w:t>
      </w:r>
    </w:p>
    <w:p>
      <w:pPr>
        <w:spacing w:after="160"/>
        <w:jc w:val="left"/>
      </w:pPr>
      <w:r>
        <w:rPr>
          <w:sz w:val="22"/>
          <w:szCs w:val="22"/>
        </w:rPr>
        <w:t xml:space="preserve">- The Muslim who finds within himself a disordered inclination, seeks refuge in God from it, and struggles with himself is not an unbeliever or a sinner; he is a struggler and is rewarded. - It is impermissible to publicly shame him, accuse him of betrayal, or exclude him from mosques and Muslim communities. - He must be provided confidentiality, counsel, and Islamic psychological support.</w:t>
      </w:r>
    </w:p>
    <w:p>
      <w:pPr>
        <w:spacing w:after="160"/>
        <w:jc w:val="left"/>
      </w:pPr>
      <w:r>
        <w:rPr>
          <w:sz w:val="22"/>
          <w:szCs w:val="22"/>
        </w:rPr>
        <w:t xml:space="preserve">## Pastoral and Da'wah Approach</w:t>
      </w:r>
    </w:p>
    <w:p>
      <w:pPr>
        <w:spacing w:after="160"/>
        <w:jc w:val="left"/>
      </w:pPr>
      <w:r>
        <w:rPr>
          <w:sz w:val="22"/>
          <w:szCs w:val="22"/>
        </w:rPr>
        <w:t xml:space="preserve">How do scholars deal with the Muslim who finds this inclination within himself? The Islamic approach combines firmness in ruling and compassion in conduct:</w:t>
      </w:r>
    </w:p>
    <w:p>
      <w:pPr>
        <w:spacing w:after="160"/>
        <w:jc w:val="left"/>
      </w:pPr>
      <w:r>
        <w:rPr>
          <w:sz w:val="22"/>
          <w:szCs w:val="22"/>
        </w:rPr>
        <w:t xml:space="preserve">**1. Confidentiality:** Concealment is commanded in Islam. Al-Ḥākim and others narrated: "Whoever commits any of these vile things, let him conceal it with God's concealment." Public confession and exposure are not part of the Islamic approach.</w:t>
      </w:r>
    </w:p>
    <w:p>
      <w:pPr>
        <w:spacing w:after="160"/>
        <w:jc w:val="left"/>
      </w:pPr>
      <w:r>
        <w:rPr>
          <w:sz w:val="22"/>
          <w:szCs w:val="22"/>
        </w:rPr>
        <w:t xml:space="preserve">**2. Repentance:** The door of repentance is open for every sin. The Qur'an gives glad tidings to those who repent: "And turn to God in repentance all of you, O believers, that you may succeed." (al-Nūr 24:31). Repentance from the act consists of regret, ceasing, and resolve not to return.</w:t>
      </w:r>
    </w:p>
    <w:p>
      <w:pPr>
        <w:spacing w:after="160"/>
        <w:jc w:val="left"/>
      </w:pPr>
      <w:r>
        <w:rPr>
          <w:sz w:val="22"/>
          <w:szCs w:val="22"/>
        </w:rPr>
        <w:t xml:space="preserve">**3. Patience and struggle:** For one who finds the inclination within himself but does not act on it: he must be patient — that is the level of struggle of the soul referred to in the Prophetic text: "The fighter is the one who fights his soul for God's sake."</w:t>
      </w:r>
    </w:p>
    <w:p>
      <w:pPr>
        <w:spacing w:after="160"/>
        <w:jc w:val="left"/>
      </w:pPr>
      <w:r>
        <w:rPr>
          <w:sz w:val="22"/>
          <w:szCs w:val="22"/>
        </w:rPr>
        <w:t xml:space="preserve">**4. Avoiding triggers:** Distance from situations and persons that provoke the inclination, and pursuing appropriate psychological and spiritual treatment.</w:t>
      </w:r>
    </w:p>
    <w:p>
      <w:pPr>
        <w:spacing w:after="160"/>
        <w:jc w:val="left"/>
      </w:pPr>
      <w:r>
        <w:rPr>
          <w:sz w:val="22"/>
          <w:szCs w:val="22"/>
        </w:rPr>
        <w:t xml:space="preserve">**5. Marriage:** For some, marriage to the opposite sex may be a solution, especially for those with dual or mild inclination — what is called a "mixed-orientation marriage." But this requires individual study and honesty with the other party.</w:t>
      </w:r>
    </w:p>
    <w:p>
      <w:pPr>
        <w:spacing w:after="160"/>
        <w:jc w:val="left"/>
      </w:pPr>
      <w:r>
        <w:rPr>
          <w:sz w:val="22"/>
          <w:szCs w:val="22"/>
        </w:rPr>
        <w:t xml:space="preserve">## Major Contemporary Fatwas</w:t>
      </w:r>
    </w:p>
    <w:p>
      <w:pPr>
        <w:spacing w:after="160"/>
        <w:jc w:val="left"/>
      </w:pPr>
      <w:r>
        <w:rPr>
          <w:sz w:val="22"/>
          <w:szCs w:val="22"/>
        </w:rPr>
        <w:t xml:space="preserve">The major contemporary Islamic institutions have agreed on the firmness of the juristic position:</w:t>
      </w:r>
    </w:p>
    <w:p>
      <w:pPr>
        <w:spacing w:after="160"/>
        <w:jc w:val="left"/>
      </w:pPr>
      <w:r>
        <w:rPr>
          <w:sz w:val="22"/>
          <w:szCs w:val="22"/>
        </w:rPr>
        <w:t xml:space="preserve">- **The Council of Senior Scholars in Saudi Arabia:** Has issued multiple fatwas affirming the prohibition. - **The International Islamic Fiqh Academy (Jeddah):** Decision No. 175 (19/1) at its sixteenth session (2005) affirmed the prohibition. - **Al-Azhar:** Has issued successive statements affirming the position. - **The scholarly bodies in India, Pakistan, Indonesia, and Malaysia:** All hold the same position.</w:t>
      </w:r>
    </w:p>
    <w:p>
      <w:pPr>
        <w:spacing w:after="160"/>
        <w:jc w:val="left"/>
      </w:pPr>
      <w:r>
        <w:rPr>
          <w:sz w:val="22"/>
          <w:szCs w:val="22"/>
        </w:rPr>
        <w:t xml:space="preserve">No scholarly departure of any reputable kind from this consensus has been recorded. The "Muslim researchers" cited as calling for revision are largely Western academics rather than scholars in the traditional sense — among them: Scott Kugle, Amina Wadud, and Fatima Mernissi. Their proposals have been answered by contemporary scholars such as Shaykh Yasir Qadhi, Dr. Jonathan Brown, and Shaykh Hamza Yusuf.</w:t>
      </w:r>
    </w:p>
    <w:p>
      <w:pPr>
        <w:spacing w:after="160"/>
        <w:jc w:val="left"/>
      </w:pPr>
      <w:r>
        <w:rPr>
          <w:sz w:val="22"/>
          <w:szCs w:val="22"/>
        </w:rPr>
        <w:t xml:space="preserve">## The Contemporary Reality: Pressures on Muslim Communities</w:t>
      </w:r>
    </w:p>
    <w:p>
      <w:pPr>
        <w:spacing w:after="160"/>
        <w:jc w:val="left"/>
      </w:pPr>
      <w:r>
        <w:rPr>
          <w:sz w:val="22"/>
          <w:szCs w:val="22"/>
        </w:rPr>
        <w:t xml:space="preserve">Muslim communities in the West today face unprecedented pressures:</w:t>
      </w:r>
    </w:p>
    <w:p>
      <w:pPr>
        <w:spacing w:after="160"/>
        <w:jc w:val="left"/>
      </w:pPr>
      <w:r>
        <w:rPr>
          <w:sz w:val="22"/>
          <w:szCs w:val="22"/>
        </w:rPr>
        <w:t xml:space="preserve">**1. Muslim community schools:** Required to modify their curricula to align with "inclusive" standards; lawsuits have been filed against some.</w:t>
      </w:r>
    </w:p>
    <w:p>
      <w:pPr>
        <w:spacing w:after="160"/>
        <w:jc w:val="left"/>
      </w:pPr>
      <w:r>
        <w:rPr>
          <w:sz w:val="22"/>
          <w:szCs w:val="22"/>
        </w:rPr>
        <w:t xml:space="preserve">**2. Islamic associations:** Some are restricted or denied funding or opportunities because of their position.</w:t>
      </w:r>
    </w:p>
    <w:p>
      <w:pPr>
        <w:spacing w:after="160"/>
        <w:jc w:val="left"/>
      </w:pPr>
      <w:r>
        <w:rPr>
          <w:sz w:val="22"/>
          <w:szCs w:val="22"/>
        </w:rPr>
        <w:t xml:space="preserve">**3. Imams:** Some sermons addressing the subject have been censored, and judicial inquiries have been opened against imams in Europe.</w:t>
      </w:r>
    </w:p>
    <w:p>
      <w:pPr>
        <w:spacing w:after="160"/>
        <w:jc w:val="left"/>
      </w:pPr>
      <w:r>
        <w:rPr>
          <w:sz w:val="22"/>
          <w:szCs w:val="22"/>
        </w:rPr>
        <w:t xml:space="preserve">**4. Children:** School curricula in many Western countries introduce LGBTQ concepts in primary grades, placing Muslim parents in a difficult position.</w:t>
      </w:r>
    </w:p>
    <w:p>
      <w:pPr>
        <w:spacing w:after="160"/>
        <w:jc w:val="left"/>
      </w:pPr>
      <w:r>
        <w:rPr>
          <w:sz w:val="22"/>
          <w:szCs w:val="22"/>
        </w:rPr>
        <w:t xml:space="preserve">**5. Civil marriage:** Many Muslims employed in official roles (civil registrars, for example) are required to register same-sex marriages.</w:t>
      </w:r>
    </w:p>
    <w:p>
      <w:pPr>
        <w:spacing w:after="160"/>
        <w:jc w:val="left"/>
      </w:pPr>
      <w:r>
        <w:rPr>
          <w:sz w:val="22"/>
          <w:szCs w:val="22"/>
        </w:rPr>
        <w:t xml:space="preserve">The Muslim in these conditions is called to patience, wisdom, adherence to the religious position with consideration of benefits and harms, and seeking the help of contemporary scholars and juristic counsel.</w:t>
      </w:r>
    </w:p>
    <w:p>
      <w:pPr>
        <w:spacing w:after="160"/>
        <w:jc w:val="left"/>
      </w:pPr>
      <w:r>
        <w:rPr>
          <w:sz w:val="22"/>
          <w:szCs w:val="22"/>
        </w:rPr>
        <w:t xml:space="preserve">## Chapter Summary</w:t>
      </w:r>
    </w:p>
    <w:p>
      <w:pPr>
        <w:spacing w:after="160"/>
        <w:jc w:val="left"/>
      </w:pPr>
      <w:r>
        <w:rPr>
          <w:sz w:val="22"/>
          <w:szCs w:val="22"/>
        </w:rPr>
        <w:t xml:space="preserve">Islam's position on *liwāṭ* is clear and decisive: the prohibition of the act by consensus, with a distinction between inclination and act, and a call for compassion toward the Muslim who struggles with himself. The Muslim today, in an era of pressures, is called to precise knowledge of his school before defending it, and to combine creedal firmness with human compassion. Calling to God on this issue is not done with contempt or mockery, but with wisdom and good preaching, in the way of the prophets of whom God said: "And We have not sent you except as a mercy to the worlds." (al-Anbiyā' 21:107). And God knows best.</w:t>
      </w:r>
    </w:p>
    <w:p>
      <w:r>
        <w:br w:type="page"/>
      </w:r>
    </w:p>
    <w:p>
      <w:pPr>
        <w:spacing w:after="360" w:before="600"/>
        <w:jc w:val="center"/>
      </w:pPr>
      <w:r>
        <w:rPr>
          <w:b/>
          <w:bCs/>
          <w:color w:val="1B3A5C"/>
          <w:sz w:val="36"/>
          <w:szCs w:val="36"/>
        </w:rPr>
        <w:t xml:space="preserve">Chapter Thirteen: The Positions of Judaism, Christianity, and Eastern Religions</w:t>
      </w:r>
    </w:p>
    <w:p>
      <w:pPr>
        <w:spacing w:after="160"/>
        <w:jc w:val="left"/>
      </w:pPr>
      <w:r>
        <w:rPr>
          <w:sz w:val="22"/>
          <w:szCs w:val="22"/>
        </w:rPr>
        <w:t xml:space="preserve">"For each [community], We have appointed a divine law and a way." (Qur'an, al-Mā'idah 5:48)</w:t>
      </w:r>
    </w:p>
    <w:p>
      <w:pPr>
        <w:spacing w:after="160"/>
        <w:jc w:val="left"/>
      </w:pPr>
      <w:r>
        <w:rPr>
          <w:sz w:val="22"/>
          <w:szCs w:val="22"/>
        </w:rPr>
        <w:t xml:space="preserve">## Introduction</w:t>
      </w:r>
    </w:p>
    <w:p>
      <w:pPr>
        <w:spacing w:after="160"/>
        <w:jc w:val="left"/>
      </w:pPr>
      <w:r>
        <w:rPr>
          <w:sz w:val="22"/>
          <w:szCs w:val="22"/>
        </w:rPr>
        <w:t xml:space="preserve">Our subject deserves consideration of the positions of other major religions for two reasons: first, to know the extent to which the global religious heritage aligns with the Islamic position; and second, to understand the ongoing transformations in some religions and churches and what they reveal about the nature of the contemporary struggle. In fairness, we should note that the divisions occurring in Western Christianity and Judaism today are not random but reflect a wider conflict between "modernity" and forms of traditional religious commitment.</w:t>
      </w:r>
    </w:p>
    <w:p>
      <w:pPr>
        <w:spacing w:after="160"/>
        <w:jc w:val="left"/>
      </w:pPr>
      <w:r>
        <w:rPr>
          <w:sz w:val="22"/>
          <w:szCs w:val="22"/>
        </w:rPr>
        <w:t xml:space="preserve">## First: Judaism</w:t>
      </w:r>
    </w:p>
    <w:p>
      <w:pPr>
        <w:spacing w:after="160"/>
        <w:jc w:val="left"/>
      </w:pPr>
      <w:r>
        <w:rPr>
          <w:sz w:val="22"/>
          <w:szCs w:val="22"/>
        </w:rPr>
        <w:t xml:space="preserve">The foundational texts in Judaism are clear. Leviticus says: "You shall not lie with a male as one lies with a female. It is an abomination." (Leviticus 18:22). And elsewhere: "If a man lies with a male as one lies with a female, both of them have committed an abomination; they shall surely be put to death; their blood is upon themselves." (Leviticus 20:13). The Hebrew word *toevah* (תּוֹעֵבָה), translated as "abomination," is used to refer to acts strictly forbidden.</w:t>
      </w:r>
    </w:p>
    <w:p>
      <w:pPr>
        <w:spacing w:after="160"/>
        <w:jc w:val="left"/>
      </w:pPr>
      <w:r>
        <w:rPr>
          <w:sz w:val="22"/>
          <w:szCs w:val="22"/>
        </w:rPr>
        <w:t xml:space="preserve">In traditional Jewish tradition, the position remained constant in all schools of *halakha* through the ages: from the Mishnah and Talmud, to Maimonides (Moses ben Maimon, 1138–1204) in his *Mishneh Torah*, to contemporary rabbinical jurists. This remains the official position of Orthodox Judaism today.</w:t>
      </w:r>
    </w:p>
    <w:p>
      <w:pPr>
        <w:spacing w:after="160"/>
        <w:jc w:val="left"/>
      </w:pPr>
      <w:r>
        <w:rPr>
          <w:sz w:val="22"/>
          <w:szCs w:val="22"/>
        </w:rPr>
        <w:t xml:space="preserve">**Orthodox Judaism:** Maintains the traditional position. Major Orthodox organizations (such as the Orthodox Union) have issued statements affirming the prohibition. Nevertheless, some contemporary Orthodox rabbis (such as Rabbi Steven Greenberg, controversially) have called for what they term "halakhic compassion" toward persons with the inclination, without compromising the text.</w:t>
      </w:r>
    </w:p>
    <w:p>
      <w:pPr>
        <w:spacing w:after="160"/>
        <w:jc w:val="left"/>
      </w:pPr>
      <w:r>
        <w:rPr>
          <w:sz w:val="22"/>
          <w:szCs w:val="22"/>
        </w:rPr>
        <w:t xml:space="preserve">**Conservative Judaism:** Experienced division. Until 2006, it maintained the traditional position. Then in December of that year, the Committee on Jewish Law and Standards adopted a decision allowing two contradictory positions: one traditional, the other permitting the ordination of homosexual rabbis and participation in their unions. This decision created a fissure within the movement.</w:t>
      </w:r>
    </w:p>
    <w:p>
      <w:pPr>
        <w:spacing w:after="160"/>
        <w:jc w:val="left"/>
      </w:pPr>
      <w:r>
        <w:rPr>
          <w:sz w:val="22"/>
          <w:szCs w:val="22"/>
        </w:rPr>
        <w:t xml:space="preserve">**Reform Judaism:** Fully abandoned the traditional position from 1990 onward. It legitimizes same-sex marriage, ordains homosexual clergy, and argues that the Levitical texts are "historical" rather than "absolutely moral."</w:t>
      </w:r>
    </w:p>
    <w:p>
      <w:pPr>
        <w:spacing w:after="160"/>
        <w:jc w:val="left"/>
      </w:pPr>
      <w:r>
        <w:rPr>
          <w:sz w:val="22"/>
          <w:szCs w:val="22"/>
        </w:rPr>
        <w:t xml:space="preserve">The division within Judaism follows almost the geographic and political divide: Orthodox Jews in Israel and conservative communities adhere to the text, while Reform American Jews engage with cultural shifts.</w:t>
      </w:r>
    </w:p>
    <w:p>
      <w:pPr>
        <w:spacing w:after="160"/>
        <w:jc w:val="left"/>
      </w:pPr>
      <w:r>
        <w:rPr>
          <w:sz w:val="22"/>
          <w:szCs w:val="22"/>
        </w:rPr>
        <w:t xml:space="preserve">## Second: Christianity</w:t>
      </w:r>
    </w:p>
    <w:p>
      <w:pPr>
        <w:spacing w:after="160"/>
        <w:jc w:val="left"/>
      </w:pPr>
      <w:r>
        <w:rPr>
          <w:sz w:val="22"/>
          <w:szCs w:val="22"/>
        </w:rPr>
        <w:t xml:space="preserve">The position in Christianity has varied notably and reflects the depth of modern Western influence on textual understanding.</w:t>
      </w:r>
    </w:p>
    <w:p>
      <w:pPr>
        <w:spacing w:after="160"/>
        <w:jc w:val="left"/>
      </w:pPr>
      <w:r>
        <w:rPr>
          <w:sz w:val="22"/>
          <w:szCs w:val="22"/>
        </w:rPr>
        <w:t xml:space="preserve">### The Roman Catholic Church</w:t>
      </w:r>
    </w:p>
    <w:p>
      <w:pPr>
        <w:spacing w:after="160"/>
        <w:jc w:val="left"/>
      </w:pPr>
      <w:r>
        <w:rPr>
          <w:sz w:val="22"/>
          <w:szCs w:val="22"/>
        </w:rPr>
        <w:t xml:space="preserve">The Catholic Church maintains the traditional position but has formulated it carefully in the *Catechism of the Catholic Church*, paragraphs 2357–2359. The Church says:</w:t>
      </w:r>
    </w:p>
    <w:p>
      <w:pPr>
        <w:spacing w:after="160"/>
        <w:jc w:val="left"/>
      </w:pPr>
      <w:r>
        <w:rPr>
          <w:sz w:val="22"/>
          <w:szCs w:val="22"/>
        </w:rPr>
        <w:t xml:space="preserve">- Homosexual inclination is not a choice in most cases, and those who experience it are not "guilty" of having the inclination. - The homosexual inclination is "objectively disordered" in nature, since it does not orient toward the natural purpose of sexual activity. - Homosexual acts "can in no case be approved." - Such persons "must be accepted with respect, compassion, and sensitivity," avoiding "every sign of unjust discrimination." - Persons with homosexual inclinations are called to "chastity," a duty incumbent upon all Christians according to their states.</w:t>
      </w:r>
    </w:p>
    <w:p>
      <w:pPr>
        <w:spacing w:after="160"/>
        <w:jc w:val="left"/>
      </w:pPr>
      <w:r>
        <w:rPr>
          <w:sz w:val="22"/>
          <w:szCs w:val="22"/>
        </w:rPr>
        <w:t xml:space="preserve">The Catholic formulation closely resembles the Islamic position in distinguishing between inclination and act and in calling for compassion toward persons without compromising the principle.</w:t>
      </w:r>
    </w:p>
    <w:p>
      <w:pPr>
        <w:spacing w:after="160"/>
        <w:jc w:val="left"/>
      </w:pPr>
      <w:r>
        <w:rPr>
          <w:sz w:val="22"/>
          <w:szCs w:val="22"/>
        </w:rPr>
        <w:t xml:space="preserve">Pope Benedict XVI (2005–2013) firmly affirmed this position. Pope Francis (since 2013) has also affirmed it, though using more compassionate language. Some of his statements (such as "Who am I to judge?" in 2013) generated controversy, but the Church's official position has not changed. In December 2023, the Vatican issued the document *Fiducia Supplicans*, allowing non-liturgical "blessings" for couples in "irregular situations." This was interpreted in multiple ways, with several African and Orthodox-aligned bishops strongly rejecting it.</w:t>
      </w:r>
    </w:p>
    <w:p>
      <w:pPr>
        <w:spacing w:after="160"/>
        <w:jc w:val="left"/>
      </w:pPr>
      <w:r>
        <w:rPr>
          <w:sz w:val="22"/>
          <w:szCs w:val="22"/>
        </w:rPr>
        <w:t xml:space="preserve">### Eastern Orthodoxy</w:t>
      </w:r>
    </w:p>
    <w:p>
      <w:pPr>
        <w:spacing w:after="160"/>
        <w:jc w:val="left"/>
      </w:pPr>
      <w:r>
        <w:rPr>
          <w:sz w:val="22"/>
          <w:szCs w:val="22"/>
        </w:rPr>
        <w:t xml:space="preserve">The Orthodox churches (Russian, Greek, Syriac, Coptic, etc.) firmly maintain the traditional position. They were not affected by the Western reformist current to the same degree, and the statements of their patriarchs are clear in rejecting homosexuality.</w:t>
      </w:r>
    </w:p>
    <w:p>
      <w:pPr>
        <w:spacing w:after="160"/>
        <w:jc w:val="left"/>
      </w:pPr>
      <w:r>
        <w:rPr>
          <w:sz w:val="22"/>
          <w:szCs w:val="22"/>
        </w:rPr>
        <w:t xml:space="preserve">Patriarch Bartholomew (Constantinople), Patriarch Kirill (Moscow), Pope Tawadros (Coptic), and others — all hold the traditional position. Notably, the African Orthodox churches led by the Coptic Church today form a major conservative force within global Christianity.</w:t>
      </w:r>
    </w:p>
    <w:p>
      <w:pPr>
        <w:spacing w:after="160"/>
        <w:jc w:val="left"/>
      </w:pPr>
      <w:r>
        <w:rPr>
          <w:sz w:val="22"/>
          <w:szCs w:val="22"/>
        </w:rPr>
        <w:t xml:space="preserve">### Mainline Protestantism</w:t>
      </w:r>
    </w:p>
    <w:p>
      <w:pPr>
        <w:spacing w:after="160"/>
        <w:jc w:val="left"/>
      </w:pPr>
      <w:r>
        <w:rPr>
          <w:sz w:val="22"/>
          <w:szCs w:val="22"/>
        </w:rPr>
        <w:t xml:space="preserve">These are the denominations that have seen the greatest transformation. The United Methodist Church in the United States experienced a historic split in 2024 over this issue. The Evangelical Lutheran Church in America (ELCA) legitimized the ordination of homosexual clergy in 2009. The Episcopal Church consecrated its first openly homosexual bishop in 2003. The Presbyterian Church USA (PCUSA) ordains homosexual clergy.</w:t>
      </w:r>
    </w:p>
    <w:p>
      <w:pPr>
        <w:spacing w:after="160"/>
        <w:jc w:val="left"/>
      </w:pPr>
      <w:r>
        <w:rPr>
          <w:sz w:val="22"/>
          <w:szCs w:val="22"/>
        </w:rPr>
        <w:t xml:space="preserve">By contrast, conservative streams have separated from these denominations to form alternative churches. This split within mainline Protestantism reflects what occurred in Reform Judaism: a major shift in North America while traditional adherence continues in the Global South.</w:t>
      </w:r>
    </w:p>
    <w:p>
      <w:pPr>
        <w:spacing w:after="160"/>
        <w:jc w:val="left"/>
      </w:pPr>
      <w:r>
        <w:rPr>
          <w:sz w:val="22"/>
          <w:szCs w:val="22"/>
        </w:rPr>
        <w:t xml:space="preserve">### Evangelical Protestantism</w:t>
      </w:r>
    </w:p>
    <w:p>
      <w:pPr>
        <w:spacing w:after="160"/>
        <w:jc w:val="left"/>
      </w:pPr>
      <w:r>
        <w:rPr>
          <w:sz w:val="22"/>
          <w:szCs w:val="22"/>
        </w:rPr>
        <w:t xml:space="preserve">Maintains the traditional position broadly. The Southern Baptist Convention, the largest American Protestant denomination, has repeatedly affirmed its traditional position. The same applies to evangelical churches in Africa, Latin America, and Asia.</w:t>
      </w:r>
    </w:p>
    <w:p>
      <w:pPr>
        <w:spacing w:after="160"/>
        <w:jc w:val="left"/>
      </w:pPr>
      <w:r>
        <w:rPr>
          <w:sz w:val="22"/>
          <w:szCs w:val="22"/>
        </w:rPr>
        <w:t xml:space="preserve">### Relevant Christian Texts</w:t>
      </w:r>
    </w:p>
    <w:p>
      <w:pPr>
        <w:spacing w:after="160"/>
        <w:jc w:val="left"/>
      </w:pPr>
      <w:r>
        <w:rPr>
          <w:sz w:val="22"/>
          <w:szCs w:val="22"/>
        </w:rPr>
        <w:t xml:space="preserve">Foundational texts:</w:t>
      </w:r>
    </w:p>
    <w:p>
      <w:pPr>
        <w:spacing w:after="160"/>
        <w:jc w:val="left"/>
      </w:pPr>
      <w:r>
        <w:rPr>
          <w:sz w:val="22"/>
          <w:szCs w:val="22"/>
        </w:rPr>
        <w:t xml:space="preserve">- **Genesis 19:** The story of Sodom. - **Leviticus 18:22 and 20:13:** Prohibition of relations between two men. - **Romans 1:26–27:** Paul describes sexual deviation between women and between men explicitly. - **1 Corinthians 6:9–10:** Mentions *arsenokoitai* (translated variously) among those who "shall not inherit the kingdom of God." - **1 Timothy 1:10:** Repeats the warning.</w:t>
      </w:r>
    </w:p>
    <w:p>
      <w:pPr>
        <w:spacing w:after="160"/>
        <w:jc w:val="left"/>
      </w:pPr>
      <w:r>
        <w:rPr>
          <w:sz w:val="22"/>
          <w:szCs w:val="22"/>
        </w:rPr>
        <w:t xml:space="preserve">Reformist readings attempt to interpret these texts in different ways, but the historical reading of the Church across 2,000 years aligns with the traditional understanding.</w:t>
      </w:r>
    </w:p>
    <w:p>
      <w:pPr>
        <w:spacing w:after="160"/>
        <w:jc w:val="left"/>
      </w:pPr>
      <w:r>
        <w:rPr>
          <w:sz w:val="22"/>
          <w:szCs w:val="22"/>
        </w:rPr>
        <w:t xml:space="preserve">## Third: Eastern Religions</w:t>
      </w:r>
    </w:p>
    <w:p>
      <w:pPr>
        <w:spacing w:after="160"/>
        <w:jc w:val="left"/>
      </w:pPr>
      <w:r>
        <w:rPr>
          <w:sz w:val="22"/>
          <w:szCs w:val="22"/>
        </w:rPr>
        <w:t xml:space="preserve">### Hinduism</w:t>
      </w:r>
    </w:p>
    <w:p>
      <w:pPr>
        <w:spacing w:after="160"/>
        <w:jc w:val="left"/>
      </w:pPr>
      <w:r>
        <w:rPr>
          <w:sz w:val="22"/>
          <w:szCs w:val="22"/>
        </w:rPr>
        <w:t xml:space="preserve">The Hindu moral system is complex, drawing on texts from multiple eras and sources. The classical texts (Veda, Upanishads, Bhagavad Gita) focus on individual duty (*dharma*), which includes marriage and producing children as a social duty.</w:t>
      </w:r>
    </w:p>
    <w:p>
      <w:pPr>
        <w:spacing w:after="160"/>
        <w:jc w:val="left"/>
      </w:pPr>
      <w:r>
        <w:rPr>
          <w:sz w:val="22"/>
          <w:szCs w:val="22"/>
        </w:rPr>
        <w:t xml:space="preserve">There are texts that mention same-sex relations marginally — most prominently the *Kāmasūtra* — but these texts were not "legitimating" in the way they are presented today. The Hindu religious law (*Dharmaśāstra*) prohibits relations outside traditional marriage.</w:t>
      </w:r>
    </w:p>
    <w:p>
      <w:pPr>
        <w:spacing w:after="160"/>
        <w:jc w:val="left"/>
      </w:pPr>
      <w:r>
        <w:rPr>
          <w:sz w:val="22"/>
          <w:szCs w:val="22"/>
        </w:rPr>
        <w:t xml:space="preserve">In contemporary Hinduism, believers are divided: some cite marginal texts to prove "tolerance," others adhere to classical norms. The Indian Supreme Court struck down Section 377 (the British inheritance) in 2018, but this was a legal decision more than a religious one. Official Hinduism (such as the Sangha organizations) has not embraced same-sex marriage.</w:t>
      </w:r>
    </w:p>
    <w:p>
      <w:pPr>
        <w:spacing w:after="160"/>
        <w:jc w:val="left"/>
      </w:pPr>
      <w:r>
        <w:rPr>
          <w:sz w:val="22"/>
          <w:szCs w:val="22"/>
        </w:rPr>
        <w:t xml:space="preserve">### Buddhism</w:t>
      </w:r>
    </w:p>
    <w:p>
      <w:pPr>
        <w:spacing w:after="160"/>
        <w:jc w:val="left"/>
      </w:pPr>
      <w:r>
        <w:rPr>
          <w:sz w:val="22"/>
          <w:szCs w:val="22"/>
        </w:rPr>
        <w:t xml:space="preserve">Buddhist ethics rest on the "Five Precepts," among them refraining from "sexual misconduct" (*kāmesu micchā-cāra*). Different Buddhist schools have interpreted this in various ways. Classical teachings refer to fornication and assault, and some later commentators added other prohibitions.</w:t>
      </w:r>
    </w:p>
    <w:p>
      <w:pPr>
        <w:spacing w:after="160"/>
        <w:jc w:val="left"/>
      </w:pPr>
      <w:r>
        <w:rPr>
          <w:sz w:val="22"/>
          <w:szCs w:val="22"/>
        </w:rPr>
        <w:t xml:space="preserve">Tibetan Buddhism, headed by the Dalai Lama, maintains a traditional position. The current Dalai Lama said in 1997 that homosexual behavior is "sexual misconduct" from a Buddhist perspective, although he called for respect for the dignity of persons.</w:t>
      </w:r>
    </w:p>
    <w:p>
      <w:pPr>
        <w:spacing w:after="160"/>
        <w:jc w:val="left"/>
      </w:pPr>
      <w:r>
        <w:rPr>
          <w:sz w:val="22"/>
          <w:szCs w:val="22"/>
        </w:rPr>
        <w:t xml:space="preserve">Western Zen Buddhism, especially in the United States, has been influenced by Western values, and many of its teachers legitimize same-sex marriage. But mainstream Asian Buddhism (Thai, Japanese, Korean) is more reserved.</w:t>
      </w:r>
    </w:p>
    <w:p>
      <w:pPr>
        <w:spacing w:after="160"/>
        <w:jc w:val="left"/>
      </w:pPr>
      <w:r>
        <w:rPr>
          <w:sz w:val="22"/>
          <w:szCs w:val="22"/>
        </w:rPr>
        <w:t xml:space="preserve">### Confucianism and Daoism</w:t>
      </w:r>
    </w:p>
    <w:p>
      <w:pPr>
        <w:spacing w:after="160"/>
        <w:jc w:val="left"/>
      </w:pPr>
      <w:r>
        <w:rPr>
          <w:sz w:val="22"/>
          <w:szCs w:val="22"/>
        </w:rPr>
        <w:t xml:space="preserve">The classical Chinese ethical system (Confucian) focuses on the family, social hierarchy, and continuity of lineage. The greatest moral duty is honoring parents and producing children to continue the ancestral line. Therefore, traditional marriage and producing children are duties, not options. Even where homosexual inclination existed, it was not regarded as an identity on which to build a life but as an inclination set aside for the greater duty.</w:t>
      </w:r>
    </w:p>
    <w:p>
      <w:pPr>
        <w:spacing w:after="160"/>
        <w:jc w:val="left"/>
      </w:pPr>
      <w:r>
        <w:rPr>
          <w:sz w:val="22"/>
          <w:szCs w:val="22"/>
        </w:rPr>
        <w:t xml:space="preserve">In contemporary China, the official position of the Communist Party tends toward reservation. In universities and literature, debate exists but is constrained. In Taiwan (which legalized same-sex marriage in 2019), the position appears different, reflecting its greater Westernization.</w:t>
      </w:r>
    </w:p>
    <w:p>
      <w:pPr>
        <w:spacing w:after="160"/>
        <w:jc w:val="left"/>
      </w:pPr>
      <w:r>
        <w:rPr>
          <w:sz w:val="22"/>
          <w:szCs w:val="22"/>
        </w:rPr>
        <w:t xml:space="preserve">## A General Observation: Transformations Reflect Modernity's Forces</w:t>
      </w:r>
    </w:p>
    <w:p>
      <w:pPr>
        <w:spacing w:after="160"/>
        <w:jc w:val="left"/>
      </w:pPr>
      <w:r>
        <w:rPr>
          <w:sz w:val="22"/>
          <w:szCs w:val="22"/>
        </w:rPr>
        <w:t xml:space="preserve">The unifying observation from this tour: religions and denominations that have been more deeply influenced by Western modernity have witnessed the greatest transformation (Reform Judaism, mainline Protestantism, Western Buddhism). Religions and currents that have preserved their "traditional root" (Catholicism, Orthodoxy, Evangelicalism, Orthodox Judaism, Islam, Asian Buddhism, conservative Hinduism) have remained on the traditional position.</w:t>
      </w:r>
    </w:p>
    <w:p>
      <w:pPr>
        <w:spacing w:after="160"/>
        <w:jc w:val="left"/>
      </w:pPr>
      <w:r>
        <w:rPr>
          <w:sz w:val="22"/>
          <w:szCs w:val="22"/>
        </w:rPr>
        <w:t xml:space="preserve">This indicates that what is presented as "moral progress" in Western religions is not necessarily "epistemic progress" or "discovery of truth," but is often a surrender to modern cultural pressure. The religions that resisted this pressure are those that preserved their identity.</w:t>
      </w:r>
    </w:p>
    <w:p>
      <w:pPr>
        <w:spacing w:after="160"/>
        <w:jc w:val="left"/>
      </w:pPr>
      <w:r>
        <w:rPr>
          <w:sz w:val="22"/>
          <w:szCs w:val="22"/>
        </w:rPr>
        <w:t xml:space="preserve">## Chapter Summary</w:t>
      </w:r>
    </w:p>
    <w:p>
      <w:pPr>
        <w:spacing w:after="160"/>
        <w:jc w:val="left"/>
      </w:pPr>
      <w:r>
        <w:rPr>
          <w:sz w:val="22"/>
          <w:szCs w:val="22"/>
        </w:rPr>
        <w:t xml:space="preserve">What emerges from this survey: the traditional position of the major religions — Islam, Catholicism, Orthodoxy, Evangelicalism, Orthodox Judaism, Tibetan Buddhism, Confucianism, classical Hinduism — is nearly unified in rejecting same-sex behavior. The transformations seen in some Western Christian and Jewish denominations are very recent and reflect cultural pressures more than a new understanding of the texts.</w:t>
      </w:r>
    </w:p>
    <w:p>
      <w:pPr>
        <w:spacing w:after="160"/>
        <w:jc w:val="left"/>
      </w:pPr>
      <w:r>
        <w:rPr>
          <w:sz w:val="22"/>
          <w:szCs w:val="22"/>
        </w:rPr>
        <w:t xml:space="preserve">Inter-religious dialogue on this subject must begin with acknowledging this nearly complete historical consensus before turning to differences. And God knows best.</w:t>
      </w:r>
    </w:p>
    <w:p>
      <w:r>
        <w:br w:type="page"/>
      </w:r>
    </w:p>
    <w:p>
      <w:pPr>
        <w:spacing w:after="360" w:before="600"/>
        <w:jc w:val="center"/>
      </w:pPr>
      <w:r>
        <w:rPr>
          <w:b/>
          <w:bCs/>
          <w:color w:val="1B3A5C"/>
          <w:sz w:val="36"/>
          <w:szCs w:val="36"/>
        </w:rPr>
        <w:t xml:space="preserve">Chapter Fourteen: The Position of Modern Science</w:t>
      </w:r>
    </w:p>
    <w:p>
      <w:pPr>
        <w:spacing w:after="160"/>
        <w:jc w:val="left"/>
      </w:pPr>
      <w:r>
        <w:rPr>
          <w:sz w:val="22"/>
          <w:szCs w:val="22"/>
        </w:rPr>
        <w:t xml:space="preserve">"And they reflect on the creation of the heavens and the earth." (Qur'an, Āl 'Imrān 3:191)</w:t>
      </w:r>
    </w:p>
    <w:p>
      <w:pPr>
        <w:spacing w:after="160"/>
        <w:jc w:val="left"/>
      </w:pPr>
      <w:r>
        <w:rPr>
          <w:sz w:val="22"/>
          <w:szCs w:val="22"/>
        </w:rPr>
        <w:t xml:space="preserve">## Introduction: The Limits of Science on This Question</w:t>
      </w:r>
    </w:p>
    <w:p>
      <w:pPr>
        <w:spacing w:after="160"/>
        <w:jc w:val="left"/>
      </w:pPr>
      <w:r>
        <w:rPr>
          <w:sz w:val="22"/>
          <w:szCs w:val="22"/>
        </w:rPr>
        <w:t xml:space="preserve">Before reviewing what modern science says, we must acknowledge the limits of science on this specific subject. Science can study "what is" — the mechanisms of behavior, its effects, and its causes — but it cannot judge "what ought to be." Value judgment lies outside the scope of empirical science. Therefore, claims that "science says homosexuality is natural" or "science says homosexuality is a disease" — both go beyond what science can actually say.</w:t>
      </w:r>
    </w:p>
    <w:p>
      <w:pPr>
        <w:spacing w:after="160"/>
        <w:jc w:val="left"/>
      </w:pPr>
      <w:r>
        <w:rPr>
          <w:sz w:val="22"/>
          <w:szCs w:val="22"/>
        </w:rPr>
        <w:t xml:space="preserve">What science can say: what the evidence reveals about the nature and causes of the inclination. On this specific subject, the scientific evidence is far more modest than what is popularly promoted.</w:t>
      </w:r>
    </w:p>
    <w:p>
      <w:pPr>
        <w:spacing w:after="160"/>
        <w:jc w:val="left"/>
      </w:pPr>
      <w:r>
        <w:rPr>
          <w:sz w:val="22"/>
          <w:szCs w:val="22"/>
        </w:rPr>
        <w:t xml:space="preserve">## The Largest Genetic Study on the Subject: Ganna et al. (2019)</w:t>
      </w:r>
    </w:p>
    <w:p>
      <w:pPr>
        <w:spacing w:after="160"/>
        <w:jc w:val="left"/>
      </w:pPr>
      <w:r>
        <w:rPr>
          <w:sz w:val="22"/>
          <w:szCs w:val="22"/>
        </w:rPr>
        <w:t xml:space="preserve">In August 2019, *Science* (the world's most prestigious scientific journal) published the largest genetic study on the subject: "Genome-wide association study finds eight genetic variants associated with same-sex sexual behavior." The study was led by Andrea Ganna of the Broad Institute at Harvard, with an international team. It drew on data from over 470,000 individuals from the UK Biobank and other sources.</w:t>
      </w:r>
    </w:p>
    <w:p>
      <w:pPr>
        <w:spacing w:after="160"/>
        <w:jc w:val="left"/>
      </w:pPr>
      <w:r>
        <w:rPr>
          <w:sz w:val="22"/>
          <w:szCs w:val="22"/>
        </w:rPr>
        <w:t xml:space="preserve">The important findings:</w:t>
      </w:r>
    </w:p>
    <w:p>
      <w:pPr>
        <w:spacing w:after="160"/>
        <w:jc w:val="left"/>
      </w:pPr>
      <w:r>
        <w:rPr>
          <w:sz w:val="22"/>
          <w:szCs w:val="22"/>
        </w:rPr>
        <w:t xml:space="preserve">**1. There is no "gay gene":** The study found no single gene determining sexual orientation. It found eight genetic loci with weak association, but none with effect greater than 1%. The researchers affirmed that "it is not possible to predict an individual's sexual behavior from their genes."</w:t>
      </w:r>
    </w:p>
    <w:p>
      <w:pPr>
        <w:spacing w:after="160"/>
        <w:jc w:val="left"/>
      </w:pPr>
      <w:r>
        <w:rPr>
          <w:sz w:val="22"/>
          <w:szCs w:val="22"/>
        </w:rPr>
        <w:t xml:space="preserve">**2. Heredity contributes a limited share:** The study estimated total genetic contribution at 8%–25% of behavioral variation. This means 75%–92% of variation owes to non-genetic factors: environment, experiences, social influences, choices.</w:t>
      </w:r>
    </w:p>
    <w:p>
      <w:pPr>
        <w:spacing w:after="160"/>
        <w:jc w:val="left"/>
      </w:pPr>
      <w:r>
        <w:rPr>
          <w:sz w:val="22"/>
          <w:szCs w:val="22"/>
        </w:rPr>
        <w:t xml:space="preserve">**3. Earlier study claims:** The study disproved older claims (such as Hamer's 1993 study) about a "gay gene" at Xq28. The recent study could not replicate that linkage.</w:t>
      </w:r>
    </w:p>
    <w:p>
      <w:pPr>
        <w:spacing w:after="160"/>
        <w:jc w:val="left"/>
      </w:pPr>
      <w:r>
        <w:rPr>
          <w:sz w:val="22"/>
          <w:szCs w:val="22"/>
        </w:rPr>
        <w:t xml:space="preserve">**4. A striking note from the researchers:** The research team issued a statement saying their findings "neither support nor oppose" any social or political position toward homosexuality, and that activists from all sides should stop using genetic science to support their positions.</w:t>
      </w:r>
    </w:p>
    <w:p>
      <w:pPr>
        <w:spacing w:after="160"/>
        <w:jc w:val="left"/>
      </w:pPr>
      <w:r>
        <w:rPr>
          <w:sz w:val="22"/>
          <w:szCs w:val="22"/>
        </w:rPr>
        <w:t xml:space="preserve">The general conclusion: "born this way" in its categorical genetic sense is not supported by current genetic evidence.</w:t>
      </w:r>
    </w:p>
    <w:p>
      <w:pPr>
        <w:spacing w:after="160"/>
        <w:jc w:val="left"/>
      </w:pPr>
      <w:r>
        <w:rPr>
          <w:sz w:val="22"/>
          <w:szCs w:val="22"/>
        </w:rPr>
        <w:t xml:space="preserve">## Twin Studies</w:t>
      </w:r>
    </w:p>
    <w:p>
      <w:pPr>
        <w:spacing w:after="160"/>
        <w:jc w:val="left"/>
      </w:pPr>
      <w:r>
        <w:rPr>
          <w:sz w:val="22"/>
          <w:szCs w:val="22"/>
        </w:rPr>
        <w:t xml:space="preserve">Twin studies — among the most powerful tools of behavioral genetics — produced findings that negate absolute genetic determination:</w:t>
      </w:r>
    </w:p>
    <w:p>
      <w:pPr>
        <w:spacing w:after="160"/>
        <w:jc w:val="left"/>
      </w:pPr>
      <w:r>
        <w:rPr>
          <w:sz w:val="22"/>
          <w:szCs w:val="22"/>
        </w:rPr>
        <w:t xml:space="preserve">**1. Bailey et al. (2000):** Found a concordance rate of about 24% in male identical twins and 30% in female identical twins. This means most identical twins (who share 100% of their genes) differ in sexual orientation.</w:t>
      </w:r>
    </w:p>
    <w:p>
      <w:pPr>
        <w:spacing w:after="160"/>
        <w:jc w:val="left"/>
      </w:pPr>
      <w:r>
        <w:rPr>
          <w:sz w:val="22"/>
          <w:szCs w:val="22"/>
        </w:rPr>
        <w:t xml:space="preserve">**2. The Långström Swedish study (2010):** At the Swedish population level, found concordance rates in identical twins of 18%–39%, with heredity explaining about 34%–39% of variation in males and 18%–19% in females.</w:t>
      </w:r>
    </w:p>
    <w:p>
      <w:pPr>
        <w:spacing w:after="160"/>
        <w:jc w:val="left"/>
      </w:pPr>
      <w:r>
        <w:rPr>
          <w:sz w:val="22"/>
          <w:szCs w:val="22"/>
        </w:rPr>
        <w:t xml:space="preserve">**3. The general conclusion:** Sexual orientation is not genetically determined. Were it so, identical twin concordance would be near 100%, which it is not. Other factors must be at work: environmental, psychological, and experiential.</w:t>
      </w:r>
    </w:p>
    <w:p>
      <w:pPr>
        <w:spacing w:after="160"/>
        <w:jc w:val="left"/>
      </w:pPr>
      <w:r>
        <w:rPr>
          <w:sz w:val="22"/>
          <w:szCs w:val="22"/>
        </w:rPr>
        <w:t xml:space="preserve">## Brain Research</w:t>
      </w:r>
    </w:p>
    <w:p>
      <w:pPr>
        <w:spacing w:after="160"/>
        <w:jc w:val="left"/>
      </w:pPr>
      <w:r>
        <w:rPr>
          <w:sz w:val="22"/>
          <w:szCs w:val="22"/>
        </w:rPr>
        <w:t xml:space="preserve">Attempts to find brain differences between homosexuals and heterosexuals have been ambitious but yielded disappointing results:</w:t>
      </w:r>
    </w:p>
    <w:p>
      <w:pPr>
        <w:spacing w:after="160"/>
        <w:jc w:val="left"/>
      </w:pPr>
      <w:r>
        <w:rPr>
          <w:sz w:val="22"/>
          <w:szCs w:val="22"/>
        </w:rPr>
        <w:t xml:space="preserve">**1. LeVay's study (1991):** Claimed a difference in the size of the INAH3 region of the hypothalamus between homosexual and heterosexual men. But the study had a small sample (41 individuals from AIDS patients), and its differences were within the margin of error.</w:t>
      </w:r>
    </w:p>
    <w:p>
      <w:pPr>
        <w:spacing w:after="160"/>
        <w:jc w:val="left"/>
      </w:pPr>
      <w:r>
        <w:rPr>
          <w:sz w:val="22"/>
          <w:szCs w:val="22"/>
        </w:rPr>
        <w:t xml:space="preserve">**2. Subsequent studies:** Some partially confirmed; others negated. The literature has not settled on a definitive finding.</w:t>
      </w:r>
    </w:p>
    <w:p>
      <w:pPr>
        <w:spacing w:after="160"/>
        <w:jc w:val="left"/>
      </w:pPr>
      <w:r>
        <w:rPr>
          <w:sz w:val="22"/>
          <w:szCs w:val="22"/>
        </w:rPr>
        <w:t xml:space="preserve">**3. The methodological challenge:** Even if brain differences exist, it is very difficult to determine whether they cause the inclination or result from it (the brain is shaped by lived experiences).</w:t>
      </w:r>
    </w:p>
    <w:p>
      <w:pPr>
        <w:spacing w:after="160"/>
        <w:jc w:val="left"/>
      </w:pPr>
      <w:r>
        <w:rPr>
          <w:sz w:val="22"/>
          <w:szCs w:val="22"/>
        </w:rPr>
        <w:t xml:space="preserve">The major neuroscience institutes today cannot predict a person's orientation from a brain scan.</w:t>
      </w:r>
    </w:p>
    <w:p>
      <w:pPr>
        <w:spacing w:after="160"/>
        <w:jc w:val="left"/>
      </w:pPr>
      <w:r>
        <w:rPr>
          <w:sz w:val="22"/>
          <w:szCs w:val="22"/>
        </w:rPr>
        <w:t xml:space="preserve">## Hormonal Hypotheses</w:t>
      </w:r>
    </w:p>
    <w:p>
      <w:pPr>
        <w:spacing w:after="160"/>
        <w:jc w:val="left"/>
      </w:pPr>
      <w:r>
        <w:rPr>
          <w:sz w:val="22"/>
          <w:szCs w:val="22"/>
        </w:rPr>
        <w:t xml:space="preserve">There are hypotheses linking sexual orientation to prenatal hormone levels (exposure to testosterone or estrogen during gestation). Research in this area is limited and inconclusive. The "second-to-fourth digit ratio" (2D:4D) was a topic of discussion but yielded contradictory findings.</w:t>
      </w:r>
    </w:p>
    <w:p>
      <w:pPr>
        <w:spacing w:after="160"/>
        <w:jc w:val="left"/>
      </w:pPr>
      <w:r>
        <w:rPr>
          <w:sz w:val="22"/>
          <w:szCs w:val="22"/>
        </w:rPr>
        <w:t xml:space="preserve">## The Phenomenon of Sexual Fluidity</w:t>
      </w:r>
    </w:p>
    <w:p>
      <w:pPr>
        <w:spacing w:after="160"/>
        <w:jc w:val="left"/>
      </w:pPr>
      <w:r>
        <w:rPr>
          <w:sz w:val="22"/>
          <w:szCs w:val="22"/>
        </w:rPr>
        <w:t xml:space="preserve">Among the most important recent findings: sexual orientation is not necessarily fixed. The researcher Lisa Diamond at the University of Utah, in her book *Sexual Fluidity* (2008) and subsequent research, followed a group of women over more than a decade and found that a substantial proportion changed their orientation definition. This indicates that the concept of "fixed identity" is not always correct.</w:t>
      </w:r>
    </w:p>
    <w:p>
      <w:pPr>
        <w:spacing w:after="160"/>
        <w:jc w:val="left"/>
      </w:pPr>
      <w:r>
        <w:rPr>
          <w:sz w:val="22"/>
          <w:szCs w:val="22"/>
        </w:rPr>
        <w:t xml:space="preserve">In males, fluidity is less common but not absent. Longitudinal studies show that some men who identified as "bisexual" in youth later settled on a single orientation, heterosexual or homosexual.</w:t>
      </w:r>
    </w:p>
    <w:p>
      <w:pPr>
        <w:spacing w:after="160"/>
        <w:jc w:val="left"/>
      </w:pPr>
      <w:r>
        <w:rPr>
          <w:sz w:val="22"/>
          <w:szCs w:val="22"/>
        </w:rPr>
        <w:t xml:space="preserve">Academics in this field today tend to describe the inclination as "relatively stable" rather than "absolutely fixed."</w:t>
      </w:r>
    </w:p>
    <w:p>
      <w:pPr>
        <w:spacing w:after="160"/>
        <w:jc w:val="left"/>
      </w:pPr>
      <w:r>
        <w:rPr>
          <w:sz w:val="22"/>
          <w:szCs w:val="22"/>
        </w:rPr>
        <w:t xml:space="preserve">## Conversion Therapy</w:t>
      </w:r>
    </w:p>
    <w:p>
      <w:pPr>
        <w:spacing w:after="160"/>
        <w:jc w:val="left"/>
      </w:pPr>
      <w:r>
        <w:rPr>
          <w:sz w:val="22"/>
          <w:szCs w:val="22"/>
        </w:rPr>
        <w:t xml:space="preserve">Among the contested issues: can sexual orientation be changed by therapy? The official position of major professional associations (American APA, AMA, British and Canadian organizations) is that "conversion therapy" is ineffective and psychologically harmful, and they have called for its prohibition.</w:t>
      </w:r>
    </w:p>
    <w:p>
      <w:pPr>
        <w:spacing w:after="160"/>
        <w:jc w:val="left"/>
      </w:pPr>
      <w:r>
        <w:rPr>
          <w:sz w:val="22"/>
          <w:szCs w:val="22"/>
        </w:rPr>
        <w:t xml:space="preserve">But this issue is complex:</w:t>
      </w:r>
    </w:p>
    <w:p>
      <w:pPr>
        <w:spacing w:after="160"/>
        <w:jc w:val="left"/>
      </w:pPr>
      <w:r>
        <w:rPr>
          <w:sz w:val="22"/>
          <w:szCs w:val="22"/>
        </w:rPr>
        <w:t xml:space="preserve">**1. What exactly is prohibited?** Some laws define "conversion therapy" loosely enough to include even religious or psychological counseling for persons seeking help — not to change their orientation but not to act on it.</w:t>
      </w:r>
    </w:p>
    <w:p>
      <w:pPr>
        <w:spacing w:after="160"/>
        <w:jc w:val="left"/>
      </w:pPr>
      <w:r>
        <w:rPr>
          <w:sz w:val="22"/>
          <w:szCs w:val="22"/>
        </w:rPr>
        <w:t xml:space="preserve">**2. What about those who wish not to act on their inclination?** The research of Mark Yarhouse (2011) and others shows that psychological and religious counseling for persons who wish "not to apply" their inclination on a values basis — not to "change" — can be helpful. Banning this deprives them of their right to consultation.</w:t>
      </w:r>
    </w:p>
    <w:p>
      <w:pPr>
        <w:spacing w:after="160"/>
        <w:jc w:val="left"/>
      </w:pPr>
      <w:r>
        <w:rPr>
          <w:sz w:val="22"/>
          <w:szCs w:val="22"/>
        </w:rPr>
        <w:t xml:space="preserve">**3. The difference between coerced change and voluntary support:** Compulsion to therapy (especially for children) is wrong by all measures. But voluntary help to a consenting adult who seeks it to strengthen his will is something else.</w:t>
      </w:r>
    </w:p>
    <w:p>
      <w:pPr>
        <w:spacing w:after="160"/>
        <w:jc w:val="left"/>
      </w:pPr>
      <w:r>
        <w:rPr>
          <w:sz w:val="22"/>
          <w:szCs w:val="22"/>
        </w:rPr>
        <w:t xml:space="preserve">Recent laws in some countries have begun to conflate the two, raising concerns among psychological therapists and religious counselors.</w:t>
      </w:r>
    </w:p>
    <w:p>
      <w:pPr>
        <w:spacing w:after="160"/>
        <w:jc w:val="left"/>
      </w:pPr>
      <w:r>
        <w:rPr>
          <w:sz w:val="22"/>
          <w:szCs w:val="22"/>
        </w:rPr>
        <w:t xml:space="preserve">## Mental Health and Minority Stress</w:t>
      </w:r>
    </w:p>
    <w:p>
      <w:pPr>
        <w:spacing w:after="160"/>
        <w:jc w:val="left"/>
      </w:pPr>
      <w:r>
        <w:rPr>
          <w:sz w:val="22"/>
          <w:szCs w:val="22"/>
        </w:rPr>
        <w:t xml:space="preserve">Among the most repeated claims: that homosexual persons suffer higher rates of depression, anxiety, and suicide, and that this is due to "Minority Stress" caused by social stigma.</w:t>
      </w:r>
    </w:p>
    <w:p>
      <w:pPr>
        <w:spacing w:after="160"/>
        <w:jc w:val="left"/>
      </w:pPr>
      <w:r>
        <w:rPr>
          <w:sz w:val="22"/>
          <w:szCs w:val="22"/>
        </w:rPr>
        <w:t xml:space="preserve">This subject was examined by Dr. Mayer and Dr. McHugh of Johns Hopkins University in their extensive report *Sexuality and Gender* (*The New Atlantis*, 2016). They concluded that:</w:t>
      </w:r>
    </w:p>
    <w:p>
      <w:pPr>
        <w:spacing w:after="160"/>
        <w:jc w:val="left"/>
      </w:pPr>
      <w:r>
        <w:rPr>
          <w:sz w:val="22"/>
          <w:szCs w:val="22"/>
        </w:rPr>
        <w:t xml:space="preserve">**1. The mental health differentials are real and established:** Homosexuals do have higher rates of depression, anxiety, and suicide attempts.</w:t>
      </w:r>
    </w:p>
    <w:p>
      <w:pPr>
        <w:spacing w:after="160"/>
        <w:jc w:val="left"/>
      </w:pPr>
      <w:r>
        <w:rPr>
          <w:sz w:val="22"/>
          <w:szCs w:val="22"/>
        </w:rPr>
        <w:t xml:space="preserve">**2. The "minority stress" explanation is partially correct but insufficient:** The differentials remain elevated even in the most accepting societies (Scandinavian countries), where "stress" should presumably be lower.</w:t>
      </w:r>
    </w:p>
    <w:p>
      <w:pPr>
        <w:spacing w:after="160"/>
        <w:jc w:val="left"/>
      </w:pPr>
      <w:r>
        <w:rPr>
          <w:sz w:val="22"/>
          <w:szCs w:val="22"/>
        </w:rPr>
        <w:t xml:space="preserve">**3. Other factors contribute:** Specific behavioral practices (multiple partners, substance use), comorbid disorders, childhood events (abuse, family disruption), and others.</w:t>
      </w:r>
    </w:p>
    <w:p>
      <w:pPr>
        <w:spacing w:after="160"/>
        <w:jc w:val="left"/>
      </w:pPr>
      <w:r>
        <w:rPr>
          <w:sz w:val="22"/>
          <w:szCs w:val="22"/>
        </w:rPr>
        <w:t xml:space="preserve">The unilateral explanation that places all responsibility on surrounding society is a political — not fully scientific — explanation.</w:t>
      </w:r>
    </w:p>
    <w:p>
      <w:pPr>
        <w:spacing w:after="160"/>
        <w:jc w:val="left"/>
      </w:pPr>
      <w:r>
        <w:rPr>
          <w:sz w:val="22"/>
          <w:szCs w:val="22"/>
        </w:rPr>
        <w:t xml:space="preserve">## What Science Says with Confidence and What Remains Uncertain</w:t>
      </w:r>
    </w:p>
    <w:p>
      <w:pPr>
        <w:spacing w:after="160"/>
        <w:jc w:val="left"/>
      </w:pPr>
      <w:r>
        <w:rPr>
          <w:sz w:val="22"/>
          <w:szCs w:val="22"/>
        </w:rPr>
        <w:t xml:space="preserve">We can now summarize what science says today with reasonable confidence:</w:t>
      </w:r>
    </w:p>
    <w:p>
      <w:pPr>
        <w:spacing w:after="160"/>
        <w:jc w:val="left"/>
      </w:pPr>
      <w:r>
        <w:rPr>
          <w:sz w:val="22"/>
          <w:szCs w:val="22"/>
        </w:rPr>
        <w:t xml:space="preserve">**What can be said with confidence:**</w:t>
      </w:r>
    </w:p>
    <w:p>
      <w:pPr>
        <w:spacing w:after="160"/>
        <w:jc w:val="left"/>
      </w:pPr>
      <w:r>
        <w:rPr>
          <w:sz w:val="22"/>
          <w:szCs w:val="22"/>
        </w:rPr>
        <w:t xml:space="preserve">1. Sexual orientation is not a conscious choice in most cases. 2. Sexual orientation is not genetically determined — genes contribute a limited share. 3. There is no "gay gene"; earlier claims of finding one are invalidated. 4. Sexual orientation is not absolutely fixed — there is fluidity that varies by individual. 5. Environmental, psychological, and social factors play a role in shaping the inclination. 6. Mental health differentials have multiple causes, not all due to social stigma.</w:t>
      </w:r>
    </w:p>
    <w:p>
      <w:pPr>
        <w:spacing w:after="160"/>
        <w:jc w:val="left"/>
      </w:pPr>
      <w:r>
        <w:rPr>
          <w:sz w:val="22"/>
          <w:szCs w:val="22"/>
        </w:rPr>
        <w:t xml:space="preserve">**What remains uncertain:**</w:t>
      </w:r>
    </w:p>
    <w:p>
      <w:pPr>
        <w:spacing w:after="160"/>
        <w:jc w:val="left"/>
      </w:pPr>
      <w:r>
        <w:rPr>
          <w:sz w:val="22"/>
          <w:szCs w:val="22"/>
        </w:rPr>
        <w:t xml:space="preserve">1. Why do some individuals develop a homosexual inclination? — The complete answer is unknown. 2. What specifically are the influential environmental factors? — Subject of scientific debate. 3. To what extent is voluntary "modification" possible? — Subject of debate and political sensitivity.</w:t>
      </w:r>
    </w:p>
    <w:p>
      <w:pPr>
        <w:spacing w:after="160"/>
        <w:jc w:val="left"/>
      </w:pPr>
      <w:r>
        <w:rPr>
          <w:sz w:val="22"/>
          <w:szCs w:val="22"/>
        </w:rPr>
        <w:t xml:space="preserve">## Lessons for the Thoughtful Muslim</w:t>
      </w:r>
    </w:p>
    <w:p>
      <w:pPr>
        <w:spacing w:after="160"/>
        <w:jc w:val="left"/>
      </w:pPr>
      <w:r>
        <w:rPr>
          <w:sz w:val="22"/>
          <w:szCs w:val="22"/>
        </w:rPr>
        <w:t xml:space="preserve">What does the Muslim gain from this scientific survey? Several lessons:</w:t>
      </w:r>
    </w:p>
    <w:p>
      <w:pPr>
        <w:spacing w:after="160"/>
        <w:jc w:val="left"/>
      </w:pPr>
      <w:r>
        <w:rPr>
          <w:sz w:val="22"/>
          <w:szCs w:val="22"/>
        </w:rPr>
        <w:t xml:space="preserve">**First, humility:** Science does not strongly support either the classical position "this is a satanic choice" or the contemporary position "they are born this way." The reality is more complex.</w:t>
      </w:r>
    </w:p>
    <w:p>
      <w:pPr>
        <w:spacing w:after="160"/>
        <w:jc w:val="left"/>
      </w:pPr>
      <w:r>
        <w:rPr>
          <w:sz w:val="22"/>
          <w:szCs w:val="22"/>
        </w:rPr>
        <w:t xml:space="preserve">**Second, fairness:** The Muslim who finds within himself a disordered inclination is not "a devil in human form" but may be subject to a trial in which biological, psychological, and social factors converge. This does not permit the act, but it does call for compassion and assistance.</w:t>
      </w:r>
    </w:p>
    <w:p>
      <w:pPr>
        <w:spacing w:after="160"/>
        <w:jc w:val="left"/>
      </w:pPr>
      <w:r>
        <w:rPr>
          <w:sz w:val="22"/>
          <w:szCs w:val="22"/>
        </w:rPr>
        <w:t xml:space="preserve">**Third, patience with the struggler:** Science says some people genuinely suffer a strong inclination. These persons, if they struggle with themselves out of faith motivations, deserve support, not exposure.</w:t>
      </w:r>
    </w:p>
    <w:p>
      <w:pPr>
        <w:spacing w:after="160"/>
        <w:jc w:val="left"/>
      </w:pPr>
      <w:r>
        <w:rPr>
          <w:sz w:val="22"/>
          <w:szCs w:val="22"/>
        </w:rPr>
        <w:t xml:space="preserve">**Fourth, adherence to the text:** What is established by science does not negate what is established by the religious text. The text prohibits the act regardless of the origin of the inclination. Science within its limits does not pass judgment on values.</w:t>
      </w:r>
    </w:p>
    <w:p>
      <w:pPr>
        <w:spacing w:after="160"/>
        <w:jc w:val="left"/>
      </w:pPr>
      <w:r>
        <w:rPr>
          <w:sz w:val="22"/>
          <w:szCs w:val="22"/>
        </w:rPr>
        <w:t xml:space="preserve">**Fifth, caution about "ideological science":** The greater the political investment in a scientific subject, the greater the likelihood of distorting its findings. The reader must distinguish between original studies and statements from advocacy organizations.</w:t>
      </w:r>
    </w:p>
    <w:p>
      <w:pPr>
        <w:spacing w:after="160"/>
        <w:jc w:val="left"/>
      </w:pPr>
      <w:r>
        <w:rPr>
          <w:sz w:val="22"/>
          <w:szCs w:val="22"/>
        </w:rPr>
        <w:t xml:space="preserve">## Chapter Summary</w:t>
      </w:r>
    </w:p>
    <w:p>
      <w:pPr>
        <w:spacing w:after="160"/>
        <w:jc w:val="left"/>
      </w:pPr>
      <w:r>
        <w:rPr>
          <w:sz w:val="22"/>
          <w:szCs w:val="22"/>
        </w:rPr>
        <w:t xml:space="preserve">Modern science presents a complex picture of homosexuality: not a pure choice, not a pure genetic determination, but a phenomenon composed of multiple factors. Categorical claims from all sides go beyond what the evidence supports. Islam, which prohibited the act without entering into the details of cause, remains consistent with what science reveals: the religious ruling was not built on the assumption that the inclination is a conscious choice, but that the act is forbidden. A person's responsibility for his actions — not his thoughts — is a fundamental Islamic principle. And God knows best.</w:t>
      </w:r>
    </w:p>
    <w:p>
      <w:pPr>
        <w:spacing w:after="160"/>
        <w:jc w:val="left"/>
      </w:pPr>
      <w:r>
        <w:rPr>
          <w:sz w:val="22"/>
          <w:szCs w:val="22"/>
        </w:rPr>
        <w:t xml:space="preserve">## Conclusion: Engaging with Wisdom and Compassion</w:t>
      </w:r>
    </w:p>
    <w:p>
      <w:pPr>
        <w:spacing w:after="160"/>
        <w:jc w:val="left"/>
      </w:pPr>
      <w:r>
        <w:rPr>
          <w:sz w:val="22"/>
          <w:szCs w:val="22"/>
        </w:rPr>
        <w:t xml:space="preserve">After this long journey through history, thought, religions, and sciences, we return to the starting point: how should the Muslim engage with this issue today?</w:t>
      </w:r>
    </w:p>
    <w:p>
      <w:pPr>
        <w:spacing w:after="160"/>
        <w:jc w:val="left"/>
      </w:pPr>
      <w:r>
        <w:rPr>
          <w:sz w:val="22"/>
          <w:szCs w:val="22"/>
        </w:rPr>
        <w:t xml:space="preserve">**First, remember the distinction:** between behavior, inclination, and identity. Prohibiting the act does not entail condemning the human being who struggles within himself. Islam is mercy as it is judgment.</w:t>
      </w:r>
    </w:p>
    <w:p>
      <w:pPr>
        <w:spacing w:after="160"/>
        <w:jc w:val="left"/>
      </w:pPr>
      <w:r>
        <w:rPr>
          <w:sz w:val="22"/>
          <w:szCs w:val="22"/>
        </w:rPr>
        <w:t xml:space="preserve">**Second, calling with wisdom:** Not every debate is winnable. Many social media debates do more harm than good. Wisdom lies in choosing the battle, the time, and the manner.</w:t>
      </w:r>
    </w:p>
    <w:p>
      <w:pPr>
        <w:spacing w:after="160"/>
        <w:jc w:val="left"/>
      </w:pPr>
      <w:r>
        <w:rPr>
          <w:sz w:val="22"/>
          <w:szCs w:val="22"/>
        </w:rPr>
        <w:t xml:space="preserve">**Third, compassion for persons:** Islam did not command contempt for people. It commanded the good example and the kind word. The Prophet (peace be upon him), who prohibited the act, was not harsh; he was a "mercy to the worlds."</w:t>
      </w:r>
    </w:p>
    <w:p>
      <w:pPr>
        <w:spacing w:after="160"/>
        <w:jc w:val="left"/>
      </w:pPr>
      <w:r>
        <w:rPr>
          <w:sz w:val="22"/>
          <w:szCs w:val="22"/>
        </w:rPr>
        <w:t xml:space="preserve">**Fourth, formulating alternatives:** Instead of mere critique, Muslim communities must offer alternatives: supportive traditional marriage, faith-based psychological care, a community that promotes commitment for all.</w:t>
      </w:r>
    </w:p>
    <w:p>
      <w:pPr>
        <w:spacing w:after="160"/>
        <w:jc w:val="left"/>
      </w:pPr>
      <w:r>
        <w:rPr>
          <w:sz w:val="22"/>
          <w:szCs w:val="22"/>
        </w:rPr>
        <w:t xml:space="preserve">**Fifth, defending the conviction:** In an age of pressures, the Muslim must not be ashamed of his belief. But he defends it with argument, not insult; with knowledge, not emotion; with detail, not absolutes.</w:t>
      </w:r>
    </w:p>
    <w:p>
      <w:pPr>
        <w:spacing w:after="160"/>
        <w:jc w:val="left"/>
      </w:pPr>
      <w:r>
        <w:rPr>
          <w:sz w:val="22"/>
          <w:szCs w:val="22"/>
        </w:rPr>
        <w:t xml:space="preserve">**Sixth, trust in God:** Truth remains truth even if the majority opposes it. The Qur'an says: "If you obey most of those upon the earth, they will mislead you from God's way." (al-An'ām 6:116). The right position is not measured by its popularity but by its correctness.</w:t>
      </w:r>
    </w:p>
    <w:p>
      <w:pPr>
        <w:spacing w:after="160"/>
        <w:jc w:val="left"/>
      </w:pPr>
      <w:r>
        <w:rPr>
          <w:sz w:val="22"/>
          <w:szCs w:val="22"/>
        </w:rPr>
        <w:t xml:space="preserve">In closing this book, we ask God to make our hearts firm upon His religion, to grant us wisdom in calling, compassion in conduct, and firmness in principle, and to guide the wayward of this Ummah and steady the hearts of its children upon the truth. And God knows best, and to Him is the return.</w:t>
      </w:r>
    </w:p>
    <w:p>
      <w:pPr>
        <w:spacing w:after="160"/>
        <w:jc w:val="left"/>
      </w:pPr>
      <w:r>
        <w:rPr>
          <w:sz w:val="22"/>
          <w:szCs w:val="22"/>
        </w:rPr>
        <w:t xml:space="preserve">All praise is for God, Lord of the worlds.</w:t>
      </w:r>
    </w:p>
    <w:p>
      <w:r>
        <w:br w:type="page"/>
      </w:r>
    </w:p>
    <w:p>
      <w:pPr>
        <w:spacing w:after="360" w:before="600"/>
        <w:jc w:val="center"/>
      </w:pPr>
      <w:r>
        <w:rPr>
          <w:b/>
          <w:bCs/>
          <w:color w:val="1B3A5C"/>
          <w:sz w:val="36"/>
          <w:szCs w:val="36"/>
        </w:rPr>
        <w:t xml:space="preserve">References and Sources</w:t>
      </w:r>
    </w:p>
    <w:p>
      <w:pPr>
        <w:spacing w:after="160"/>
        <w:jc w:val="left"/>
      </w:pPr>
      <w:r>
        <w:rPr>
          <w:sz w:val="22"/>
          <w:szCs w:val="22"/>
        </w:rPr>
        <w:t xml:space="preserve">"And above every possessor of knowledge is one more knowing." (Qur'an, Yūsuf 12:76)</w:t>
      </w:r>
    </w:p>
    <w:p>
      <w:pPr>
        <w:spacing w:after="160"/>
        <w:jc w:val="left"/>
      </w:pPr>
      <w:r>
        <w:rPr>
          <w:sz w:val="22"/>
          <w:szCs w:val="22"/>
        </w:rPr>
        <w:t xml:space="preserve">## Primary Islamic Sources</w:t>
      </w:r>
    </w:p>
    <w:p>
      <w:pPr>
        <w:spacing w:after="160"/>
        <w:jc w:val="left"/>
      </w:pPr>
      <w:r>
        <w:rPr>
          <w:sz w:val="22"/>
          <w:szCs w:val="22"/>
        </w:rPr>
        <w:t xml:space="preserve">The Holy Qur'an — Ḥafṣ recension from 'Āṣim.</w:t>
      </w:r>
    </w:p>
    <w:p>
      <w:pPr>
        <w:spacing w:after="160"/>
        <w:jc w:val="left"/>
      </w:pPr>
      <w:r>
        <w:rPr>
          <w:sz w:val="22"/>
          <w:szCs w:val="22"/>
        </w:rPr>
        <w:t xml:space="preserve">Ibn Kathīr, Ismā'īl ibn 'Umar (d. 774 AH). *Tafsīr al-Qur'ān al-'Aẓīm*. Dār Ṭaybah, Riyadh.</w:t>
      </w:r>
    </w:p>
    <w:p>
      <w:pPr>
        <w:spacing w:after="160"/>
        <w:jc w:val="left"/>
      </w:pPr>
      <w:r>
        <w:rPr>
          <w:sz w:val="22"/>
          <w:szCs w:val="22"/>
        </w:rPr>
        <w:t xml:space="preserve">Al-Ṭabarī, Muḥammad ibn Jarīr (d. 310 AH). *Jāmi' al-Bayān 'an Ta'wīl Āy al-Qur'ān*. Dār Hajar, Cairo.</w:t>
      </w:r>
    </w:p>
    <w:p>
      <w:pPr>
        <w:spacing w:after="160"/>
        <w:jc w:val="left"/>
      </w:pPr>
      <w:r>
        <w:rPr>
          <w:sz w:val="22"/>
          <w:szCs w:val="22"/>
        </w:rPr>
        <w:t xml:space="preserve">Al-Qurṭubī, Muḥammad ibn Aḥmad (d. 671 AH). *Al-Jāmi' li-Aḥkām al-Qur'ān*. Mu'assasat al-Risālah, Beirut.</w:t>
      </w:r>
    </w:p>
    <w:p>
      <w:pPr>
        <w:spacing w:after="160"/>
        <w:jc w:val="left"/>
      </w:pPr>
      <w:r>
        <w:rPr>
          <w:sz w:val="22"/>
          <w:szCs w:val="22"/>
        </w:rPr>
        <w:t xml:space="preserve">Ibn Taymiyyah, Taqī al-Dīn (d. 728 AH). *Majmū' al-Fatāwā*. King Fahd Complex, Madinah.</w:t>
      </w:r>
    </w:p>
    <w:p>
      <w:pPr>
        <w:spacing w:after="160"/>
        <w:jc w:val="left"/>
      </w:pPr>
      <w:r>
        <w:rPr>
          <w:sz w:val="22"/>
          <w:szCs w:val="22"/>
        </w:rPr>
        <w:t xml:space="preserve">Ibn al-Qayyim al-Jawziyyah (d. 751 AH). *Al-Jawāb al-Kāfī li-man Sa'ala 'an al-Dawā' al-Shāfī*.</w:t>
      </w:r>
    </w:p>
    <w:p>
      <w:pPr>
        <w:spacing w:after="160"/>
        <w:jc w:val="left"/>
      </w:pPr>
      <w:r>
        <w:rPr>
          <w:sz w:val="22"/>
          <w:szCs w:val="22"/>
        </w:rPr>
        <w:t xml:space="preserve">Ibn al-Qayyim al-Jawziyyah. *Rawḍat al-Muḥibbīn wa-Nuzhat al-Mushtāqīn*.</w:t>
      </w:r>
    </w:p>
    <w:p>
      <w:pPr>
        <w:spacing w:after="160"/>
        <w:jc w:val="left"/>
      </w:pPr>
      <w:r>
        <w:rPr>
          <w:sz w:val="22"/>
          <w:szCs w:val="22"/>
        </w:rPr>
        <w:t xml:space="preserve">Ibn Qudāmah, 'Abd Allāh ibn Aḥmad (d. 620 AH). *Al-Mughnī*. Maktabat al-Qāhirah.</w:t>
      </w:r>
    </w:p>
    <w:p>
      <w:pPr>
        <w:spacing w:after="160"/>
        <w:jc w:val="left"/>
      </w:pPr>
      <w:r>
        <w:rPr>
          <w:sz w:val="22"/>
          <w:szCs w:val="22"/>
        </w:rPr>
        <w:t xml:space="preserve">Al-Nawawī, Yaḥyā ibn Sharaf (d. 676 AH). *Al-Majmū' Sharḥ al-Muhadhdhab*.</w:t>
      </w:r>
    </w:p>
    <w:p>
      <w:pPr>
        <w:spacing w:after="160"/>
        <w:jc w:val="left"/>
      </w:pPr>
      <w:r>
        <w:rPr>
          <w:sz w:val="22"/>
          <w:szCs w:val="22"/>
        </w:rPr>
        <w:t xml:space="preserve">Al-Qaraḍāwī, Yūsuf. *Fatāwā Mu'āṣirah*.</w:t>
      </w:r>
    </w:p>
    <w:p>
      <w:pPr>
        <w:spacing w:after="160"/>
        <w:jc w:val="left"/>
      </w:pPr>
      <w:r>
        <w:rPr>
          <w:sz w:val="22"/>
          <w:szCs w:val="22"/>
        </w:rPr>
        <w:t xml:space="preserve">International Islamic Fiqh Academy. Resolution No. 175 (19/1), Sixteenth Session, Dubai 2005.</w:t>
      </w:r>
    </w:p>
    <w:p>
      <w:pPr>
        <w:spacing w:after="160"/>
        <w:jc w:val="left"/>
      </w:pPr>
      <w:r>
        <w:rPr>
          <w:sz w:val="22"/>
          <w:szCs w:val="22"/>
        </w:rPr>
        <w:t xml:space="preserve">## Contemporary Islamic Academic References</w:t>
      </w:r>
    </w:p>
    <w:p>
      <w:pPr>
        <w:spacing w:after="160"/>
        <w:jc w:val="left"/>
      </w:pPr>
      <w:r>
        <w:rPr>
          <w:sz w:val="22"/>
          <w:szCs w:val="22"/>
        </w:rPr>
        <w:t xml:space="preserve">Brown, Jonathan A. C. (2014). *Misquoting Muhammad*. Oneworld Publications.</w:t>
      </w:r>
    </w:p>
    <w:p>
      <w:pPr>
        <w:spacing w:after="160"/>
        <w:jc w:val="left"/>
      </w:pPr>
      <w:r>
        <w:rPr>
          <w:sz w:val="22"/>
          <w:szCs w:val="22"/>
        </w:rPr>
        <w:t xml:space="preserve">El-Rouayheb, Khaled (2005). *Before Homosexuality in the Arab-Islamic World, 1500–1800*. University of Chicago Press.</w:t>
      </w:r>
    </w:p>
    <w:p>
      <w:pPr>
        <w:spacing w:after="160"/>
        <w:jc w:val="left"/>
      </w:pPr>
      <w:r>
        <w:rPr>
          <w:sz w:val="22"/>
          <w:szCs w:val="22"/>
        </w:rPr>
        <w:t xml:space="preserve">Qadhi, Yasir. Lectures and writings on the Islamic position regarding homosexuality (published lectures).</w:t>
      </w:r>
    </w:p>
    <w:p>
      <w:pPr>
        <w:spacing w:after="160"/>
        <w:jc w:val="left"/>
      </w:pPr>
      <w:r>
        <w:rPr>
          <w:sz w:val="22"/>
          <w:szCs w:val="22"/>
        </w:rPr>
        <w:t xml:space="preserve">## Historical and Philosophical Sources</w:t>
      </w:r>
    </w:p>
    <w:p>
      <w:pPr>
        <w:spacing w:after="160"/>
        <w:jc w:val="left"/>
      </w:pPr>
      <w:r>
        <w:rPr>
          <w:sz w:val="22"/>
          <w:szCs w:val="22"/>
        </w:rPr>
        <w:t xml:space="preserve">Aquinas, Thomas. *Summa Theologiae*. Benziger Bros, New York, 1947.</w:t>
      </w:r>
    </w:p>
    <w:p>
      <w:pPr>
        <w:spacing w:after="160"/>
        <w:jc w:val="left"/>
      </w:pPr>
      <w:r>
        <w:rPr>
          <w:sz w:val="22"/>
          <w:szCs w:val="22"/>
        </w:rPr>
        <w:t xml:space="preserve">Aristotle. *Nicomachean Ethics*. Trans. W. D. Ross.</w:t>
      </w:r>
    </w:p>
    <w:p>
      <w:pPr>
        <w:spacing w:after="160"/>
        <w:jc w:val="left"/>
      </w:pPr>
      <w:r>
        <w:rPr>
          <w:sz w:val="22"/>
          <w:szCs w:val="22"/>
        </w:rPr>
        <w:t xml:space="preserve">Dover, K. J. (1978). *Greek Homosexuality*. Harvard University Press.</w:t>
      </w:r>
    </w:p>
    <w:p>
      <w:pPr>
        <w:spacing w:after="160"/>
        <w:jc w:val="left"/>
      </w:pPr>
      <w:r>
        <w:rPr>
          <w:sz w:val="22"/>
          <w:szCs w:val="22"/>
        </w:rPr>
        <w:t xml:space="preserve">Foucault, Michel (1976). *Histoire de la sexualité, vol. 1: La volonté de savoir*. Gallimard, Paris.</w:t>
      </w:r>
    </w:p>
    <w:p>
      <w:pPr>
        <w:spacing w:after="160"/>
        <w:jc w:val="left"/>
      </w:pPr>
      <w:r>
        <w:rPr>
          <w:sz w:val="22"/>
          <w:szCs w:val="22"/>
        </w:rPr>
        <w:t xml:space="preserve">Foucault, Michel (1978). *The History of Sexuality, Volume 1: An Introduction*. Pantheon Books.</w:t>
      </w:r>
    </w:p>
    <w:p>
      <w:pPr>
        <w:spacing w:after="160"/>
        <w:jc w:val="left"/>
      </w:pPr>
      <w:r>
        <w:rPr>
          <w:sz w:val="22"/>
          <w:szCs w:val="22"/>
        </w:rPr>
        <w:t xml:space="preserve">Plato. *Symposium* and *Laws*. Various editions.</w:t>
      </w:r>
    </w:p>
    <w:p>
      <w:pPr>
        <w:spacing w:after="160"/>
        <w:jc w:val="left"/>
      </w:pPr>
      <w:r>
        <w:rPr>
          <w:sz w:val="22"/>
          <w:szCs w:val="22"/>
        </w:rPr>
        <w:t xml:space="preserve">## The Nineteenth and Twentieth Centuries</w:t>
      </w:r>
    </w:p>
    <w:p>
      <w:pPr>
        <w:spacing w:after="160"/>
        <w:jc w:val="left"/>
      </w:pPr>
      <w:r>
        <w:rPr>
          <w:sz w:val="22"/>
          <w:szCs w:val="22"/>
        </w:rPr>
        <w:t xml:space="preserve">Bayer, Ronald (1981). *Homosexuality and American Psychiatry: The Politics of Diagnosis*. Princeton University Press.</w:t>
      </w:r>
    </w:p>
    <w:p>
      <w:pPr>
        <w:spacing w:after="160"/>
        <w:jc w:val="left"/>
      </w:pPr>
      <w:r>
        <w:rPr>
          <w:sz w:val="22"/>
          <w:szCs w:val="22"/>
        </w:rPr>
        <w:t xml:space="preserve">Freud, Sigmund (1905). *Three Essays on the Theory of Sexuality*. Trans. James Strachey.</w:t>
      </w:r>
    </w:p>
    <w:p>
      <w:pPr>
        <w:spacing w:after="160"/>
        <w:jc w:val="left"/>
      </w:pPr>
      <w:r>
        <w:rPr>
          <w:sz w:val="22"/>
          <w:szCs w:val="22"/>
        </w:rPr>
        <w:t xml:space="preserve">Hirschfeld, Magnus (1914). *Die Homosexualität des Mannes und des Weibes*. Berlin.</w:t>
      </w:r>
    </w:p>
    <w:p>
      <w:pPr>
        <w:spacing w:after="160"/>
        <w:jc w:val="left"/>
      </w:pPr>
      <w:r>
        <w:rPr>
          <w:sz w:val="22"/>
          <w:szCs w:val="22"/>
        </w:rPr>
        <w:t xml:space="preserve">Kinsey, Alfred C. et al. (1948). *Sexual Behavior in the Human Male*. W. B. Saunders.</w:t>
      </w:r>
    </w:p>
    <w:p>
      <w:pPr>
        <w:spacing w:after="160"/>
        <w:jc w:val="left"/>
      </w:pPr>
      <w:r>
        <w:rPr>
          <w:sz w:val="22"/>
          <w:szCs w:val="22"/>
        </w:rPr>
        <w:t xml:space="preserve">Kinsey, Alfred C. et al. (1953). *Sexual Behavior in the Human Female*. W. B. Saunders.</w:t>
      </w:r>
    </w:p>
    <w:p>
      <w:pPr>
        <w:spacing w:after="160"/>
        <w:jc w:val="left"/>
      </w:pPr>
      <w:r>
        <w:rPr>
          <w:sz w:val="22"/>
          <w:szCs w:val="22"/>
        </w:rPr>
        <w:t xml:space="preserve">Krafft-Ebing, Richard von (1886). *Psychopathia Sexualis*. Stuttgart.</w:t>
      </w:r>
    </w:p>
    <w:p>
      <w:pPr>
        <w:spacing w:after="160"/>
        <w:jc w:val="left"/>
      </w:pPr>
      <w:r>
        <w:rPr>
          <w:sz w:val="22"/>
          <w:szCs w:val="22"/>
        </w:rPr>
        <w:t xml:space="preserve">Laumann, Edward et al. (1994). *The Social Organization of Sexuality: Sexual Practices in the United States*. University of Chicago Press.</w:t>
      </w:r>
    </w:p>
    <w:p>
      <w:pPr>
        <w:spacing w:after="160"/>
        <w:jc w:val="left"/>
      </w:pPr>
      <w:r>
        <w:rPr>
          <w:sz w:val="22"/>
          <w:szCs w:val="22"/>
        </w:rPr>
        <w:t xml:space="preserve">## Recent Scientific Research</w:t>
      </w:r>
    </w:p>
    <w:p>
      <w:pPr>
        <w:spacing w:after="160"/>
        <w:jc w:val="left"/>
      </w:pPr>
      <w:r>
        <w:rPr>
          <w:sz w:val="22"/>
          <w:szCs w:val="22"/>
        </w:rPr>
        <w:t xml:space="preserve">Bailey, J. M., Dunne, M. P., &amp; Martin, N. G. (2000). "Genetic and environmental influences on sexual orientation and its correlates in an Australian twin sample." *Journal of Personality and Social Psychology*, 78(3), 524–536.</w:t>
      </w:r>
    </w:p>
    <w:p>
      <w:pPr>
        <w:spacing w:after="160"/>
        <w:jc w:val="left"/>
      </w:pPr>
      <w:r>
        <w:rPr>
          <w:sz w:val="22"/>
          <w:szCs w:val="22"/>
        </w:rPr>
        <w:t xml:space="preserve">Cass, Hilary (2024). *The Cass Review: Independent Review of Gender Identity Services for Children and Young People*. UK NHS, April 2024.</w:t>
      </w:r>
    </w:p>
    <w:p>
      <w:pPr>
        <w:spacing w:after="160"/>
        <w:jc w:val="left"/>
      </w:pPr>
      <w:r>
        <w:rPr>
          <w:sz w:val="22"/>
          <w:szCs w:val="22"/>
        </w:rPr>
        <w:t xml:space="preserve">Diamond, Lisa M. (2008). *Sexual Fluidity: Understanding Women's Love and Desire*. Harvard University Press.</w:t>
      </w:r>
    </w:p>
    <w:p>
      <w:pPr>
        <w:spacing w:after="160"/>
        <w:jc w:val="left"/>
      </w:pPr>
      <w:r>
        <w:rPr>
          <w:sz w:val="22"/>
          <w:szCs w:val="22"/>
        </w:rPr>
        <w:t xml:space="preserve">Ganna, Andrea et al. (2019). "Large-scale GWAS reveals insights into the genetic architecture of same-sex sexual behavior." *Science*, 365(6456).</w:t>
      </w:r>
    </w:p>
    <w:p>
      <w:pPr>
        <w:spacing w:after="160"/>
        <w:jc w:val="left"/>
      </w:pPr>
      <w:r>
        <w:rPr>
          <w:sz w:val="22"/>
          <w:szCs w:val="22"/>
        </w:rPr>
        <w:t xml:space="preserve">Långström, Niklas et al. (2010). "Genetic and environmental effects on same-sex sexual behavior: A population study of twins in Sweden." *Archives of Sexual Behavior*, 39(1), 75–80.</w:t>
      </w:r>
    </w:p>
    <w:p>
      <w:pPr>
        <w:spacing w:after="160"/>
        <w:jc w:val="left"/>
      </w:pPr>
      <w:r>
        <w:rPr>
          <w:sz w:val="22"/>
          <w:szCs w:val="22"/>
        </w:rPr>
        <w:t xml:space="preserve">LeVay, Simon (1991). "A difference in hypothalamic structure between heterosexual and homosexual men." *Science*, 253(5023), 1034–1037.</w:t>
      </w:r>
    </w:p>
    <w:p>
      <w:pPr>
        <w:spacing w:after="160"/>
        <w:jc w:val="left"/>
      </w:pPr>
      <w:r>
        <w:rPr>
          <w:sz w:val="22"/>
          <w:szCs w:val="22"/>
        </w:rPr>
        <w:t xml:space="preserve">Mayer, Lawrence S. &amp; McHugh, Paul R. (2016). "Sexuality and Gender: Findings from the Biological, Psychological, and Social Sciences." *The New Atlantis*, No. 50.</w:t>
      </w:r>
    </w:p>
    <w:p>
      <w:pPr>
        <w:spacing w:after="160"/>
        <w:jc w:val="left"/>
      </w:pPr>
      <w:r>
        <w:rPr>
          <w:sz w:val="22"/>
          <w:szCs w:val="22"/>
        </w:rPr>
        <w:t xml:space="preserve">Marks, Loren (2012). "Same-sex parenting and children's outcomes: A closer examination of the American Psychological Association's brief on lesbian and gay parenting." *Social Science Research*, 41(4), 735–751.</w:t>
      </w:r>
    </w:p>
    <w:p>
      <w:pPr>
        <w:spacing w:after="160"/>
        <w:jc w:val="left"/>
      </w:pPr>
      <w:r>
        <w:rPr>
          <w:sz w:val="22"/>
          <w:szCs w:val="22"/>
        </w:rPr>
        <w:t xml:space="preserve">Regnerus, Mark (2012). "How different are the adult children of parents who have same-sex relationships? Findings from the New Family Structures Study." *Social Science Research*, 41(4), 752–770.</w:t>
      </w:r>
    </w:p>
    <w:p>
      <w:pPr>
        <w:spacing w:after="160"/>
        <w:jc w:val="left"/>
      </w:pPr>
      <w:r>
        <w:rPr>
          <w:sz w:val="22"/>
          <w:szCs w:val="22"/>
        </w:rPr>
        <w:t xml:space="preserve">Yarhouse, Mark A. &amp; Tan, Erica S. (2011). *Sexual Identity Synthesis: Attributions, Meaning-Making, and the Search for Congruence*. University Press of America.</w:t>
      </w:r>
    </w:p>
    <w:p>
      <w:pPr>
        <w:spacing w:after="160"/>
        <w:jc w:val="left"/>
      </w:pPr>
      <w:r>
        <w:rPr>
          <w:sz w:val="22"/>
          <w:szCs w:val="22"/>
        </w:rPr>
        <w:t xml:space="preserve">## Institutional and Legal Documents</w:t>
      </w:r>
    </w:p>
    <w:p>
      <w:pPr>
        <w:spacing w:after="160"/>
        <w:jc w:val="left"/>
      </w:pPr>
      <w:r>
        <w:rPr>
          <w:sz w:val="22"/>
          <w:szCs w:val="22"/>
        </w:rPr>
        <w:t xml:space="preserve">American Psychiatric Association (1973). Decision to remove homosexuality from DSM-II.</w:t>
      </w:r>
    </w:p>
    <w:p>
      <w:pPr>
        <w:spacing w:after="160"/>
        <w:jc w:val="left"/>
      </w:pPr>
      <w:r>
        <w:rPr>
          <w:sz w:val="22"/>
          <w:szCs w:val="22"/>
        </w:rPr>
        <w:t xml:space="preserve">Catholic Church. *Catechism of the Catholic Church*, paragraphs 2357–2359.</w:t>
      </w:r>
    </w:p>
    <w:p>
      <w:pPr>
        <w:spacing w:after="160"/>
        <w:jc w:val="left"/>
      </w:pPr>
      <w:r>
        <w:rPr>
          <w:sz w:val="22"/>
          <w:szCs w:val="22"/>
        </w:rPr>
        <w:t xml:space="preserve">Holy Bible. King James Version and other translations.</w:t>
      </w:r>
    </w:p>
    <w:p>
      <w:pPr>
        <w:spacing w:after="160"/>
        <w:jc w:val="left"/>
      </w:pPr>
      <w:r>
        <w:rPr>
          <w:sz w:val="22"/>
          <w:szCs w:val="22"/>
        </w:rPr>
        <w:t xml:space="preserve">Obergefell v. Hodges, 576 U.S. 644 (2015). U.S. Supreme Court.</w:t>
      </w:r>
    </w:p>
    <w:p>
      <w:pPr>
        <w:spacing w:after="160"/>
        <w:jc w:val="left"/>
      </w:pPr>
      <w:r>
        <w:rPr>
          <w:sz w:val="22"/>
          <w:szCs w:val="22"/>
        </w:rPr>
        <w:t xml:space="preserve">Lawrence v. Texas, 539 U.S. 558 (2003). U.S. Supreme Court.</w:t>
      </w:r>
    </w:p>
    <w:p>
      <w:pPr>
        <w:spacing w:after="160"/>
        <w:jc w:val="left"/>
      </w:pPr>
      <w:r>
        <w:rPr>
          <w:sz w:val="22"/>
          <w:szCs w:val="22"/>
        </w:rPr>
        <w:t xml:space="preserve">Universal Declaration of Human Rights (1948). United Nations General Assembly.</w:t>
      </w:r>
    </w:p>
    <w:p>
      <w:pPr>
        <w:spacing w:after="160"/>
        <w:jc w:val="left"/>
      </w:pPr>
      <w:r>
        <w:rPr>
          <w:sz w:val="22"/>
          <w:szCs w:val="22"/>
        </w:rPr>
        <w:t xml:space="preserve">## Critical Literature</w:t>
      </w:r>
    </w:p>
    <w:p>
      <w:pPr>
        <w:spacing w:after="160"/>
        <w:jc w:val="left"/>
      </w:pPr>
      <w:r>
        <w:rPr>
          <w:sz w:val="22"/>
          <w:szCs w:val="22"/>
        </w:rPr>
        <w:t xml:space="preserve">Anderson, Ryan T. (2018). *When Harry Became Sally: Responding to the Transgender Moment*. Encounter Books.</w:t>
      </w:r>
    </w:p>
    <w:p>
      <w:pPr>
        <w:spacing w:after="160"/>
        <w:jc w:val="left"/>
      </w:pPr>
      <w:r>
        <w:rPr>
          <w:sz w:val="22"/>
          <w:szCs w:val="22"/>
        </w:rPr>
        <w:t xml:space="preserve">George, Robert P., Girgis, Sherif, &amp; Anderson, Ryan T. (2012). *What Is Marriage? Man and Woman: A Defense*. Encounter Books.</w:t>
      </w:r>
    </w:p>
    <w:p>
      <w:pPr>
        <w:spacing w:after="160"/>
        <w:jc w:val="left"/>
      </w:pPr>
      <w:r>
        <w:rPr>
          <w:sz w:val="22"/>
          <w:szCs w:val="22"/>
        </w:rPr>
        <w:t xml:space="preserve">Reilly, Robert R. (2014). *Making Gay Okay*. Ignatius Press.</w:t>
      </w:r>
    </w:p>
    <w:p>
      <w:pPr>
        <w:spacing w:after="160"/>
        <w:jc w:val="left"/>
      </w:pPr>
      <w:r>
        <w:rPr>
          <w:sz w:val="22"/>
          <w:szCs w:val="22"/>
        </w:rPr>
        <w:t xml:space="preserve">Sullivan, Andrew (1995). *Virtually Normal: An Argument About Homosexuality*. Knopf. (A supportive view from a conservative perspective.)</w:t>
      </w:r>
    </w:p>
    <w:p>
      <w:pPr>
        <w:spacing w:after="160"/>
        <w:jc w:val="left"/>
      </w:pPr>
      <w:r>
        <w:rPr>
          <w:sz w:val="22"/>
          <w:szCs w:val="22"/>
        </w:rPr>
        <w:t xml:space="preserve">Kugle, Scott Siraj al-Haqq (2010). *Homosexuality in Islam*. Oneworld. (A revisionist source critical of the traditional position.)</w:t>
      </w:r>
    </w:p>
    <w:p>
      <w:pPr>
        <w:spacing w:after="160"/>
        <w:jc w:val="left"/>
      </w:pPr>
      <w:r>
        <w:rPr>
          <w:sz w:val="22"/>
          <w:szCs w:val="22"/>
        </w:rPr>
        <w:t xml:space="preserve">## Statistical Sources</w:t>
      </w:r>
    </w:p>
    <w:p>
      <w:pPr>
        <w:spacing w:after="160"/>
        <w:jc w:val="left"/>
      </w:pPr>
      <w:r>
        <w:rPr>
          <w:sz w:val="22"/>
          <w:szCs w:val="22"/>
        </w:rPr>
        <w:t xml:space="preserve">Funders for LGBTQ Issues. *Global Resources Report 2021*.</w:t>
      </w:r>
    </w:p>
    <w:p>
      <w:pPr>
        <w:spacing w:after="160"/>
        <w:jc w:val="left"/>
      </w:pPr>
      <w:r>
        <w:rPr>
          <w:sz w:val="22"/>
          <w:szCs w:val="22"/>
        </w:rPr>
        <w:t xml:space="preserve">Gallup Polls (2012–2024). LGBT Identification Surveys, USA.</w:t>
      </w:r>
    </w:p>
    <w:p>
      <w:pPr>
        <w:spacing w:after="160"/>
        <w:jc w:val="left"/>
      </w:pPr>
      <w:r>
        <w:rPr>
          <w:sz w:val="22"/>
          <w:szCs w:val="22"/>
        </w:rPr>
        <w:t xml:space="preserve">Human Rights Campaign. Annual Corporate Equality Index Reports.</w:t>
      </w:r>
    </w:p>
    <w:p>
      <w:pPr>
        <w:spacing w:after="160"/>
        <w:jc w:val="left"/>
      </w:pPr>
      <w:r>
        <w:rPr>
          <w:sz w:val="22"/>
          <w:szCs w:val="22"/>
        </w:rPr>
        <w:t xml:space="preserve">GLAAD. *Where We Are on TV* annual reports.</w:t>
      </w:r>
    </w:p>
    <w:p>
      <w:pPr>
        <w:spacing w:after="160"/>
        <w:jc w:val="left"/>
      </w:pPr>
      <w:r>
        <w:rPr>
          <w:sz w:val="22"/>
          <w:szCs w:val="22"/>
        </w:rPr>
        <w:t xml:space="preserve">National Survey of Family Growth, USA Centers for Disease Control.</w:t>
      </w:r>
    </w:p>
    <w:p>
      <w:pPr>
        <w:spacing w:after="160"/>
        <w:jc w:val="left"/>
      </w:pPr>
      <w:r>
        <w:rPr>
          <w:sz w:val="22"/>
          <w:szCs w:val="22"/>
        </w:rPr>
        <w:t xml:space="preserve">Pew Research Center, multiple reports on religious and demographic shifts.</w:t>
      </w:r>
    </w:p>
    <w:p>
      <w:pPr>
        <w:spacing w:after="160"/>
        <w:jc w:val="left"/>
      </w:pPr>
      <w:r>
        <w:rPr>
          <w:sz w:val="22"/>
          <w:szCs w:val="22"/>
        </w:rPr>
        <w:t xml:space="preserve">## Closing Note</w:t>
      </w:r>
    </w:p>
    <w:p>
      <w:pPr>
        <w:spacing w:after="160"/>
        <w:jc w:val="left"/>
      </w:pPr>
      <w:r>
        <w:rPr>
          <w:sz w:val="22"/>
          <w:szCs w:val="22"/>
        </w:rPr>
        <w:t xml:space="preserve">The book drew on these sources by benefiting from their texts and exercising independent judgment in composing the chapters, without verbatim transfer except in short documented quotations. The reader who wishes to delve deeper can consult any of these sources directly. We deliberately diversified the sources — supporters and opponents, Islamic and Western, scientific and juristic — to present a complete picture and give the reader the tools to judge for himself. And success is from God.</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دراسة شاملة للمثلية الجنسية من منظور تاريخي وفكري وديني تتناول الجذور التاريخية ونشأة الحركات المعاصرة ومصادر نفوذها وتعرض بإنصاف حجج المؤيدين والمعارضين وموقف الأديان السماوية والشرقية والعلم الحديث بمنهج علمي موضوعي.</w:t>
      </w:r>
    </w:p>
    <w:p>
      <w:pPr>
        <w:spacing w:after="400" w:before="800"/>
        <w:jc w:val="center"/>
      </w:pPr>
      <w:r>
        <w:rPr>
          <w:b/>
          <w:bCs/>
          <w:color w:val="1B3A5C"/>
          <w:sz w:val="36"/>
          <w:szCs w:val="36"/>
        </w:rPr>
        <w:t xml:space="preserve">About this Book</w:t>
      </w:r>
    </w:p>
    <w:p>
      <w:pPr>
        <w:spacing w:after="160"/>
        <w:jc w:val="left"/>
      </w:pPr>
      <w:r>
        <w:rPr>
          <w:sz w:val="22"/>
          <w:szCs w:val="22"/>
        </w:rPr>
        <w:t xml:space="preserve">A comprehensive study of homosexuality from historical, intellectual, and religious perspectives, covering historical roots, the rise of modern movements and their sources of influence, fairly presenting arguments on both sides, the positions of Abrahamic and Eastern religions, and contemporary science.</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2026-04-30T22:24:37.879Z</dcterms:created>
  <dcterms:modified xsi:type="dcterms:W3CDTF">2026-04-30T22:24:37.881Z</dcterms:modified>
</cp:coreProperties>
</file>

<file path=docProps/custom.xml><?xml version="1.0" encoding="utf-8"?>
<Properties xmlns="http://schemas.openxmlformats.org/officeDocument/2006/custom-properties" xmlns:vt="http://schemas.openxmlformats.org/officeDocument/2006/docPropsVTypes"/>
</file>