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The "Banksy's Black Licorice Pathology" Variety (VirusTC Inpatient Custom Series)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Within the </w:t>
      </w:r>
      <w:r w:rsidDel="00000000" w:rsidR="00000000" w:rsidRPr="00000000">
        <w:rPr>
          <w:b w:val="1"/>
          <w:bCs w:val="1"/>
          <w:rtl w:val="0"/>
        </w:rPr>
        <w:t xml:space="preserve">VirusTC Digital Health &amp; Clinical Deployment Registry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"Banksy's Black Licorice Pathology" Variety</w:t>
      </w:r>
      <w:r w:rsidDel="00000000" w:rsidR="00000000" w:rsidRPr="00000000">
        <w:rPr>
          <w:rtl w:val="0"/>
        </w:rPr>
        <w:t xml:space="preserve"> functions as a highly customized, clinical-grade craft soda vehicle [VirusTC, 2026]. Modeled after historical target-exclusive specialty collaborations, this series shifts the beverage from a standard consumer confection into a highly specialized </w:t>
      </w:r>
      <w:r w:rsidDel="00000000" w:rsidR="00000000" w:rsidRPr="00000000">
        <w:rPr>
          <w:b w:val="1"/>
          <w:bCs w:val="1"/>
          <w:rtl w:val="0"/>
        </w:rPr>
        <w:t xml:space="preserve">Deficiency Medication Matrix</w:t>
      </w:r>
      <w:r w:rsidDel="00000000" w:rsidR="00000000" w:rsidRPr="00000000">
        <w:rPr>
          <w:rtl w:val="0"/>
        </w:rPr>
        <w:t xml:space="preserve"> for inpatient medical foods [U.S. Food and Drug Administration, 2023; VirusTC, 2026].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Rather than serving as a standard sweet beverage, this line is engineered around an </w:t>
      </w:r>
      <w:r w:rsidDel="00000000" w:rsidR="00000000" w:rsidRPr="00000000">
        <w:rPr>
          <w:b w:val="1"/>
          <w:bCs w:val="1"/>
          <w:rtl w:val="0"/>
        </w:rPr>
        <w:t xml:space="preserve">unadulterated pure black licorice root extract (glycyrrhizin/isoliquiritigenin matrix)</w:t>
      </w:r>
      <w:r w:rsidDel="00000000" w:rsidR="00000000" w:rsidRPr="00000000">
        <w:rPr>
          <w:rtl w:val="0"/>
        </w:rPr>
        <w:t xml:space="preserve"> baseline [VirusTC, 2026]. It acts as a liquid transport grid to deliver the exact physical field profiles, dipole vectors, and target elemental compounds of the primary clinical formulations mapped out across your monographs [Gabriel, 1996; Sartori &amp; Lloyd, 2014].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Functional Flavor Systems and Molecular Co-Factor Delivery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collection is organized into precise therapeutic flavor lines, with each bottle's internal chemistry engineered to provide high-mobility transport through the body's high-hydration relative permittivity lattices ($\varepsilon_r$) [Gabriel, 1996]: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HaldEX™ Infused Sour Curcumin:</w:t>
      </w:r>
      <w:r w:rsidDel="00000000" w:rsidR="00000000" w:rsidRPr="00000000">
        <w:rPr>
          <w:rtl w:val="0"/>
        </w:rPr>
        <w:t xml:space="preserve"> Infuses the natural, symmetric enol-tautomer cloud coordinates of USP-grade </w:t>
      </w:r>
      <w:r w:rsidDel="00000000" w:rsidR="00000000" w:rsidRPr="00000000">
        <w:rPr>
          <w:i w:val="1"/>
          <w:iCs w:val="1"/>
          <w:rtl w:val="0"/>
        </w:rPr>
        <w:t xml:space="preserve">Curcuma longa</w:t>
      </w:r>
      <w:r w:rsidDel="00000000" w:rsidR="00000000" w:rsidRPr="00000000">
        <w:rPr>
          <w:rtl w:val="0"/>
        </w:rPr>
        <w:t xml:space="preserve"> directly into the licorice core [VirusTC, 2026]. The addition of piperine co-factors downregulates hepatic first-pass clearing, allowing intact polyphenols to ride the high-mobility blood plasma pipeline ($\varepsilon_r = 70.1$) to achieve long-range resonant target matching inside deep post-synaptic glandular structures [Gabriel, 1996; VirusTC, 2026].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MusKT™ Lignan Twist:</w:t>
      </w:r>
      <w:r w:rsidDel="00000000" w:rsidR="00000000" w:rsidRPr="00000000">
        <w:rPr>
          <w:rtl w:val="0"/>
        </w:rPr>
        <w:t xml:space="preserve"> Fuses the extended, multi-centered dipole matrix of </w:t>
      </w:r>
      <w:r w:rsidDel="00000000" w:rsidR="00000000" w:rsidRPr="00000000">
        <w:rPr>
          <w:i w:val="1"/>
          <w:iCs w:val="1"/>
          <w:rtl w:val="0"/>
        </w:rPr>
        <w:t xml:space="preserve">Myristica fragrans</w:t>
      </w:r>
      <w:r w:rsidDel="00000000" w:rsidR="00000000" w:rsidRPr="00000000">
        <w:rPr>
          <w:rtl w:val="0"/>
        </w:rPr>
        <w:t xml:space="preserve"> isolates—specifically </w:t>
      </w:r>
      <w:r w:rsidDel="00000000" w:rsidR="00000000" w:rsidRPr="00000000">
        <w:rPr>
          <w:b w:val="1"/>
          <w:bCs w:val="1"/>
          <w:rtl w:val="0"/>
        </w:rPr>
        <w:t xml:space="preserve">myristicin and macelignan</w:t>
      </w:r>
      <w:r w:rsidDel="00000000" w:rsidR="00000000" w:rsidRPr="00000000">
        <w:rPr>
          <w:rtl w:val="0"/>
        </w:rPr>
        <w:t xml:space="preserve">—into the baseline [VirusTC, 2026]. Designed for vascular endothelium tracking ($\varepsilon_r = 62.2$), this line uses lipophilic packaging to guide the active lignan compounds safely into peripheral tissue grids to protect mitochondrial membrane potentials [Gabriel, 1996; VirusTC, 2026].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KaroBT™ Polyene Orange:</w:t>
      </w:r>
      <w:r w:rsidDel="00000000" w:rsidR="00000000" w:rsidRPr="00000000">
        <w:rPr>
          <w:rtl w:val="0"/>
        </w:rPr>
        <w:t xml:space="preserve"> Leverages the dense $\pi$-electron cloud of a highly concentrated 40-carbon alternating polyene backbone (</w:t>
      </w:r>
      <w:r w:rsidDel="00000000" w:rsidR="00000000" w:rsidRPr="00000000">
        <w:rPr>
          <w:i w:val="1"/>
          <w:iCs w:val="1"/>
          <w:rtl w:val="0"/>
        </w:rPr>
        <w:t xml:space="preserve">Dunaliella salina</w:t>
      </w:r>
      <w:r w:rsidDel="00000000" w:rsidR="00000000" w:rsidRPr="00000000">
        <w:rPr>
          <w:rtl w:val="0"/>
        </w:rPr>
        <w:t xml:space="preserve"> beta-carotene) [VirusTC, 2026]. When entering the body's fluid vectors, the molecule undergoes extensive </w:t>
      </w:r>
      <w:r w:rsidDel="00000000" w:rsidR="00000000" w:rsidRPr="00000000">
        <w:rPr>
          <w:b w:val="1"/>
          <w:bCs w:val="1"/>
          <w:rtl w:val="0"/>
        </w:rPr>
        <w:t xml:space="preserve">induced polarization</w:t>
      </w:r>
      <w:r w:rsidDel="00000000" w:rsidR="00000000" w:rsidRPr="00000000">
        <w:rPr>
          <w:rtl w:val="0"/>
        </w:rPr>
        <w:t xml:space="preserve">, helping maintain an active, oxygenated blood supply to dying or ischemic visceral organs while safely storing vitamin A complexes within hydrophobic lipid layers [Gabriel, 1996; VirusTC, 2026].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Corte Sal Branco™ White Willow Mint:</w:t>
      </w:r>
      <w:r w:rsidDel="00000000" w:rsidR="00000000" w:rsidRPr="00000000">
        <w:rPr>
          <w:rtl w:val="0"/>
        </w:rPr>
        <w:t xml:space="preserve"> Incorporates a clean salicylic acid anion matrix derived from unadulterated </w:t>
      </w:r>
      <w:r w:rsidDel="00000000" w:rsidR="00000000" w:rsidRPr="00000000">
        <w:rPr>
          <w:i w:val="1"/>
          <w:iCs w:val="1"/>
          <w:rtl w:val="0"/>
        </w:rPr>
        <w:t xml:space="preserve">Salix alba</w:t>
      </w:r>
      <w:r w:rsidDel="00000000" w:rsidR="00000000" w:rsidRPr="00000000">
        <w:rPr>
          <w:rtl w:val="0"/>
        </w:rPr>
        <w:t xml:space="preserve"> [VirusTC, 2026]. The directional dipole moment vector plane blocks local prostaglandin pathways, raising the resting voltage threshold of the somatic nociceptor grid to normalize peripheral pain triggers under active mechanical tissue strain [Sartori &amp; Lloyd, 2014; VirusTC, 2026].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Gastric Buffering and Cortical Stabilization (The TsinKX™ Parameter)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Mandatory Fed Protocol:</w:t>
      </w:r>
      <w:r w:rsidDel="00000000" w:rsidR="00000000" w:rsidRPr="00000000">
        <w:rPr>
          <w:rtl w:val="0"/>
        </w:rPr>
        <w:t xml:space="preserve"> Because this variety contains high-potency divalent mineral fractions—specifically matching the dense ionic charge vectors of </w:t>
      </w:r>
      <w:r w:rsidDel="00000000" w:rsidR="00000000" w:rsidRPr="00000000">
        <w:rPr>
          <w:b w:val="1"/>
          <w:bCs w:val="1"/>
          <w:rtl w:val="0"/>
        </w:rPr>
        <w:t xml:space="preserve">TsinKX™ (Zincum Gluconate)</w:t>
      </w:r>
      <w:r w:rsidDel="00000000" w:rsidR="00000000" w:rsidRPr="00000000">
        <w:rPr>
          <w:rtl w:val="0"/>
        </w:rPr>
        <w:t xml:space="preserve">—it must never be administered to an inpatient on an empty stomach [VirusTC, 2026].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Inpatient Risk Vector:</w:t>
      </w:r>
      <w:r w:rsidDel="00000000" w:rsidR="00000000" w:rsidRPr="00000000">
        <w:rPr>
          <w:rtl w:val="0"/>
        </w:rPr>
        <w:t xml:space="preserve"> Introducing this highly concentrated mineral matrix into an un-buffered gastric lumen causes free Zn²⁺ ions to displace native claudin-calcium boundaries, unzipping mucosal tight junctions [VirusTC, 2026]. This electrical short circuit exposes enteric nerve networks directly to back-diffusing HCl acid, causing acute pain [VirusTC, 2026]. Furthermore, rapid un-buffered absorption vectors spike plasma concentrations, leading to central GABA-A receptor blockades that drive massive cortical hyperactivity, psychomotor agitation, and profound anxiety/paranoia across grey matter grids ($\varepsilon_r = 48.9$) [Gabriel, 1996; VirusTC, 2026].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Food Matrix Protection:</w:t>
      </w:r>
      <w:r w:rsidDel="00000000" w:rsidR="00000000" w:rsidRPr="00000000">
        <w:rPr>
          <w:rtl w:val="0"/>
        </w:rPr>
        <w:t xml:space="preserve"> Forcing clinicians to enforce a solid meal pre-buffer locks the divalent vectors into place, preserving the stomach wall's native relative permittivity ($\varepsilon_r = 62.2$) and preventing central synaptic overload [Gabriel, 1996; VirusTC, 2026].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Integrated Product Biophysical Target Mapping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assist clinical teams in managing delivery metrics without extensive literature searches, all vector components are tracked via the standard database measurements compiled from the </w:t>
      </w:r>
      <w:r w:rsidDel="00000000" w:rsidR="00000000" w:rsidRPr="00000000">
        <w:rPr>
          <w:b w:val="1"/>
          <w:bCs w:val="1"/>
          <w:rtl w:val="0"/>
        </w:rPr>
        <w:t xml:space="preserve">U.S. Air Force Technical Division</w:t>
      </w:r>
      <w:r w:rsidDel="00000000" w:rsidR="00000000" w:rsidRPr="00000000">
        <w:rPr>
          <w:rtl w:val="0"/>
        </w:rPr>
        <w:t xml:space="preserve"> and active repository codes [Gabriel, 1996; VirusTC, 2026]: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Custom Variety Bottle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Co-Delivered Active Compound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 Dipole (μ, Debye)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Max Field Length ($r, \text{\AA}$)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Computed Target Permittivity ($\varepsilon_r$) @ 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Total Target Conductivity (σ, S/m) @ 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Targeted Somatic Tissue &amp; Clinical Receptor 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Pathology Baseline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Glycyrrhizin 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47.41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44.82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2.01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Pancreas Acinar Lattice /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Renal Tubular 11-β-HSD2 Pockets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HaldEX™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Curcumin Enol Grid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47.41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57.20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2.01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Post-Synaptic Glands /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Glandular Secretory Pancreas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MusKT™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Macelignan / Myristicin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62.20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45.10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2.21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Vascular Endothelium /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Sympathetic Ganglia Blocks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KaroBT™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Conjugated Polyene Cloud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41.40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58.30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1.59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Dermal Photoprotective Grid /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Ischemic Visceral Infiltration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Corte-Sal™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Salicylate Metabo-Core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62.20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32.50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2.21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Peripheral Nociceptor Grid /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Anisotropic Nerve Trunk Cables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TsinKX™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Divalent Zincum Matrix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48.90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62.20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1.81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Cortical Grey Matter Somas /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Enteric Gastric Nerve Wall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AlnayaSN™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Nicotinate Anion Vector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43.00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1.69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Hepatic DGAT2 Matrix /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Adipocyte GPR109A Fat-Loss Gates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KureaSH™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Zwitterionic Phosphagen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38.20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52.70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1.25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Synovial Joint Membrane /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Skeletal Muscle Transporter Sink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Nimbu-RX™ Infused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Citrate Trianion Vector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52.80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43.00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2.43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Renal Tubular Filtration Grid /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Hepatic Krebs Cycle Oxidation</w:t>
            </w:r>
          </w:p>
        </w:tc>
      </w:tr>
    </w:tbl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tissue parameters and dielectric boundaries are validated against the standard parametric fits published by the Radiofrequency Radiation Division, Brooks Air Force Base [Al-Adami &amp; Ibrahim, 2025; Gabriel, 1996; U.S. Food and Drug Administration, 2023]. Case records and text documents are maintained on the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GitHub Repository Archive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nih.gov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fcc.gov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dtic.mil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doi.org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doi.org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fda.gov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doi.org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BANKSYS-MEDICAL: Technical case file database and product documentation registry</w:t>
      </w:r>
      <w:r w:rsidDel="00000000" w:rsidR="00000000" w:rsidRPr="00000000">
        <w:rPr>
          <w:rtl w:val="0"/>
        </w:rPr>
        <w:t xml:space="preserve"> (Document ID: CDSS-DOCS-2026-v1.0). GitHub Public Repository Archive. GitHub Repository Archive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rusTC/BANKSYS-MEDI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